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FairyOnline</w:t>
      </w:r>
      <w:r>
        <w:rPr>
          <w:rFonts w:hint="eastAsia"/>
        </w:rPr>
        <w:t>在线教育平台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项目测试报告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张晗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3"/>
          <w:rFonts w:hint="eastAsia" w:ascii="黑体" w:hAnsi="黑体" w:eastAsia="黑体" w:cs="黑体"/>
          <w:b/>
          <w:bCs/>
        </w:rPr>
        <w:t>测试目的</w:t>
      </w:r>
      <w:r>
        <w:rPr>
          <w:rStyle w:val="13"/>
          <w:rFonts w:hint="eastAsia" w:ascii="黑体" w:hAnsi="黑体" w:eastAsia="黑体" w:cs="黑体"/>
          <w:b/>
          <w:bCs/>
        </w:rPr>
        <w:br w:type="textWrapping"/>
      </w:r>
      <w:r>
        <w:rPr>
          <w:rStyle w:val="11"/>
          <w:b w:val="0"/>
          <w:sz w:val="24"/>
          <w:szCs w:val="24"/>
        </w:rPr>
        <w:t>验证</w:t>
      </w:r>
      <w:r>
        <w:rPr>
          <w:rStyle w:val="11"/>
          <w:rFonts w:eastAsia="宋体"/>
          <w:b w:val="0"/>
          <w:sz w:val="24"/>
          <w:szCs w:val="24"/>
          <w:lang w:val="en-US" w:eastAsia="zh-CN"/>
        </w:rPr>
        <w:t>FairyOnline</w:t>
      </w:r>
      <w:r>
        <w:rPr>
          <w:rStyle w:val="11"/>
          <w:b w:val="0"/>
          <w:sz w:val="24"/>
          <w:szCs w:val="24"/>
        </w:rPr>
        <w:t>在线教育平台是否满足网站需求和设计要求；</w:t>
      </w:r>
      <w:r>
        <w:rPr>
          <w:rStyle w:val="11"/>
          <w:b w:val="0"/>
          <w:sz w:val="24"/>
          <w:szCs w:val="24"/>
        </w:rPr>
        <w:br w:type="textWrapping"/>
      </w:r>
      <w:r>
        <w:rPr>
          <w:rStyle w:val="11"/>
          <w:b w:val="0"/>
          <w:sz w:val="24"/>
          <w:szCs w:val="24"/>
        </w:rPr>
        <w:t>检查</w:t>
      </w:r>
      <w:r>
        <w:rPr>
          <w:rStyle w:val="11"/>
          <w:rFonts w:eastAsia="宋体"/>
          <w:b w:val="0"/>
          <w:sz w:val="24"/>
          <w:szCs w:val="24"/>
          <w:lang w:val="en-US" w:eastAsia="zh-CN"/>
        </w:rPr>
        <w:t>FairyOnline</w:t>
      </w:r>
      <w:r>
        <w:rPr>
          <w:rStyle w:val="11"/>
          <w:b w:val="0"/>
          <w:sz w:val="24"/>
          <w:szCs w:val="24"/>
        </w:rPr>
        <w:t>在线教育平台对误操作的处理能力；</w:t>
      </w:r>
      <w:r>
        <w:rPr>
          <w:rStyle w:val="11"/>
          <w:b w:val="0"/>
          <w:sz w:val="24"/>
          <w:szCs w:val="24"/>
        </w:rPr>
        <w:br w:type="textWrapping"/>
      </w:r>
      <w:r>
        <w:rPr>
          <w:rStyle w:val="11"/>
          <w:b w:val="0"/>
          <w:sz w:val="24"/>
          <w:szCs w:val="24"/>
        </w:rPr>
        <w:t>为</w:t>
      </w:r>
      <w:r>
        <w:rPr>
          <w:rStyle w:val="11"/>
          <w:rFonts w:eastAsia="宋体"/>
          <w:b w:val="0"/>
          <w:sz w:val="24"/>
          <w:szCs w:val="24"/>
          <w:lang w:val="en-US" w:eastAsia="zh-CN"/>
        </w:rPr>
        <w:t>FairyOnline</w:t>
      </w:r>
      <w:r>
        <w:rPr>
          <w:rStyle w:val="11"/>
          <w:b w:val="0"/>
          <w:sz w:val="24"/>
          <w:szCs w:val="24"/>
        </w:rPr>
        <w:t>在线教育平台可靠性与安全性的评估提供依据。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Style w:val="13"/>
          <w:b/>
          <w:bCs w:val="0"/>
          <w:szCs w:val="22"/>
          <w:lang w:val="en-US" w:eastAsia="zh-CN"/>
        </w:rPr>
      </w:pPr>
      <w:r>
        <w:rPr>
          <w:rStyle w:val="13"/>
          <w:b/>
          <w:bCs w:val="0"/>
          <w:szCs w:val="22"/>
          <w:lang w:val="en-US" w:eastAsia="zh-CN"/>
        </w:rPr>
        <w:t>测试环境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b w:val="0"/>
          <w:i w:val="0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8"/>
        <w:tblW w:w="8280" w:type="dxa"/>
        <w:tblInd w:w="1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960"/>
        <w:gridCol w:w="2124"/>
        <w:gridCol w:w="1992"/>
        <w:gridCol w:w="984"/>
        <w:gridCol w:w="141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后 台</w:t>
            </w:r>
          </w:p>
        </w:tc>
        <w:tc>
          <w:tcPr>
            <w:tcW w:w="74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eastAsia="宋体"/>
                <w:lang w:val="en-US" w:eastAsia="zh-CN" w:bidi="ar"/>
              </w:rPr>
              <w:t>Linux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前 端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成员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浏览器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显示器屏幕分辨率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eastAsia"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处理器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eastAsia"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已安装内存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张晗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b w:val="0"/>
                <w:i w:val="0"/>
                <w:color w:val="000000"/>
                <w:lang w:val="en-US" w:eastAsia="zh-CN" w:bidi="ar"/>
              </w:rPr>
              <w:t>Chrome49.0.2623.75（64位）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1920*1080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i5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eastAsia="宋体"/>
                <w:lang w:val="en-US" w:eastAsia="zh-CN" w:bidi="ar"/>
              </w:rPr>
            </w:pPr>
            <w:r>
              <w:rPr>
                <w:rStyle w:val="12"/>
                <w:rFonts w:hint="eastAsia" w:eastAsia="宋体"/>
                <w:lang w:val="en-US" w:eastAsia="zh-CN" w:bidi="ar"/>
              </w:rPr>
              <w:t>4.00GB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Style w:val="13"/>
          <w:rFonts w:hint="eastAsia"/>
          <w:b/>
          <w:bCs w:val="0"/>
          <w:szCs w:val="22"/>
          <w:lang w:val="en-US" w:eastAsia="zh-CN"/>
        </w:rPr>
      </w:pPr>
      <w:r>
        <w:rPr>
          <w:rStyle w:val="13"/>
          <w:rFonts w:hint="eastAsia"/>
          <w:b/>
          <w:bCs w:val="0"/>
          <w:szCs w:val="22"/>
          <w:lang w:val="en-US" w:eastAsia="zh-CN"/>
        </w:rPr>
        <w:t>测试人员</w:t>
      </w:r>
    </w:p>
    <w:tbl>
      <w:tblPr>
        <w:tblStyle w:val="8"/>
        <w:tblW w:w="8256" w:type="dxa"/>
        <w:tblInd w:w="13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2130"/>
        <w:gridCol w:w="2130"/>
        <w:gridCol w:w="199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主模块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子模块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测试用例编写者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测试用例执行者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游客模块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注册</w:t>
            </w:r>
          </w:p>
        </w:tc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张晗</w:t>
            </w:r>
          </w:p>
        </w:tc>
        <w:tc>
          <w:tcPr>
            <w:tcW w:w="19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张晗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课程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与小叶交流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用户（学生）模块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登录</w:t>
            </w:r>
          </w:p>
        </w:tc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张晗</w:t>
            </w: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课程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管理用户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与小叶交流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申请成为教师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举报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用户（教师）模块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登录</w:t>
            </w:r>
          </w:p>
        </w:tc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邵晓阡</w:t>
            </w: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管理资料库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管理课程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内容管理员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登录</w:t>
            </w:r>
          </w:p>
        </w:tc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张晗</w:t>
            </w: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管理用户权限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管理教师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管理数据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审核课程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管理课程分类</w:t>
            </w:r>
          </w:p>
        </w:tc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99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tbl>
      <w:tblPr>
        <w:tblStyle w:val="9"/>
        <w:tblW w:w="8256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2130"/>
        <w:gridCol w:w="2131"/>
        <w:gridCol w:w="19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主模块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子模块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测试用例编写者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测试用例执行者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  <w:vMerge w:val="restart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超级管理员模块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登录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张晗</w:t>
            </w:r>
          </w:p>
        </w:tc>
        <w:tc>
          <w:tcPr>
            <w:tcW w:w="1986" w:type="dxa"/>
            <w:vMerge w:val="restart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张晗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管理用户权限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1986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9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管理内容管理员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1986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管理课程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1986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管理数据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1986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审核课程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1986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9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管理课程分类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1986" w:type="dxa"/>
            <w:vMerge w:val="continue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  <w:t>实际进度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Style w:val="14"/>
          <w:rFonts w:eastAsia="宋体"/>
        </w:rPr>
        <w:t xml:space="preserve">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第一阶段： 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201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8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5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14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~201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8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5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18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完成测试用例的编写。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Style w:val="14"/>
          <w:rFonts w:eastAsia="宋体"/>
        </w:rPr>
        <w:t xml:space="preserve">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第二阶段： 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201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8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5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21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执行测试用例，主要进行功能性验证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Style w:val="14"/>
          <w:rFonts w:eastAsia="宋体"/>
        </w:rPr>
        <w:t xml:space="preserve">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第三阶段： 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201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8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6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26</w:t>
      </w:r>
      <w:r>
        <w:rPr>
          <w:rFonts w:hint="default" w:ascii="Calibri" w:hAnsi="Calibri" w:eastAsia="宋体" w:cs="Calibri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提交测试报告。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  <w:t>参考文档</w:t>
      </w:r>
    </w:p>
    <w:p>
      <w:pPr>
        <w:numPr>
          <w:ilvl w:val="0"/>
          <w:numId w:val="2"/>
        </w:numPr>
        <w:ind w:left="840" w:leftChars="0" w:hanging="420" w:firstLineChars="0"/>
        <w:rPr>
          <w:rStyle w:val="13"/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Style w:val="13"/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《FairyOnline在线教育平台测试用例》 </w:t>
      </w:r>
    </w:p>
    <w:p>
      <w:pPr>
        <w:numPr>
          <w:ilvl w:val="0"/>
          <w:numId w:val="0"/>
        </w:numPr>
        <w:ind w:left="420" w:leftChars="0"/>
        <w:rPr>
          <w:rStyle w:val="13"/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  <w:t>测试字典</w:t>
      </w:r>
    </w:p>
    <w:tbl>
      <w:tblPr>
        <w:tblStyle w:val="9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包括内容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0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黑体" w:hAnsi="黑体" w:cs="黑体"/>
                <w:b/>
                <w:bCs/>
                <w:kern w:val="2"/>
                <w:szCs w:val="22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 类——严重错误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由于程序所引起的死机,非法退出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死循环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导致数据库发生死锁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数据通讯错误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严重的数值计算错误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B 类——较严重错误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功能不符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数据流错误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程序接口错误 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轻微的数值计算错误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 类——一般性错误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界面错误(详细文档)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打印内容、格式错误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简单的输入限制未放在前台进行控制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删除操作未给出提示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D 类——较小错误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辅助说明描述不清楚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显示格式不规范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长时间操作未给用户进度提示 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提示窗口文字未采用行业术语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可输入区域和只读区域没有明显的区分标志 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系统处理未优化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E 类——测试建议（非缺陷）</w:t>
            </w:r>
          </w:p>
        </w:tc>
        <w:tc>
          <w:tcPr>
            <w:tcW w:w="474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13"/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  <w:t>项目总结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在对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FairyOnline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在线教育平台的系统测试中，我方认为无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A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类错误，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类错误有两个，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类错误有一个，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类错误有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个，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类错误有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19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个，缺陷的具体情况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如下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：</w:t>
      </w:r>
    </w:p>
    <w:tbl>
      <w:tblPr>
        <w:tblStyle w:val="8"/>
        <w:tblpPr w:leftFromText="180" w:rightFromText="180" w:vertAnchor="text" w:horzAnchor="page" w:tblpX="2527" w:tblpY="459"/>
        <w:tblOverlap w:val="never"/>
        <w:tblW w:w="72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400"/>
        <w:gridCol w:w="24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缺陷等级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缺陷个数 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缺陷 </w:t>
            </w:r>
            <w:r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类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严重错误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个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类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较严重错误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个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 </w:t>
            </w: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类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一般性错误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个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类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较小错误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个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 </w:t>
            </w: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77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 </w:t>
            </w:r>
            <w:r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79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类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测试建议（非缺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陷）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19个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7、35、36、37、38、39、41、44、45、50、56、58、59、62、65、68、70、72、73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宋体" w:cs="Calibri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总计 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25个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  <w:t>测试结果</w:t>
      </w:r>
    </w:p>
    <w:p>
      <w:pPr>
        <w:numPr>
          <w:ilvl w:val="0"/>
          <w:numId w:val="4"/>
        </w:numPr>
        <w:ind w:left="0" w:leftChars="0" w:firstLine="42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系统测试环境具备，文档资料齐全，符合验收测试条件。</w:t>
      </w:r>
    </w:p>
    <w:p>
      <w:pPr>
        <w:numPr>
          <w:numId w:val="0"/>
        </w:numPr>
        <w:ind w:left="420" w:left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测试项总数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5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个主功能模块——超级管理员模块、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内容管理员模块、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游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客模块、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用户（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教师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模块、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用户（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学生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模块，其中超级管理员模块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个子功能模块，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内容管理员有6个子功能模块，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游客模块有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个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子功能模块，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用户（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教师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模块有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个子功能模块，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学生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模块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个子功能模块：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严重度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>——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高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A,B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类的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BUG –2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个，占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>8%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；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严重度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>——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C,D,E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类的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>BUG—</w:t>
      </w:r>
      <w:r>
        <w:rPr>
          <w:rFonts w:hint="eastAsia" w:ascii="Calibri" w:hAnsi="Calibri" w:eastAsia="宋体" w:cs="Calibri"/>
          <w:b w:val="0"/>
          <w:i w:val="0"/>
          <w:color w:val="000000"/>
          <w:sz w:val="24"/>
          <w:szCs w:val="24"/>
          <w:lang w:val="en-US" w:eastAsia="zh-CN"/>
        </w:rPr>
        <w:t>23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个，占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>92%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4"/>
          <w:szCs w:val="24"/>
        </w:rPr>
        <w:t>经我组测试，我组一致认为该项目测试结果为通过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  <w:t>意见建议</w:t>
      </w:r>
    </w:p>
    <w:p>
      <w:pPr>
        <w:numPr>
          <w:ilvl w:val="0"/>
          <w:numId w:val="6"/>
        </w:numPr>
        <w:ind w:left="420" w:leftChars="0" w:hanging="42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大多数为输入文本框的输入限制问题，贵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组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未对其有明确的规定要求，可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能会引起格式混乱的问题，望能改善。</w:t>
      </w:r>
    </w:p>
    <w:p>
      <w:pPr>
        <w:numPr>
          <w:ilvl w:val="0"/>
          <w:numId w:val="6"/>
        </w:numPr>
        <w:ind w:left="420" w:leftChars="0" w:hanging="420" w:firstLineChars="0"/>
        <w:rPr>
          <w:rStyle w:val="13"/>
          <w:rFonts w:hint="eastAsia" w:ascii="黑体" w:hAnsi="黑体" w:cs="黑体"/>
          <w:b/>
          <w:bCs/>
          <w:kern w:val="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将浏览器缩小或是将网页缩小化显示时， </w:t>
      </w:r>
      <w:r>
        <w:rPr>
          <w:rFonts w:ascii="Calibri" w:hAnsi="Calibri" w:eastAsia="宋体" w:cs="Calibri"/>
          <w:b w:val="0"/>
          <w:i w:val="0"/>
          <w:color w:val="000000"/>
          <w:sz w:val="24"/>
          <w:szCs w:val="24"/>
        </w:rPr>
        <w:t xml:space="preserve">UI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界面会出现模块重叠的现象，影响页面美观及用户使用的心情，望能改善。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ABDAD"/>
    <w:multiLevelType w:val="singleLevel"/>
    <w:tmpl w:val="9A4ABD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41FD39C"/>
    <w:multiLevelType w:val="singleLevel"/>
    <w:tmpl w:val="A41FD3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F44797"/>
    <w:multiLevelType w:val="singleLevel"/>
    <w:tmpl w:val="AEF447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330C862"/>
    <w:multiLevelType w:val="multilevel"/>
    <w:tmpl w:val="B330C86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CA503B8"/>
    <w:multiLevelType w:val="singleLevel"/>
    <w:tmpl w:val="BCA503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105B76B"/>
    <w:multiLevelType w:val="singleLevel"/>
    <w:tmpl w:val="C105B76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202E80"/>
    <w:rsid w:val="184F48CD"/>
    <w:rsid w:val="22EE53A7"/>
    <w:rsid w:val="44136BCF"/>
    <w:rsid w:val="44C25A2A"/>
    <w:rsid w:val="513E18F0"/>
    <w:rsid w:val="6F29710A"/>
    <w:rsid w:val="6F9519C4"/>
    <w:rsid w:val="71A66FC2"/>
    <w:rsid w:val="7AE70055"/>
    <w:rsid w:val="7E7F2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fontstyle01"/>
    <w:basedOn w:val="7"/>
    <w:qFormat/>
    <w:uiPriority w:val="0"/>
    <w:rPr>
      <w:rFonts w:ascii="Calibri" w:hAnsi="Calibri" w:cs="Calibri"/>
      <w:b/>
      <w:color w:val="000000"/>
      <w:sz w:val="44"/>
      <w:szCs w:val="44"/>
    </w:rPr>
  </w:style>
  <w:style w:type="character" w:customStyle="1" w:styleId="11">
    <w:name w:val="fontstyle21"/>
    <w:basedOn w:val="7"/>
    <w:qFormat/>
    <w:uiPriority w:val="0"/>
    <w:rPr>
      <w:rFonts w:hint="eastAsia" w:ascii="宋体" w:hAnsi="宋体" w:eastAsia="宋体" w:cs="宋体"/>
      <w:color w:val="000000"/>
      <w:sz w:val="44"/>
      <w:szCs w:val="44"/>
    </w:rPr>
  </w:style>
  <w:style w:type="character" w:customStyle="1" w:styleId="12">
    <w:name w:val="fontstyle41"/>
    <w:basedOn w:val="7"/>
    <w:qFormat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fontstyle31"/>
    <w:basedOn w:val="7"/>
    <w:qFormat/>
    <w:uiPriority w:val="0"/>
    <w:rPr>
      <w:rFonts w:ascii="Wingdings" w:hAnsi="Wingdings" w:cs="Wingdings"/>
      <w:color w:val="000000"/>
      <w:sz w:val="24"/>
      <w:szCs w:val="24"/>
    </w:rPr>
  </w:style>
  <w:style w:type="character" w:customStyle="1" w:styleId="15">
    <w:name w:val="fontstyle11"/>
    <w:basedOn w:val="7"/>
    <w:qFormat/>
    <w:uiPriority w:val="0"/>
    <w:rPr>
      <w:rFonts w:ascii="Wingdings" w:hAnsi="Wingdings" w:cs="Wingding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Pikachu</cp:lastModifiedBy>
  <dcterms:modified xsi:type="dcterms:W3CDTF">2018-06-27T06:53:32Z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