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fontTable.xml" ContentType="application/vnd.openxmlformats-officedocument.wordprocessingml.fontTable+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E6009" w:rsidRPr="00881185" w:rsidRDefault="00CE6009" w:rsidP="00881185">
      <w:pPr>
        <w:spacing w:after="0" w:line="240" w:lineRule="auto"/>
        <w:jc w:val="left"/>
        <w:rPr>
          <w:b/>
          <w:snapToGrid w:val="0"/>
          <w:color w:val="412D5E"/>
        </w:rPr>
      </w:pPr>
      <w:bookmarkStart w:id="0" w:name="_Toc400546608"/>
      <w:r w:rsidRPr="00881185">
        <w:rPr>
          <w:b/>
          <w:snapToGrid w:val="0"/>
          <w:color w:val="412D5E"/>
        </w:rPr>
        <w:t>Guide to exclusivity agreement/option agreement for CARES Toolkit</w:t>
      </w:r>
    </w:p>
    <w:bookmarkEnd w:id="0"/>
    <w:p w:rsidR="00881185" w:rsidRDefault="00881185" w:rsidP="00881185">
      <w:pPr>
        <w:pStyle w:val="BurnessPaullClauseNumbering2"/>
        <w:numPr>
          <w:ilvl w:val="0"/>
          <w:numId w:val="0"/>
        </w:numPr>
        <w:spacing w:after="0" w:line="240" w:lineRule="auto"/>
        <w:jc w:val="left"/>
        <w:rPr>
          <w:snapToGrid w:val="0"/>
          <w:color w:val="412D5E"/>
        </w:rPr>
      </w:pPr>
    </w:p>
    <w:p w:rsidR="00CA7697" w:rsidRPr="00881185" w:rsidRDefault="00AB314C" w:rsidP="00881185">
      <w:pPr>
        <w:pStyle w:val="BurnessPaullClauseNumbering2"/>
        <w:numPr>
          <w:ilvl w:val="0"/>
          <w:numId w:val="0"/>
        </w:numPr>
        <w:spacing w:after="0" w:line="240" w:lineRule="auto"/>
        <w:jc w:val="left"/>
        <w:rPr>
          <w:snapToGrid w:val="0"/>
          <w:color w:val="412D5E"/>
        </w:rPr>
      </w:pPr>
      <w:r w:rsidRPr="00881185">
        <w:rPr>
          <w:snapToGrid w:val="0"/>
          <w:color w:val="412D5E"/>
        </w:rPr>
        <w:t>The models for wind farm developments do of course vary but, fairly typically, a potential developer of a commercial wind farm will enter into an exclusivity agreement followed by agreein</w:t>
      </w:r>
      <w:r w:rsidR="00CE6009" w:rsidRPr="00881185">
        <w:rPr>
          <w:snapToGrid w:val="0"/>
          <w:color w:val="412D5E"/>
        </w:rPr>
        <w:t>g heads of terms and then enter</w:t>
      </w:r>
      <w:r w:rsidRPr="00881185">
        <w:rPr>
          <w:snapToGrid w:val="0"/>
          <w:color w:val="412D5E"/>
        </w:rPr>
        <w:t xml:space="preserve"> into an option agreement giving the developer an option to call for a lease (of </w:t>
      </w:r>
      <w:r w:rsidR="006E5BA2" w:rsidRPr="00881185">
        <w:rPr>
          <w:snapToGrid w:val="0"/>
          <w:color w:val="412D5E"/>
        </w:rPr>
        <w:t xml:space="preserve"> </w:t>
      </w:r>
      <w:r w:rsidRPr="00881185">
        <w:rPr>
          <w:snapToGrid w:val="0"/>
          <w:color w:val="412D5E"/>
        </w:rPr>
        <w:t>typically</w:t>
      </w:r>
      <w:r w:rsidR="006E5BA2" w:rsidRPr="00881185">
        <w:rPr>
          <w:snapToGrid w:val="0"/>
          <w:color w:val="412D5E"/>
        </w:rPr>
        <w:t>,</w:t>
      </w:r>
      <w:r w:rsidRPr="00881185">
        <w:rPr>
          <w:snapToGrid w:val="0"/>
          <w:color w:val="412D5E"/>
        </w:rPr>
        <w:t xml:space="preserve"> 27 years</w:t>
      </w:r>
      <w:r w:rsidR="00CE6009" w:rsidRPr="00881185">
        <w:rPr>
          <w:snapToGrid w:val="0"/>
          <w:color w:val="412D5E"/>
        </w:rPr>
        <w:t xml:space="preserve"> duration</w:t>
      </w:r>
      <w:r w:rsidR="00AF77FA" w:rsidRPr="00881185">
        <w:rPr>
          <w:snapToGrid w:val="0"/>
          <w:color w:val="412D5E"/>
        </w:rPr>
        <w:t xml:space="preserve">).  The option agreement gives the developer a period in which to secure planning permission and any other requisite </w:t>
      </w:r>
      <w:proofErr w:type="gramStart"/>
      <w:r w:rsidR="00AF77FA" w:rsidRPr="00881185">
        <w:rPr>
          <w:snapToGrid w:val="0"/>
          <w:color w:val="412D5E"/>
        </w:rPr>
        <w:t>consents</w:t>
      </w:r>
      <w:proofErr w:type="gramEnd"/>
      <w:r w:rsidR="00AF77FA" w:rsidRPr="00881185">
        <w:rPr>
          <w:snapToGrid w:val="0"/>
          <w:color w:val="412D5E"/>
        </w:rPr>
        <w:t xml:space="preserve"> to the wind farm development.</w:t>
      </w:r>
    </w:p>
    <w:p w:rsidR="00881185" w:rsidRDefault="00881185" w:rsidP="00881185">
      <w:pPr>
        <w:pStyle w:val="BurnessPaullClauseNumbering2"/>
        <w:numPr>
          <w:ilvl w:val="0"/>
          <w:numId w:val="0"/>
        </w:numPr>
        <w:spacing w:after="0" w:line="240" w:lineRule="auto"/>
        <w:jc w:val="left"/>
        <w:rPr>
          <w:snapToGrid w:val="0"/>
          <w:color w:val="412D5E"/>
        </w:rPr>
      </w:pPr>
    </w:p>
    <w:p w:rsidR="009310AD" w:rsidRPr="00881185" w:rsidRDefault="00AF77FA" w:rsidP="00881185">
      <w:pPr>
        <w:pStyle w:val="BurnessPaullClauseNumbering2"/>
        <w:numPr>
          <w:ilvl w:val="0"/>
          <w:numId w:val="0"/>
        </w:numPr>
        <w:spacing w:after="0" w:line="240" w:lineRule="auto"/>
        <w:jc w:val="left"/>
        <w:rPr>
          <w:snapToGrid w:val="0"/>
          <w:color w:val="412D5E"/>
        </w:rPr>
      </w:pPr>
      <w:r w:rsidRPr="00881185">
        <w:rPr>
          <w:snapToGrid w:val="0"/>
          <w:color w:val="412D5E"/>
        </w:rPr>
        <w:t>Entering into a simple exclusivity agreement prior to the option agreement allow</w:t>
      </w:r>
      <w:r w:rsidR="00CE6009" w:rsidRPr="00881185">
        <w:rPr>
          <w:snapToGrid w:val="0"/>
          <w:color w:val="412D5E"/>
        </w:rPr>
        <w:t>s</w:t>
      </w:r>
      <w:r w:rsidRPr="00881185">
        <w:rPr>
          <w:snapToGrid w:val="0"/>
          <w:color w:val="412D5E"/>
        </w:rPr>
        <w:t xml:space="preserve"> the developer to carry out feasibility studies and allow for negotiation of the option agreement.</w:t>
      </w:r>
    </w:p>
    <w:p w:rsidR="00881185" w:rsidRDefault="00881185" w:rsidP="00881185">
      <w:pPr>
        <w:pStyle w:val="BurnessPaullClauseNumbering2"/>
        <w:numPr>
          <w:ilvl w:val="0"/>
          <w:numId w:val="0"/>
        </w:numPr>
        <w:spacing w:after="0" w:line="240" w:lineRule="auto"/>
        <w:jc w:val="left"/>
        <w:rPr>
          <w:b/>
          <w:snapToGrid w:val="0"/>
          <w:color w:val="412D5E"/>
        </w:rPr>
      </w:pPr>
    </w:p>
    <w:p w:rsidR="009310AD" w:rsidRPr="00881185" w:rsidRDefault="009310AD" w:rsidP="00881185">
      <w:pPr>
        <w:pStyle w:val="BurnessPaullClauseNumbering2"/>
        <w:numPr>
          <w:ilvl w:val="0"/>
          <w:numId w:val="0"/>
        </w:numPr>
        <w:spacing w:after="0" w:line="240" w:lineRule="auto"/>
        <w:jc w:val="left"/>
        <w:rPr>
          <w:b/>
          <w:snapToGrid w:val="0"/>
          <w:color w:val="412D5E"/>
        </w:rPr>
      </w:pPr>
      <w:r w:rsidRPr="00881185">
        <w:rPr>
          <w:b/>
          <w:snapToGrid w:val="0"/>
          <w:color w:val="412D5E"/>
        </w:rPr>
        <w:t>Exclusivity Agreement</w:t>
      </w:r>
    </w:p>
    <w:p w:rsidR="00881185" w:rsidRDefault="00881185" w:rsidP="00881185">
      <w:pPr>
        <w:pStyle w:val="BurnessPaullClauseNumbering2"/>
        <w:numPr>
          <w:ilvl w:val="0"/>
          <w:numId w:val="0"/>
        </w:numPr>
        <w:spacing w:after="0" w:line="240" w:lineRule="auto"/>
        <w:jc w:val="left"/>
        <w:rPr>
          <w:snapToGrid w:val="0"/>
          <w:color w:val="412D5E"/>
        </w:rPr>
      </w:pPr>
    </w:p>
    <w:p w:rsidR="00AF77FA" w:rsidRPr="00881185" w:rsidRDefault="00AF77FA" w:rsidP="00881185">
      <w:pPr>
        <w:pStyle w:val="BurnessPaullClauseNumbering2"/>
        <w:numPr>
          <w:ilvl w:val="0"/>
          <w:numId w:val="0"/>
        </w:numPr>
        <w:spacing w:after="0" w:line="240" w:lineRule="auto"/>
        <w:jc w:val="left"/>
        <w:rPr>
          <w:snapToGrid w:val="0"/>
          <w:color w:val="412D5E"/>
        </w:rPr>
      </w:pPr>
      <w:r w:rsidRPr="00881185">
        <w:rPr>
          <w:snapToGrid w:val="0"/>
          <w:color w:val="412D5E"/>
        </w:rPr>
        <w:t xml:space="preserve">A typical </w:t>
      </w:r>
      <w:r w:rsidR="00A035CA" w:rsidRPr="00881185">
        <w:rPr>
          <w:snapToGrid w:val="0"/>
          <w:color w:val="412D5E"/>
        </w:rPr>
        <w:t>exclusivity agreement will only be a very short document (just a couple of pages) and generally will:</w:t>
      </w:r>
    </w:p>
    <w:p w:rsidR="00A035CA" w:rsidRPr="00881185" w:rsidRDefault="00A035CA" w:rsidP="00881185">
      <w:pPr>
        <w:pStyle w:val="BurnessPaullClauseNumbering3"/>
        <w:numPr>
          <w:ilvl w:val="0"/>
          <w:numId w:val="34"/>
        </w:numPr>
        <w:spacing w:before="120" w:after="0" w:line="240" w:lineRule="auto"/>
        <w:ind w:left="357" w:hanging="357"/>
        <w:rPr>
          <w:snapToGrid w:val="0"/>
          <w:color w:val="412D5E"/>
        </w:rPr>
      </w:pPr>
      <w:r w:rsidRPr="00881185">
        <w:rPr>
          <w:color w:val="412D5E"/>
        </w:rPr>
        <w:t>specify the duration of the exclusivity period (for example, one year);</w:t>
      </w:r>
    </w:p>
    <w:p w:rsidR="00A035CA" w:rsidRPr="00881185" w:rsidRDefault="00A035CA" w:rsidP="00881185">
      <w:pPr>
        <w:pStyle w:val="BurnessPaullClauseNumbering3"/>
        <w:numPr>
          <w:ilvl w:val="0"/>
          <w:numId w:val="34"/>
        </w:numPr>
        <w:spacing w:before="120" w:after="0" w:line="240" w:lineRule="auto"/>
        <w:ind w:left="357" w:hanging="357"/>
        <w:rPr>
          <w:snapToGrid w:val="0"/>
          <w:color w:val="412D5E"/>
        </w:rPr>
      </w:pPr>
      <w:r w:rsidRPr="00881185">
        <w:rPr>
          <w:color w:val="412D5E"/>
        </w:rPr>
        <w:t xml:space="preserve">provide for payment of an exclusivity fee by the </w:t>
      </w:r>
      <w:r w:rsidR="009310AD" w:rsidRPr="00881185">
        <w:rPr>
          <w:color w:val="412D5E"/>
        </w:rPr>
        <w:t>d</w:t>
      </w:r>
      <w:r w:rsidRPr="00881185">
        <w:rPr>
          <w:color w:val="412D5E"/>
        </w:rPr>
        <w:t>eveloper;</w:t>
      </w:r>
    </w:p>
    <w:p w:rsidR="00A035CA" w:rsidRPr="00881185" w:rsidRDefault="00A035CA" w:rsidP="00881185">
      <w:pPr>
        <w:pStyle w:val="BurnessPaullClauseNumbering3"/>
        <w:numPr>
          <w:ilvl w:val="0"/>
          <w:numId w:val="34"/>
        </w:numPr>
        <w:spacing w:before="120" w:after="0" w:line="240" w:lineRule="auto"/>
        <w:ind w:left="357" w:hanging="357"/>
        <w:rPr>
          <w:snapToGrid w:val="0"/>
          <w:color w:val="412D5E"/>
        </w:rPr>
      </w:pPr>
      <w:r w:rsidRPr="00881185">
        <w:rPr>
          <w:color w:val="412D5E"/>
        </w:rPr>
        <w:t>prohibit the landowner, during the exclusivity period, from negotiating with or allowing other parties on the property for any wind farm investigations;</w:t>
      </w:r>
    </w:p>
    <w:p w:rsidR="00A035CA" w:rsidRPr="00881185" w:rsidRDefault="00A035CA" w:rsidP="00881185">
      <w:pPr>
        <w:pStyle w:val="BurnessPaullClauseNumbering3"/>
        <w:numPr>
          <w:ilvl w:val="0"/>
          <w:numId w:val="34"/>
        </w:numPr>
        <w:spacing w:before="120" w:after="0" w:line="240" w:lineRule="auto"/>
        <w:ind w:left="357" w:hanging="357"/>
        <w:rPr>
          <w:snapToGrid w:val="0"/>
          <w:color w:val="412D5E"/>
        </w:rPr>
      </w:pPr>
      <w:r w:rsidRPr="00881185">
        <w:rPr>
          <w:color w:val="412D5E"/>
        </w:rPr>
        <w:t xml:space="preserve">give the </w:t>
      </w:r>
      <w:r w:rsidR="009310AD" w:rsidRPr="00881185">
        <w:rPr>
          <w:color w:val="412D5E"/>
        </w:rPr>
        <w:t>d</w:t>
      </w:r>
      <w:r w:rsidRPr="00881185">
        <w:rPr>
          <w:color w:val="412D5E"/>
        </w:rPr>
        <w:t xml:space="preserve">eveloper exclusive rights to erect (subject to the </w:t>
      </w:r>
      <w:r w:rsidR="009310AD" w:rsidRPr="00881185">
        <w:rPr>
          <w:color w:val="412D5E"/>
        </w:rPr>
        <w:t>d</w:t>
      </w:r>
      <w:r w:rsidRPr="00881185">
        <w:rPr>
          <w:color w:val="412D5E"/>
        </w:rPr>
        <w:t>eveloper obtaining any necessary planning permissions) anemometers  to measure the wind speed and wind direction and carry out other surveys, for example, ground condition surveys, initial environmental surveys etc;</w:t>
      </w:r>
    </w:p>
    <w:p w:rsidR="00A80FD6" w:rsidRPr="00881185" w:rsidRDefault="00A80FD6" w:rsidP="00881185">
      <w:pPr>
        <w:pStyle w:val="BurnessPaullClauseNumbering3"/>
        <w:numPr>
          <w:ilvl w:val="0"/>
          <w:numId w:val="34"/>
        </w:numPr>
        <w:spacing w:before="120" w:after="0" w:line="240" w:lineRule="auto"/>
        <w:ind w:left="357" w:hanging="357"/>
        <w:rPr>
          <w:snapToGrid w:val="0"/>
          <w:color w:val="412D5E"/>
        </w:rPr>
      </w:pPr>
      <w:proofErr w:type="gramStart"/>
      <w:r w:rsidRPr="00881185">
        <w:rPr>
          <w:color w:val="412D5E"/>
        </w:rPr>
        <w:t>allow</w:t>
      </w:r>
      <w:proofErr w:type="gramEnd"/>
      <w:r w:rsidRPr="00881185">
        <w:rPr>
          <w:color w:val="412D5E"/>
        </w:rPr>
        <w:t xml:space="preserve"> for the parties to negotiate the terms of an </w:t>
      </w:r>
      <w:r w:rsidR="009310AD" w:rsidRPr="00881185">
        <w:rPr>
          <w:color w:val="412D5E"/>
        </w:rPr>
        <w:t xml:space="preserve">option agreement/lease </w:t>
      </w:r>
      <w:r w:rsidRPr="00881185">
        <w:rPr>
          <w:color w:val="412D5E"/>
        </w:rPr>
        <w:t xml:space="preserve">if the </w:t>
      </w:r>
      <w:r w:rsidR="009310AD" w:rsidRPr="00881185">
        <w:rPr>
          <w:color w:val="412D5E"/>
        </w:rPr>
        <w:t>d</w:t>
      </w:r>
      <w:r w:rsidRPr="00881185">
        <w:rPr>
          <w:color w:val="412D5E"/>
        </w:rPr>
        <w:t>eveloper wishes to proceed (but without any obligation if agreement on the terms cannot be reached).</w:t>
      </w:r>
    </w:p>
    <w:p w:rsidR="00881185" w:rsidRDefault="00881185" w:rsidP="00881185">
      <w:pPr>
        <w:pStyle w:val="BurnessPaullClauseNumbering3"/>
        <w:numPr>
          <w:ilvl w:val="0"/>
          <w:numId w:val="0"/>
        </w:numPr>
        <w:spacing w:after="0" w:line="240" w:lineRule="auto"/>
        <w:rPr>
          <w:b/>
          <w:color w:val="412D5E"/>
        </w:rPr>
      </w:pPr>
    </w:p>
    <w:p w:rsidR="009310AD" w:rsidRPr="00881185" w:rsidRDefault="009310AD" w:rsidP="00881185">
      <w:pPr>
        <w:pStyle w:val="BurnessPaullClauseNumbering3"/>
        <w:numPr>
          <w:ilvl w:val="0"/>
          <w:numId w:val="0"/>
        </w:numPr>
        <w:spacing w:after="0" w:line="240" w:lineRule="auto"/>
        <w:rPr>
          <w:b/>
          <w:snapToGrid w:val="0"/>
          <w:color w:val="412D5E"/>
        </w:rPr>
      </w:pPr>
      <w:r w:rsidRPr="00881185">
        <w:rPr>
          <w:b/>
          <w:color w:val="412D5E"/>
        </w:rPr>
        <w:t>Option Agreement</w:t>
      </w:r>
    </w:p>
    <w:p w:rsidR="00881185" w:rsidRDefault="00881185" w:rsidP="00881185">
      <w:pPr>
        <w:pStyle w:val="BurnessPaullClauseNumbering2"/>
        <w:numPr>
          <w:ilvl w:val="0"/>
          <w:numId w:val="0"/>
        </w:numPr>
        <w:spacing w:after="0" w:line="240" w:lineRule="auto"/>
        <w:jc w:val="left"/>
        <w:rPr>
          <w:color w:val="412D5E"/>
        </w:rPr>
      </w:pPr>
    </w:p>
    <w:p w:rsidR="007323C5" w:rsidRPr="00881185" w:rsidRDefault="007323C5" w:rsidP="00881185">
      <w:pPr>
        <w:pStyle w:val="BurnessPaullClauseNumbering2"/>
        <w:numPr>
          <w:ilvl w:val="0"/>
          <w:numId w:val="0"/>
        </w:numPr>
        <w:spacing w:after="0" w:line="240" w:lineRule="auto"/>
        <w:jc w:val="left"/>
        <w:rPr>
          <w:color w:val="412D5E"/>
        </w:rPr>
      </w:pPr>
      <w:r w:rsidRPr="00881185">
        <w:rPr>
          <w:color w:val="412D5E"/>
        </w:rPr>
        <w:t xml:space="preserve">An </w:t>
      </w:r>
      <w:r w:rsidR="009310AD" w:rsidRPr="00881185">
        <w:rPr>
          <w:color w:val="412D5E"/>
        </w:rPr>
        <w:t xml:space="preserve">option agreement usually attaches a draft form of the lease and </w:t>
      </w:r>
      <w:r w:rsidRPr="00881185">
        <w:rPr>
          <w:color w:val="412D5E"/>
        </w:rPr>
        <w:t>will typically cover the following:-</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Option period</w:t>
      </w:r>
      <w:r w:rsidRPr="00881185">
        <w:rPr>
          <w:color w:val="412D5E"/>
        </w:rPr>
        <w:t xml:space="preserve"> – for</w:t>
      </w:r>
      <w:r w:rsidR="009310AD" w:rsidRPr="00881185">
        <w:rPr>
          <w:color w:val="412D5E"/>
        </w:rPr>
        <w:t xml:space="preserve"> perhaps, </w:t>
      </w:r>
      <w:r w:rsidRPr="00881185">
        <w:rPr>
          <w:color w:val="412D5E"/>
        </w:rPr>
        <w:t>a three</w:t>
      </w:r>
      <w:r w:rsidR="009310AD" w:rsidRPr="00881185">
        <w:rPr>
          <w:color w:val="412D5E"/>
        </w:rPr>
        <w:t xml:space="preserve"> - five</w:t>
      </w:r>
      <w:r w:rsidRPr="00881185">
        <w:rPr>
          <w:color w:val="412D5E"/>
        </w:rPr>
        <w:t xml:space="preserve"> year initial period.  The </w:t>
      </w:r>
      <w:r w:rsidR="007C29AE" w:rsidRPr="00881185">
        <w:rPr>
          <w:color w:val="412D5E"/>
        </w:rPr>
        <w:t xml:space="preserve">developer usually </w:t>
      </w:r>
      <w:r w:rsidRPr="00881185">
        <w:rPr>
          <w:color w:val="412D5E"/>
        </w:rPr>
        <w:t xml:space="preserve">has a right to extend beyond </w:t>
      </w:r>
      <w:r w:rsidR="007C29AE" w:rsidRPr="00881185">
        <w:rPr>
          <w:color w:val="412D5E"/>
        </w:rPr>
        <w:t>the initial period</w:t>
      </w:r>
      <w:r w:rsidRPr="00881185">
        <w:rPr>
          <w:color w:val="412D5E"/>
        </w:rPr>
        <w:t xml:space="preserve"> if the planning decision or appeal is pending or a judicial review period is outstanding.  The </w:t>
      </w:r>
      <w:r w:rsidR="007C29AE" w:rsidRPr="00881185">
        <w:rPr>
          <w:color w:val="412D5E"/>
        </w:rPr>
        <w:t>d</w:t>
      </w:r>
      <w:r w:rsidRPr="00881185">
        <w:rPr>
          <w:color w:val="412D5E"/>
        </w:rPr>
        <w:t>eveloper will also try to have a right to extend if further time is needed to secure grid connection agreements;</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Option fee</w:t>
      </w:r>
      <w:r w:rsidRPr="00881185">
        <w:rPr>
          <w:color w:val="412D5E"/>
        </w:rPr>
        <w:t xml:space="preserve"> – this is an annual amount payable for the option period;</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 xml:space="preserve">Surveys </w:t>
      </w:r>
      <w:r w:rsidRPr="00881185">
        <w:rPr>
          <w:color w:val="412D5E"/>
        </w:rPr>
        <w:t xml:space="preserve">– the </w:t>
      </w:r>
      <w:r w:rsidR="000C5E06" w:rsidRPr="00881185">
        <w:rPr>
          <w:color w:val="412D5E"/>
        </w:rPr>
        <w:t>d</w:t>
      </w:r>
      <w:r w:rsidRPr="00881185">
        <w:rPr>
          <w:color w:val="412D5E"/>
        </w:rPr>
        <w:t>eveloper should have an exclusive right to erect anemometers  and carry out surveys and other assessments during the option period;</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 xml:space="preserve">Planning </w:t>
      </w:r>
      <w:r w:rsidRPr="00881185">
        <w:rPr>
          <w:color w:val="412D5E"/>
        </w:rPr>
        <w:t xml:space="preserve">– the </w:t>
      </w:r>
      <w:r w:rsidR="000C5E06" w:rsidRPr="00881185">
        <w:rPr>
          <w:color w:val="412D5E"/>
        </w:rPr>
        <w:t>d</w:t>
      </w:r>
      <w:r w:rsidRPr="00881185">
        <w:rPr>
          <w:color w:val="412D5E"/>
        </w:rPr>
        <w:t xml:space="preserve">eveloper will want maximum flexibility to run the planning application as it sees fit.  The landowner might push for a reasonable endeavours obligation to obtain planning permission as soon as possible for a scheme as large as is reasonably practicable.  The </w:t>
      </w:r>
      <w:r w:rsidR="000C5E06" w:rsidRPr="00881185">
        <w:rPr>
          <w:color w:val="412D5E"/>
        </w:rPr>
        <w:t>d</w:t>
      </w:r>
      <w:r w:rsidRPr="00881185">
        <w:rPr>
          <w:color w:val="412D5E"/>
        </w:rPr>
        <w:t xml:space="preserve">eveloper will want </w:t>
      </w:r>
      <w:r w:rsidR="000C5E06" w:rsidRPr="00881185">
        <w:rPr>
          <w:color w:val="412D5E"/>
        </w:rPr>
        <w:t xml:space="preserve">to seek </w:t>
      </w:r>
      <w:r w:rsidRPr="00881185">
        <w:rPr>
          <w:color w:val="412D5E"/>
        </w:rPr>
        <w:t>complete discretion to appeal any planning refusal or adverse planning conditions;</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 xml:space="preserve">Section 75 agreement </w:t>
      </w:r>
      <w:r w:rsidRPr="00881185">
        <w:rPr>
          <w:color w:val="412D5E"/>
        </w:rPr>
        <w:t>– planning permission will typically be subject to a</w:t>
      </w:r>
      <w:r w:rsidR="000C5E06" w:rsidRPr="00881185">
        <w:rPr>
          <w:color w:val="412D5E"/>
        </w:rPr>
        <w:t xml:space="preserve"> section 75 planning agreement</w:t>
      </w:r>
      <w:r w:rsidRPr="00881185">
        <w:rPr>
          <w:color w:val="412D5E"/>
        </w:rPr>
        <w:t xml:space="preserve">.  The option agreement should oblige the landowner to enter into any required statutory agreement (but the landowner will expect the </w:t>
      </w:r>
      <w:r w:rsidR="000C5E06" w:rsidRPr="00881185">
        <w:rPr>
          <w:color w:val="412D5E"/>
        </w:rPr>
        <w:t>d</w:t>
      </w:r>
      <w:r w:rsidRPr="00881185">
        <w:rPr>
          <w:color w:val="412D5E"/>
        </w:rPr>
        <w:t>eveloper to undertake to comply with all obligations in the statutory agreement</w:t>
      </w:r>
      <w:r w:rsidR="000C5E06" w:rsidRPr="00881185">
        <w:rPr>
          <w:color w:val="412D5E"/>
        </w:rPr>
        <w:t xml:space="preserve"> and cover costs</w:t>
      </w:r>
      <w:r w:rsidRPr="00881185">
        <w:rPr>
          <w:color w:val="412D5E"/>
        </w:rPr>
        <w:t>);</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lastRenderedPageBreak/>
        <w:t>Option security</w:t>
      </w:r>
      <w:r w:rsidRPr="00881185">
        <w:rPr>
          <w:color w:val="412D5E"/>
        </w:rPr>
        <w:t xml:space="preserve"> - the option agreement will normally provide for the landowner to grant a standard security (fixed charge) to secure the landowner’s obligations under the option agreement.  It is normally agreed that such security will rank postponed to any security granted to the landowner’s lenders;</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Alienation</w:t>
      </w:r>
      <w:r w:rsidRPr="00881185">
        <w:rPr>
          <w:color w:val="412D5E"/>
        </w:rPr>
        <w:t xml:space="preserve"> – the option agreement should allow the </w:t>
      </w:r>
      <w:r w:rsidR="000C5E06" w:rsidRPr="00881185">
        <w:rPr>
          <w:color w:val="412D5E"/>
        </w:rPr>
        <w:t>d</w:t>
      </w:r>
      <w:r w:rsidRPr="00881185">
        <w:rPr>
          <w:color w:val="412D5E"/>
        </w:rPr>
        <w:t xml:space="preserve">eveloper to assign the option agreement.  Typically, the landowner will only allow assignees </w:t>
      </w:r>
      <w:r w:rsidR="000C5E06" w:rsidRPr="00881185">
        <w:rPr>
          <w:color w:val="412D5E"/>
        </w:rPr>
        <w:t>who</w:t>
      </w:r>
      <w:r w:rsidRPr="00881185">
        <w:rPr>
          <w:color w:val="412D5E"/>
        </w:rPr>
        <w:t xml:space="preserve"> are demonstrably capable of performing the </w:t>
      </w:r>
      <w:r w:rsidR="000C5E06" w:rsidRPr="00881185">
        <w:rPr>
          <w:color w:val="412D5E"/>
        </w:rPr>
        <w:t>d</w:t>
      </w:r>
      <w:r w:rsidRPr="00881185">
        <w:rPr>
          <w:color w:val="412D5E"/>
        </w:rPr>
        <w:t>eveloper’s obligations under the option agreement</w:t>
      </w:r>
      <w:r w:rsidR="00121BC9" w:rsidRPr="00881185">
        <w:rPr>
          <w:color w:val="412D5E"/>
        </w:rPr>
        <w:t xml:space="preserve"> and/or the tenant’s obligations under the Lease</w:t>
      </w:r>
      <w:r w:rsidRPr="00881185">
        <w:rPr>
          <w:color w:val="412D5E"/>
        </w:rPr>
        <w:t>.  Landowners often also look for assignation payments to be made, except for intra-group assignations;</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Obligation to bind successors</w:t>
      </w:r>
      <w:r w:rsidRPr="00881185">
        <w:rPr>
          <w:color w:val="412D5E"/>
        </w:rPr>
        <w:t xml:space="preserve"> – the landowner is usually entitled to sell or transfer the property during the option period provided that he procures </w:t>
      </w:r>
      <w:r w:rsidR="00F53ADC" w:rsidRPr="00881185">
        <w:rPr>
          <w:color w:val="412D5E"/>
        </w:rPr>
        <w:t xml:space="preserve">that the purchaser/transferee </w:t>
      </w:r>
      <w:r w:rsidRPr="00881185">
        <w:rPr>
          <w:color w:val="412D5E"/>
        </w:rPr>
        <w:t xml:space="preserve"> enter</w:t>
      </w:r>
      <w:r w:rsidR="00F53ADC" w:rsidRPr="00881185">
        <w:rPr>
          <w:color w:val="412D5E"/>
        </w:rPr>
        <w:t>s</w:t>
      </w:r>
      <w:r w:rsidRPr="00881185">
        <w:rPr>
          <w:color w:val="412D5E"/>
        </w:rPr>
        <w:t xml:space="preserve"> into a replacement option agreement for the remainder of the option period (and grant</w:t>
      </w:r>
      <w:r w:rsidR="00F53ADC" w:rsidRPr="00881185">
        <w:rPr>
          <w:color w:val="412D5E"/>
        </w:rPr>
        <w:t>s</w:t>
      </w:r>
      <w:r w:rsidRPr="00881185">
        <w:rPr>
          <w:color w:val="412D5E"/>
        </w:rPr>
        <w:t xml:space="preserve"> a replacement standard security to secure the replacement option agreement);</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Step-in rights</w:t>
      </w:r>
      <w:r w:rsidRPr="00881185">
        <w:rPr>
          <w:color w:val="412D5E"/>
        </w:rPr>
        <w:t xml:space="preserve"> – the option agreement should allow for step-in rights</w:t>
      </w:r>
      <w:r w:rsidR="00F53ADC" w:rsidRPr="00881185">
        <w:rPr>
          <w:color w:val="412D5E"/>
        </w:rPr>
        <w:t xml:space="preserve">/a direct agreement </w:t>
      </w:r>
      <w:r w:rsidRPr="00881185">
        <w:rPr>
          <w:color w:val="412D5E"/>
        </w:rPr>
        <w:t xml:space="preserve"> if they are required by a funder;</w:t>
      </w:r>
    </w:p>
    <w:p w:rsidR="007323C5" w:rsidRPr="0088118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Grant of lease</w:t>
      </w:r>
      <w:r w:rsidRPr="00881185">
        <w:rPr>
          <w:color w:val="412D5E"/>
        </w:rPr>
        <w:t xml:space="preserve"> – the landowner is obliged to grant the lease if the </w:t>
      </w:r>
      <w:r w:rsidR="00121BC9" w:rsidRPr="00881185">
        <w:rPr>
          <w:color w:val="412D5E"/>
        </w:rPr>
        <w:t>d</w:t>
      </w:r>
      <w:r w:rsidRPr="00881185">
        <w:rPr>
          <w:color w:val="412D5E"/>
        </w:rPr>
        <w:t>eveloper serves the option notice;</w:t>
      </w:r>
    </w:p>
    <w:p w:rsidR="007323C5" w:rsidRDefault="007323C5" w:rsidP="00881185">
      <w:pPr>
        <w:pStyle w:val="BurnessPaullClauseNumbering3"/>
        <w:numPr>
          <w:ilvl w:val="0"/>
          <w:numId w:val="35"/>
        </w:numPr>
        <w:spacing w:before="120" w:after="0" w:line="240" w:lineRule="auto"/>
        <w:ind w:left="357" w:hanging="357"/>
        <w:rPr>
          <w:color w:val="412D5E"/>
        </w:rPr>
      </w:pPr>
      <w:r w:rsidRPr="00881185">
        <w:rPr>
          <w:b/>
          <w:bCs/>
          <w:color w:val="412D5E"/>
        </w:rPr>
        <w:t xml:space="preserve">Title </w:t>
      </w:r>
      <w:r w:rsidRPr="00881185">
        <w:rPr>
          <w:color w:val="412D5E"/>
        </w:rPr>
        <w:t xml:space="preserve">– the </w:t>
      </w:r>
      <w:r w:rsidR="00121BC9" w:rsidRPr="00881185">
        <w:rPr>
          <w:color w:val="412D5E"/>
        </w:rPr>
        <w:t>d</w:t>
      </w:r>
      <w:r w:rsidRPr="00881185">
        <w:rPr>
          <w:color w:val="412D5E"/>
        </w:rPr>
        <w:t xml:space="preserve">eveloper will either satisfy itself on the landowner’s title and access rights prior to entering into the option agreement or those issues should be a </w:t>
      </w:r>
      <w:proofErr w:type="spellStart"/>
      <w:r w:rsidRPr="00881185">
        <w:rPr>
          <w:color w:val="412D5E"/>
        </w:rPr>
        <w:t>suspensive</w:t>
      </w:r>
      <w:proofErr w:type="spellEnd"/>
      <w:r w:rsidRPr="00881185">
        <w:rPr>
          <w:color w:val="412D5E"/>
        </w:rPr>
        <w:t xml:space="preserve"> condition within the option agreement.</w:t>
      </w:r>
    </w:p>
    <w:p w:rsidR="00881185" w:rsidRDefault="00881185" w:rsidP="00E720DB">
      <w:pPr>
        <w:pStyle w:val="BurnessPaullClauseNumbering3"/>
        <w:numPr>
          <w:ilvl w:val="0"/>
          <w:numId w:val="0"/>
        </w:numPr>
        <w:spacing w:after="0" w:line="240" w:lineRule="auto"/>
        <w:rPr>
          <w:color w:val="412D5E"/>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2616"/>
        <w:gridCol w:w="5074"/>
      </w:tblGrid>
      <w:tr w:rsidR="00E720DB" w:rsidTr="00E720DB">
        <w:tc>
          <w:tcPr>
            <w:tcW w:w="2365" w:type="dxa"/>
          </w:tcPr>
          <w:p w:rsidR="004C1F87" w:rsidRDefault="004C1F87" w:rsidP="0008706E">
            <w:pPr>
              <w:pStyle w:val="ListParagraph"/>
              <w:ind w:left="0"/>
              <w:rPr>
                <w:b/>
                <w:color w:val="412D5E"/>
                <w:szCs w:val="22"/>
              </w:rPr>
            </w:pPr>
            <w:r>
              <w:rPr>
                <w:b/>
                <w:noProof/>
                <w:color w:val="412D5E"/>
                <w:szCs w:val="22"/>
              </w:rPr>
              <w:drawing>
                <wp:inline distT="0" distB="0" distL="0" distR="0">
                  <wp:extent cx="1495425" cy="923925"/>
                  <wp:effectExtent l="19050" t="0" r="9525" b="0"/>
                  <wp:docPr id="2" name="Picture 1" descr="James Forb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ames Forbes.jpg"/>
                          <pic:cNvPicPr/>
                        </pic:nvPicPr>
                        <pic:blipFill>
                          <a:blip r:embed="rId7" cstate="print"/>
                          <a:stretch>
                            <a:fillRect/>
                          </a:stretch>
                        </pic:blipFill>
                        <pic:spPr>
                          <a:xfrm>
                            <a:off x="0" y="0"/>
                            <a:ext cx="1501624" cy="927755"/>
                          </a:xfrm>
                          <a:prstGeom prst="rect">
                            <a:avLst/>
                          </a:prstGeom>
                        </pic:spPr>
                      </pic:pic>
                    </a:graphicData>
                  </a:graphic>
                </wp:inline>
              </w:drawing>
            </w:r>
          </w:p>
        </w:tc>
        <w:tc>
          <w:tcPr>
            <w:tcW w:w="6157" w:type="dxa"/>
          </w:tcPr>
          <w:p w:rsidR="004C1F87" w:rsidRPr="00584D40" w:rsidRDefault="004C1F87" w:rsidP="00E720DB">
            <w:pPr>
              <w:pStyle w:val="ListParagraph"/>
              <w:spacing w:after="0" w:line="240" w:lineRule="auto"/>
              <w:ind w:left="68"/>
              <w:jc w:val="left"/>
              <w:rPr>
                <w:b/>
                <w:color w:val="412D5E"/>
                <w:szCs w:val="22"/>
              </w:rPr>
            </w:pPr>
            <w:r w:rsidRPr="00584D40">
              <w:rPr>
                <w:b/>
                <w:color w:val="412D5E"/>
                <w:szCs w:val="22"/>
              </w:rPr>
              <w:t>James Forbes</w:t>
            </w:r>
          </w:p>
          <w:p w:rsidR="004C1F87" w:rsidRPr="00584D40" w:rsidRDefault="004C1F87" w:rsidP="00E720DB">
            <w:pPr>
              <w:pStyle w:val="ListParagraph"/>
              <w:spacing w:after="0" w:line="240" w:lineRule="auto"/>
              <w:ind w:left="68"/>
              <w:jc w:val="left"/>
              <w:rPr>
                <w:color w:val="412D5E"/>
                <w:szCs w:val="22"/>
              </w:rPr>
            </w:pPr>
            <w:r w:rsidRPr="00584D40">
              <w:rPr>
                <w:color w:val="412D5E"/>
                <w:szCs w:val="22"/>
              </w:rPr>
              <w:t>Partner</w:t>
            </w:r>
          </w:p>
          <w:p w:rsidR="004C1F87" w:rsidRPr="00584D40" w:rsidRDefault="004C1F87" w:rsidP="00E720DB">
            <w:pPr>
              <w:pStyle w:val="ListParagraph"/>
              <w:spacing w:after="0" w:line="240" w:lineRule="auto"/>
              <w:ind w:left="68"/>
              <w:jc w:val="left"/>
              <w:rPr>
                <w:color w:val="412D5E"/>
                <w:szCs w:val="22"/>
              </w:rPr>
            </w:pPr>
            <w:r w:rsidRPr="00584D40">
              <w:rPr>
                <w:color w:val="412D5E"/>
                <w:szCs w:val="22"/>
              </w:rPr>
              <w:t>+44 (0)141 273 6752</w:t>
            </w:r>
          </w:p>
          <w:p w:rsidR="004C1F87" w:rsidRPr="00584D40" w:rsidRDefault="004C1F87" w:rsidP="00E720DB">
            <w:pPr>
              <w:pStyle w:val="ListParagraph"/>
              <w:spacing w:after="0" w:line="240" w:lineRule="auto"/>
              <w:ind w:left="68"/>
              <w:jc w:val="left"/>
              <w:rPr>
                <w:color w:val="412D5E"/>
                <w:szCs w:val="22"/>
              </w:rPr>
            </w:pPr>
            <w:r w:rsidRPr="00584D40">
              <w:rPr>
                <w:color w:val="412D5E"/>
                <w:szCs w:val="22"/>
              </w:rPr>
              <w:t>+44 (0)7736 083 237</w:t>
            </w:r>
          </w:p>
          <w:p w:rsidR="004C1F87" w:rsidRDefault="004C1F87" w:rsidP="00E720DB">
            <w:pPr>
              <w:pStyle w:val="ListParagraph"/>
              <w:spacing w:after="0" w:line="240" w:lineRule="auto"/>
              <w:ind w:left="68"/>
              <w:rPr>
                <w:color w:val="412D5E"/>
                <w:szCs w:val="22"/>
              </w:rPr>
            </w:pPr>
            <w:hyperlink r:id="rId8" w:history="1">
              <w:r w:rsidRPr="00584D40">
                <w:rPr>
                  <w:color w:val="412D5E"/>
                </w:rPr>
                <w:t>james.forbes@burnesspaull.com</w:t>
              </w:r>
            </w:hyperlink>
          </w:p>
          <w:p w:rsidR="00E720DB" w:rsidRPr="004C1F87" w:rsidRDefault="00E720DB" w:rsidP="00E720DB">
            <w:pPr>
              <w:pStyle w:val="ListParagraph"/>
              <w:spacing w:after="0" w:line="240" w:lineRule="auto"/>
              <w:ind w:left="68"/>
              <w:rPr>
                <w:color w:val="412D5E"/>
                <w:szCs w:val="22"/>
              </w:rPr>
            </w:pPr>
          </w:p>
        </w:tc>
      </w:tr>
      <w:tr w:rsidR="00E720DB" w:rsidTr="00E720DB">
        <w:tc>
          <w:tcPr>
            <w:tcW w:w="2365" w:type="dxa"/>
          </w:tcPr>
          <w:p w:rsidR="004C1F87" w:rsidRDefault="00E720DB" w:rsidP="0008706E">
            <w:pPr>
              <w:pStyle w:val="ListParagraph"/>
              <w:ind w:left="0"/>
              <w:rPr>
                <w:b/>
                <w:color w:val="412D5E"/>
                <w:szCs w:val="22"/>
              </w:rPr>
            </w:pPr>
            <w:r>
              <w:rPr>
                <w:b/>
                <w:noProof/>
                <w:color w:val="412D5E"/>
                <w:szCs w:val="22"/>
                <w:lang w:eastAsia="en-GB"/>
              </w:rPr>
              <w:drawing>
                <wp:inline distT="0" distB="0" distL="0" distR="0">
                  <wp:extent cx="1495425" cy="1040735"/>
                  <wp:effectExtent l="19050" t="0" r="9525" b="0"/>
                  <wp:docPr id="5" name="Picture 4" descr="Tamar Tammes 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amar Tammes 2.jpg"/>
                          <pic:cNvPicPr/>
                        </pic:nvPicPr>
                        <pic:blipFill>
                          <a:blip r:embed="rId9" cstate="print"/>
                          <a:stretch>
                            <a:fillRect/>
                          </a:stretch>
                        </pic:blipFill>
                        <pic:spPr>
                          <a:xfrm>
                            <a:off x="0" y="0"/>
                            <a:ext cx="1494163" cy="1039857"/>
                          </a:xfrm>
                          <a:prstGeom prst="rect">
                            <a:avLst/>
                          </a:prstGeom>
                        </pic:spPr>
                      </pic:pic>
                    </a:graphicData>
                  </a:graphic>
                </wp:inline>
              </w:drawing>
            </w:r>
          </w:p>
        </w:tc>
        <w:tc>
          <w:tcPr>
            <w:tcW w:w="6157" w:type="dxa"/>
          </w:tcPr>
          <w:p w:rsidR="00E720DB" w:rsidRPr="00E720DB" w:rsidRDefault="00E720DB" w:rsidP="00E720DB">
            <w:pPr>
              <w:pStyle w:val="ListParagraph"/>
              <w:spacing w:after="0" w:line="240" w:lineRule="auto"/>
              <w:ind w:left="68"/>
              <w:rPr>
                <w:b/>
                <w:color w:val="412D5E"/>
                <w:szCs w:val="22"/>
              </w:rPr>
            </w:pPr>
            <w:r w:rsidRPr="00E720DB">
              <w:rPr>
                <w:b/>
                <w:color w:val="412D5E"/>
                <w:szCs w:val="22"/>
              </w:rPr>
              <w:t>Tamar Tammes</w:t>
            </w:r>
          </w:p>
          <w:p w:rsidR="00E720DB" w:rsidRPr="00E720DB" w:rsidRDefault="00E720DB" w:rsidP="00E720DB">
            <w:pPr>
              <w:pStyle w:val="ListParagraph"/>
              <w:spacing w:after="0" w:line="240" w:lineRule="auto"/>
              <w:ind w:left="68"/>
              <w:rPr>
                <w:color w:val="412D5E"/>
                <w:szCs w:val="22"/>
              </w:rPr>
            </w:pPr>
            <w:r w:rsidRPr="00E720DB">
              <w:rPr>
                <w:color w:val="412D5E"/>
                <w:szCs w:val="22"/>
              </w:rPr>
              <w:t>Partner</w:t>
            </w:r>
          </w:p>
          <w:p w:rsidR="00E720DB" w:rsidRPr="00E720DB" w:rsidRDefault="00E720DB" w:rsidP="00E720DB">
            <w:pPr>
              <w:pStyle w:val="ListParagraph"/>
              <w:spacing w:after="0" w:line="240" w:lineRule="auto"/>
              <w:ind w:left="68"/>
              <w:rPr>
                <w:color w:val="412D5E"/>
                <w:szCs w:val="22"/>
              </w:rPr>
            </w:pPr>
            <w:r w:rsidRPr="00E720DB">
              <w:rPr>
                <w:color w:val="412D5E"/>
                <w:szCs w:val="22"/>
              </w:rPr>
              <w:t>+44 (0)131 473 6169</w:t>
            </w:r>
          </w:p>
          <w:p w:rsidR="00E720DB" w:rsidRPr="00E720DB" w:rsidRDefault="00E720DB" w:rsidP="00E720DB">
            <w:pPr>
              <w:pStyle w:val="ListParagraph"/>
              <w:spacing w:after="0" w:line="240" w:lineRule="auto"/>
              <w:ind w:left="68"/>
              <w:rPr>
                <w:color w:val="412D5E"/>
                <w:szCs w:val="22"/>
              </w:rPr>
            </w:pPr>
            <w:r w:rsidRPr="00E720DB">
              <w:rPr>
                <w:color w:val="412D5E"/>
                <w:szCs w:val="22"/>
              </w:rPr>
              <w:t>+44 (0)7736 083 223</w:t>
            </w:r>
          </w:p>
          <w:p w:rsidR="004C1F87" w:rsidRDefault="00E720DB" w:rsidP="00E720DB">
            <w:pPr>
              <w:pStyle w:val="ListParagraph"/>
              <w:spacing w:after="0" w:line="240" w:lineRule="auto"/>
              <w:ind w:left="68"/>
              <w:rPr>
                <w:b/>
                <w:color w:val="412D5E"/>
                <w:szCs w:val="22"/>
              </w:rPr>
            </w:pPr>
            <w:r w:rsidRPr="00E720DB">
              <w:rPr>
                <w:color w:val="412D5E"/>
                <w:szCs w:val="22"/>
              </w:rPr>
              <w:t>tamar.tammes@burnesspaull.com</w:t>
            </w:r>
          </w:p>
        </w:tc>
      </w:tr>
    </w:tbl>
    <w:p w:rsidR="00881185" w:rsidRDefault="00881185" w:rsidP="00E720DB">
      <w:pPr>
        <w:pStyle w:val="BurnessPaullClauseNumbering3"/>
        <w:numPr>
          <w:ilvl w:val="0"/>
          <w:numId w:val="0"/>
        </w:numPr>
        <w:spacing w:after="0" w:line="240" w:lineRule="auto"/>
        <w:rPr>
          <w:color w:val="412D5E"/>
        </w:rPr>
      </w:pPr>
    </w:p>
    <w:p w:rsidR="00881185" w:rsidRDefault="00881185" w:rsidP="00E720DB">
      <w:pPr>
        <w:pStyle w:val="BurnessPaullClauseNumbering3"/>
        <w:numPr>
          <w:ilvl w:val="0"/>
          <w:numId w:val="0"/>
        </w:numPr>
        <w:spacing w:after="0" w:line="240" w:lineRule="auto"/>
        <w:rPr>
          <w:color w:val="412D5E"/>
        </w:rPr>
      </w:pPr>
    </w:p>
    <w:p w:rsidR="009B5E04" w:rsidRPr="00E720DB" w:rsidRDefault="00881185" w:rsidP="009B5E04">
      <w:pPr>
        <w:pStyle w:val="BurnessPaullClauseNumbering3"/>
        <w:numPr>
          <w:ilvl w:val="0"/>
          <w:numId w:val="0"/>
        </w:numPr>
        <w:spacing w:after="0" w:line="240" w:lineRule="auto"/>
        <w:rPr>
          <w:color w:val="412D5E"/>
          <w:sz w:val="16"/>
          <w:szCs w:val="16"/>
        </w:rPr>
      </w:pPr>
      <w:r w:rsidRPr="00E720DB">
        <w:rPr>
          <w:color w:val="412D5E"/>
          <w:sz w:val="16"/>
          <w:szCs w:val="16"/>
        </w:rPr>
        <w:t xml:space="preserve">This publication is not intended to be a comprehensive review of all developments in the law and practice, or to cover all aspects of those referred to. Readers should take legal advice before applying the information contained in this publication to specific issues or transactions. </w:t>
      </w:r>
    </w:p>
    <w:p w:rsidR="009B5E04" w:rsidRPr="00E720DB" w:rsidRDefault="009B5E04" w:rsidP="009B5E04">
      <w:pPr>
        <w:pStyle w:val="BurnessPaullClauseNumbering3"/>
        <w:numPr>
          <w:ilvl w:val="0"/>
          <w:numId w:val="0"/>
        </w:numPr>
        <w:spacing w:after="0" w:line="240" w:lineRule="auto"/>
        <w:rPr>
          <w:color w:val="412D5E"/>
          <w:sz w:val="16"/>
          <w:szCs w:val="16"/>
        </w:rPr>
      </w:pPr>
    </w:p>
    <w:p w:rsidR="00881185" w:rsidRPr="00E720DB" w:rsidRDefault="00881185" w:rsidP="009B5E04">
      <w:pPr>
        <w:pStyle w:val="BurnessPaullClauseNumbering3"/>
        <w:numPr>
          <w:ilvl w:val="0"/>
          <w:numId w:val="0"/>
        </w:numPr>
        <w:spacing w:after="0" w:line="240" w:lineRule="auto"/>
        <w:rPr>
          <w:color w:val="412D5E"/>
          <w:sz w:val="16"/>
          <w:szCs w:val="16"/>
        </w:rPr>
      </w:pPr>
      <w:r w:rsidRPr="00E720DB">
        <w:rPr>
          <w:color w:val="412D5E"/>
          <w:sz w:val="16"/>
          <w:szCs w:val="16"/>
        </w:rPr>
        <w:t xml:space="preserve">For more information please contact. For more information contact the </w:t>
      </w:r>
      <w:proofErr w:type="spellStart"/>
      <w:r w:rsidRPr="00E720DB">
        <w:rPr>
          <w:color w:val="412D5E"/>
          <w:sz w:val="16"/>
          <w:szCs w:val="16"/>
        </w:rPr>
        <w:t>Burness</w:t>
      </w:r>
      <w:proofErr w:type="spellEnd"/>
      <w:r w:rsidRPr="00E720DB">
        <w:rPr>
          <w:color w:val="412D5E"/>
          <w:sz w:val="16"/>
          <w:szCs w:val="16"/>
        </w:rPr>
        <w:t xml:space="preserve"> </w:t>
      </w:r>
      <w:proofErr w:type="spellStart"/>
      <w:r w:rsidRPr="00E720DB">
        <w:rPr>
          <w:color w:val="412D5E"/>
          <w:sz w:val="16"/>
          <w:szCs w:val="16"/>
        </w:rPr>
        <w:t>Paull</w:t>
      </w:r>
      <w:proofErr w:type="spellEnd"/>
      <w:r w:rsidRPr="00E720DB">
        <w:rPr>
          <w:color w:val="412D5E"/>
          <w:sz w:val="16"/>
          <w:szCs w:val="16"/>
        </w:rPr>
        <w:t xml:space="preserve"> contact</w:t>
      </w:r>
      <w:r w:rsidR="009B5E04" w:rsidRPr="00E720DB">
        <w:rPr>
          <w:color w:val="412D5E"/>
          <w:sz w:val="16"/>
          <w:szCs w:val="16"/>
        </w:rPr>
        <w:t>s</w:t>
      </w:r>
      <w:r w:rsidRPr="00E720DB">
        <w:rPr>
          <w:color w:val="412D5E"/>
          <w:sz w:val="16"/>
          <w:szCs w:val="16"/>
        </w:rPr>
        <w:t xml:space="preserve"> identified</w:t>
      </w:r>
      <w:r w:rsidR="009B5E04" w:rsidRPr="00E720DB">
        <w:rPr>
          <w:color w:val="412D5E"/>
          <w:sz w:val="16"/>
          <w:szCs w:val="16"/>
        </w:rPr>
        <w:t xml:space="preserve"> above</w:t>
      </w:r>
      <w:r w:rsidRPr="00E720DB">
        <w:rPr>
          <w:color w:val="412D5E"/>
          <w:sz w:val="16"/>
          <w:szCs w:val="16"/>
        </w:rPr>
        <w:t xml:space="preserve"> or contact us at 120 </w:t>
      </w:r>
      <w:proofErr w:type="spellStart"/>
      <w:r w:rsidRPr="00E720DB">
        <w:rPr>
          <w:color w:val="412D5E"/>
          <w:sz w:val="16"/>
          <w:szCs w:val="16"/>
        </w:rPr>
        <w:t>Bothwell</w:t>
      </w:r>
      <w:proofErr w:type="spellEnd"/>
      <w:r w:rsidRPr="00E720DB">
        <w:rPr>
          <w:color w:val="412D5E"/>
          <w:sz w:val="16"/>
          <w:szCs w:val="16"/>
        </w:rPr>
        <w:t xml:space="preserve"> Street, Glasgow G2 7JL on 0141 248 4933.</w:t>
      </w:r>
    </w:p>
    <w:sectPr w:rsidR="00881185" w:rsidRPr="00E720DB" w:rsidSect="004F1E99">
      <w:headerReference w:type="first" r:id="rId10"/>
      <w:pgSz w:w="11909" w:h="16834" w:code="9"/>
      <w:pgMar w:top="1440" w:right="1987" w:bottom="1440" w:left="1728" w:header="720" w:footer="907" w:gutter="0"/>
      <w:paperSrc w:first="7" w:other="7"/>
      <w:pgNumType w:start="1"/>
      <w:cols w:space="720"/>
      <w:titlePg/>
      <w:docGrid w:linePitch="326"/>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A356C" w:rsidRDefault="00EA356C">
      <w:r>
        <w:separator/>
      </w:r>
    </w:p>
  </w:endnote>
  <w:endnote w:type="continuationSeparator" w:id="0">
    <w:p w:rsidR="00EA356C" w:rsidRDefault="00EA356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A356C" w:rsidRDefault="00EA356C">
      <w:r>
        <w:separator/>
      </w:r>
    </w:p>
  </w:footnote>
  <w:footnote w:type="continuationSeparator" w:id="0">
    <w:p w:rsidR="00EA356C" w:rsidRDefault="00EA356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A3849" w:rsidRPr="004F1E99" w:rsidRDefault="00881185" w:rsidP="004F1E99">
    <w:pPr>
      <w:pStyle w:val="Header"/>
    </w:pPr>
    <w:r w:rsidRPr="00881185">
      <w:rPr>
        <w:noProof/>
        <w:lang w:eastAsia="en-GB"/>
      </w:rPr>
      <w:drawing>
        <wp:anchor distT="0" distB="0" distL="114300" distR="114300" simplePos="0" relativeHeight="251659264" behindDoc="1" locked="0" layoutInCell="1" allowOverlap="1">
          <wp:simplePos x="0" y="0"/>
          <wp:positionH relativeFrom="column">
            <wp:posOffset>3979545</wp:posOffset>
          </wp:positionH>
          <wp:positionV relativeFrom="paragraph">
            <wp:posOffset>-190500</wp:posOffset>
          </wp:positionV>
          <wp:extent cx="1771650" cy="552450"/>
          <wp:effectExtent l="19050" t="0" r="0" b="0"/>
          <wp:wrapTight wrapText="bothSides">
            <wp:wrapPolygon edited="0">
              <wp:start x="-232" y="745"/>
              <wp:lineTo x="2787" y="16386"/>
              <wp:lineTo x="3019" y="16386"/>
              <wp:lineTo x="4413" y="16386"/>
              <wp:lineTo x="3716" y="12662"/>
              <wp:lineTo x="19045" y="12662"/>
              <wp:lineTo x="19045" y="2979"/>
              <wp:lineTo x="1161" y="745"/>
              <wp:lineTo x="-232" y="745"/>
            </wp:wrapPolygon>
          </wp:wrapTight>
          <wp:docPr id="1" name="Picture 0" descr="BP Purple on transparent backgrou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 Purple on transparent background.png"/>
                  <pic:cNvPicPr/>
                </pic:nvPicPr>
                <pic:blipFill>
                  <a:blip r:embed="rId1"/>
                  <a:stretch>
                    <a:fillRect/>
                  </a:stretch>
                </pic:blipFill>
                <pic:spPr>
                  <a:xfrm>
                    <a:off x="0" y="0"/>
                    <a:ext cx="1771650" cy="552450"/>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450BA8"/>
    <w:multiLevelType w:val="multilevel"/>
    <w:tmpl w:val="E3C69E04"/>
    <w:lvl w:ilvl="0">
      <w:start w:val="1"/>
      <w:numFmt w:val="decimal"/>
      <w:lvlRestart w:val="0"/>
      <w:pStyle w:val="NumHeading1"/>
      <w:lvlText w:val="%1"/>
      <w:lvlJc w:val="left"/>
      <w:pPr>
        <w:tabs>
          <w:tab w:val="num" w:pos="709"/>
        </w:tabs>
        <w:ind w:left="709" w:hanging="709"/>
      </w:pPr>
      <w:rPr>
        <w:rFonts w:hint="default"/>
      </w:rPr>
    </w:lvl>
    <w:lvl w:ilvl="1">
      <w:start w:val="1"/>
      <w:numFmt w:val="decimal"/>
      <w:pStyle w:val="NumHeading2"/>
      <w:lvlText w:val="%1.%2"/>
      <w:lvlJc w:val="left"/>
      <w:pPr>
        <w:tabs>
          <w:tab w:val="num" w:pos="1417"/>
        </w:tabs>
        <w:ind w:left="1417" w:hanging="708"/>
      </w:pPr>
      <w:rPr>
        <w:rFonts w:hint="default"/>
      </w:rPr>
    </w:lvl>
    <w:lvl w:ilvl="2">
      <w:start w:val="1"/>
      <w:numFmt w:val="decimal"/>
      <w:pStyle w:val="NumHeading3"/>
      <w:lvlText w:val="%1.%2.%3"/>
      <w:lvlJc w:val="left"/>
      <w:pPr>
        <w:tabs>
          <w:tab w:val="num" w:pos="2126"/>
        </w:tabs>
        <w:ind w:left="2126" w:hanging="709"/>
      </w:pPr>
      <w:rPr>
        <w:rFonts w:hint="default"/>
      </w:rPr>
    </w:lvl>
    <w:lvl w:ilvl="3">
      <w:start w:val="1"/>
      <w:numFmt w:val="decimal"/>
      <w:pStyle w:val="NumHeading4"/>
      <w:lvlText w:val="%1.%2.%3.%4"/>
      <w:lvlJc w:val="left"/>
      <w:pPr>
        <w:tabs>
          <w:tab w:val="num" w:pos="2829"/>
        </w:tabs>
        <w:ind w:left="2829" w:hanging="703"/>
      </w:pPr>
      <w:rPr>
        <w:rFonts w:hint="default"/>
      </w:rPr>
    </w:lvl>
    <w:lvl w:ilvl="4">
      <w:start w:val="1"/>
      <w:numFmt w:val="decimal"/>
      <w:lvlText w:val="%1.%2.%3.%4.%5."/>
      <w:lvlJc w:val="left"/>
      <w:pPr>
        <w:tabs>
          <w:tab w:val="num" w:pos="0"/>
        </w:tabs>
        <w:ind w:left="3538" w:hanging="709"/>
      </w:pPr>
      <w:rPr>
        <w:rFonts w:hint="default"/>
      </w:rPr>
    </w:lvl>
    <w:lvl w:ilvl="5">
      <w:start w:val="1"/>
      <w:numFmt w:val="decimal"/>
      <w:lvlText w:val="%1.%2.%3.%4.%5.%6."/>
      <w:lvlJc w:val="left"/>
      <w:pPr>
        <w:tabs>
          <w:tab w:val="num" w:pos="0"/>
        </w:tabs>
        <w:ind w:left="4246" w:hanging="708"/>
      </w:pPr>
      <w:rPr>
        <w:rFonts w:hint="default"/>
      </w:rPr>
    </w:lvl>
    <w:lvl w:ilvl="6">
      <w:start w:val="1"/>
      <w:numFmt w:val="decimal"/>
      <w:lvlText w:val="%1.%2.%3.%4.%5.%6.%7."/>
      <w:lvlJc w:val="left"/>
      <w:pPr>
        <w:tabs>
          <w:tab w:val="num" w:pos="0"/>
        </w:tabs>
        <w:ind w:left="4955" w:hanging="709"/>
      </w:pPr>
      <w:rPr>
        <w:rFonts w:hint="default"/>
      </w:rPr>
    </w:lvl>
    <w:lvl w:ilvl="7">
      <w:start w:val="1"/>
      <w:numFmt w:val="decimal"/>
      <w:lvlText w:val="%1.%2.%3.%4.%5.%6.%7.%8."/>
      <w:lvlJc w:val="left"/>
      <w:pPr>
        <w:tabs>
          <w:tab w:val="num" w:pos="0"/>
        </w:tabs>
        <w:ind w:left="5664" w:hanging="709"/>
      </w:pPr>
      <w:rPr>
        <w:rFonts w:hint="default"/>
      </w:rPr>
    </w:lvl>
    <w:lvl w:ilvl="8">
      <w:start w:val="1"/>
      <w:numFmt w:val="decimal"/>
      <w:lvlText w:val="%1.%2.%3.%4.%5.%6.%7.%8.%9."/>
      <w:lvlJc w:val="left"/>
      <w:pPr>
        <w:tabs>
          <w:tab w:val="num" w:pos="0"/>
        </w:tabs>
        <w:ind w:left="6372" w:hanging="708"/>
      </w:pPr>
      <w:rPr>
        <w:rFonts w:hint="default"/>
      </w:rPr>
    </w:lvl>
  </w:abstractNum>
  <w:abstractNum w:abstractNumId="1">
    <w:nsid w:val="051C3B7E"/>
    <w:multiLevelType w:val="multilevel"/>
    <w:tmpl w:val="79DEDFFE"/>
    <w:styleLink w:val="BurnessPaullNumbering"/>
    <w:lvl w:ilvl="0">
      <w:start w:val="1"/>
      <w:numFmt w:val="decimal"/>
      <w:pStyle w:val="BurnessPaullClauseNumbering1"/>
      <w:lvlText w:val="%1"/>
      <w:lvlJc w:val="left"/>
      <w:pPr>
        <w:tabs>
          <w:tab w:val="num" w:pos="709"/>
        </w:tabs>
        <w:ind w:left="709" w:hanging="709"/>
      </w:pPr>
      <w:rPr>
        <w:rFonts w:ascii="Times New Roman" w:hAnsi="Times New Roman" w:hint="default"/>
        <w:b w:val="0"/>
        <w:i w:val="0"/>
        <w:sz w:val="22"/>
      </w:rPr>
    </w:lvl>
    <w:lvl w:ilvl="1">
      <w:start w:val="1"/>
      <w:numFmt w:val="decimal"/>
      <w:pStyle w:val="BurnessPaullClauseNumbering2"/>
      <w:lvlText w:val="%1.%2"/>
      <w:lvlJc w:val="left"/>
      <w:pPr>
        <w:tabs>
          <w:tab w:val="num" w:pos="709"/>
        </w:tabs>
        <w:ind w:left="709" w:hanging="709"/>
      </w:pPr>
      <w:rPr>
        <w:rFonts w:ascii="Times New Roman" w:hAnsi="Times New Roman" w:hint="default"/>
        <w:b w:val="0"/>
        <w:i w:val="0"/>
        <w:sz w:val="22"/>
      </w:rPr>
    </w:lvl>
    <w:lvl w:ilvl="2">
      <w:start w:val="1"/>
      <w:numFmt w:val="decimal"/>
      <w:pStyle w:val="BurnessPaullClauseNumbering3"/>
      <w:lvlText w:val="%1.%2.%3"/>
      <w:lvlJc w:val="left"/>
      <w:pPr>
        <w:tabs>
          <w:tab w:val="num" w:pos="1559"/>
        </w:tabs>
        <w:ind w:left="1559" w:hanging="850"/>
      </w:pPr>
      <w:rPr>
        <w:rFonts w:ascii="Times New Roman" w:hAnsi="Times New Roman" w:hint="default"/>
        <w:sz w:val="22"/>
      </w:rPr>
    </w:lvl>
    <w:lvl w:ilvl="3">
      <w:start w:val="1"/>
      <w:numFmt w:val="lowerLetter"/>
      <w:pStyle w:val="BurnessPaullClauseNumbering4"/>
      <w:lvlText w:val="(%4)"/>
      <w:lvlJc w:val="left"/>
      <w:pPr>
        <w:tabs>
          <w:tab w:val="num" w:pos="1985"/>
        </w:tabs>
        <w:ind w:left="1985" w:hanging="426"/>
      </w:pPr>
      <w:rPr>
        <w:rFonts w:ascii="Times New Roman" w:hAnsi="Times New Roman" w:hint="default"/>
        <w:sz w:val="22"/>
      </w:rPr>
    </w:lvl>
    <w:lvl w:ilvl="4">
      <w:start w:val="1"/>
      <w:numFmt w:val="lowerRoman"/>
      <w:pStyle w:val="BurnessPaullClauseNumbering5"/>
      <w:lvlText w:val="(%5)"/>
      <w:lvlJc w:val="left"/>
      <w:pPr>
        <w:tabs>
          <w:tab w:val="num" w:pos="2552"/>
        </w:tabs>
        <w:ind w:left="2552" w:hanging="567"/>
      </w:pPr>
      <w:rPr>
        <w:rFonts w:hint="default"/>
      </w:rPr>
    </w:lvl>
    <w:lvl w:ilvl="5">
      <w:start w:val="1"/>
      <w:numFmt w:val="upperLetter"/>
      <w:pStyle w:val="BurnessPaullClauseNumbering6"/>
      <w:lvlText w:val="(%6)"/>
      <w:lvlJc w:val="left"/>
      <w:pPr>
        <w:tabs>
          <w:tab w:val="num" w:pos="3119"/>
        </w:tabs>
        <w:ind w:left="3119" w:hanging="567"/>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
    <w:nsid w:val="0AA51F11"/>
    <w:multiLevelType w:val="multilevel"/>
    <w:tmpl w:val="38F2F98E"/>
    <w:styleLink w:val="RecitalList"/>
    <w:lvl w:ilvl="0">
      <w:start w:val="1"/>
      <w:numFmt w:val="upperLetter"/>
      <w:pStyle w:val="RecitalStyle"/>
      <w:lvlText w:val="(%1)"/>
      <w:lvlJc w:val="left"/>
      <w:pPr>
        <w:tabs>
          <w:tab w:val="num" w:pos="567"/>
        </w:tabs>
        <w:ind w:left="567" w:hanging="567"/>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nsid w:val="19D1231A"/>
    <w:multiLevelType w:val="multilevel"/>
    <w:tmpl w:val="4B6273FE"/>
    <w:lvl w:ilvl="0">
      <w:start w:val="1"/>
      <w:numFmt w:val="decimal"/>
      <w:lvlRestart w:val="0"/>
      <w:lvlText w:val="%1"/>
      <w:lvlJc w:val="left"/>
      <w:pPr>
        <w:tabs>
          <w:tab w:val="num" w:pos="709"/>
        </w:tabs>
        <w:ind w:left="709" w:hanging="709"/>
      </w:pPr>
      <w:rPr>
        <w:rFonts w:hint="default"/>
        <w:b w:val="0"/>
        <w:i w:val="0"/>
        <w:sz w:val="22"/>
      </w:rPr>
    </w:lvl>
    <w:lvl w:ilvl="1">
      <w:start w:val="1"/>
      <w:numFmt w:val="decimal"/>
      <w:lvlText w:val="%1.%2"/>
      <w:lvlJc w:val="left"/>
      <w:pPr>
        <w:tabs>
          <w:tab w:val="num" w:pos="709"/>
        </w:tabs>
        <w:ind w:left="709" w:hanging="709"/>
      </w:pPr>
      <w:rPr>
        <w:rFonts w:hint="default"/>
        <w:b w:val="0"/>
        <w:i w:val="0"/>
        <w:sz w:val="22"/>
      </w:rPr>
    </w:lvl>
    <w:lvl w:ilvl="2">
      <w:start w:val="1"/>
      <w:numFmt w:val="decimal"/>
      <w:lvlText w:val="%1.%2.%3"/>
      <w:lvlJc w:val="left"/>
      <w:pPr>
        <w:tabs>
          <w:tab w:val="num" w:pos="709"/>
        </w:tabs>
        <w:ind w:left="709" w:hanging="709"/>
      </w:pPr>
      <w:rPr>
        <w:rFonts w:hint="default"/>
        <w:b w:val="0"/>
        <w:sz w:val="22"/>
      </w:rPr>
    </w:lvl>
    <w:lvl w:ilvl="3">
      <w:start w:val="1"/>
      <w:numFmt w:val="decimal"/>
      <w:lvlText w:val="%1.%2.%3.%4"/>
      <w:lvlJc w:val="left"/>
      <w:pPr>
        <w:tabs>
          <w:tab w:val="num" w:pos="850"/>
        </w:tabs>
        <w:ind w:left="850" w:hanging="850"/>
      </w:pPr>
      <w:rPr>
        <w:rFonts w:hint="default"/>
        <w:b w:val="0"/>
        <w:sz w:val="22"/>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4">
    <w:nsid w:val="21B37FB7"/>
    <w:multiLevelType w:val="multilevel"/>
    <w:tmpl w:val="364A155C"/>
    <w:lvl w:ilvl="0">
      <w:start w:val="1"/>
      <w:numFmt w:val="decimal"/>
      <w:lvlRestart w:val="0"/>
      <w:lvlText w:val="%1"/>
      <w:lvlJc w:val="left"/>
      <w:pPr>
        <w:tabs>
          <w:tab w:val="num" w:pos="709"/>
        </w:tabs>
        <w:ind w:left="709" w:hanging="709"/>
      </w:pPr>
      <w:rPr>
        <w:rFonts w:hint="default"/>
      </w:rPr>
    </w:lvl>
    <w:lvl w:ilvl="1">
      <w:start w:val="1"/>
      <w:numFmt w:val="decimal"/>
      <w:lvlText w:val="%1.%2"/>
      <w:lvlJc w:val="left"/>
      <w:pPr>
        <w:tabs>
          <w:tab w:val="num" w:pos="1417"/>
        </w:tabs>
        <w:ind w:left="1417" w:hanging="708"/>
      </w:pPr>
      <w:rPr>
        <w:rFonts w:hint="default"/>
        <w:b w:val="0"/>
        <w:i w:val="0"/>
      </w:rPr>
    </w:lvl>
    <w:lvl w:ilvl="2">
      <w:start w:val="1"/>
      <w:numFmt w:val="decimal"/>
      <w:lvlText w:val="%1.%2.%3"/>
      <w:lvlJc w:val="left"/>
      <w:pPr>
        <w:tabs>
          <w:tab w:val="num" w:pos="2126"/>
        </w:tabs>
        <w:ind w:left="2126" w:hanging="709"/>
      </w:pPr>
      <w:rPr>
        <w:rFonts w:hint="default"/>
      </w:rPr>
    </w:lvl>
    <w:lvl w:ilvl="3">
      <w:start w:val="1"/>
      <w:numFmt w:val="none"/>
      <w:pStyle w:val="Heading4"/>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5">
    <w:nsid w:val="27B3447D"/>
    <w:multiLevelType w:val="multilevel"/>
    <w:tmpl w:val="189439FE"/>
    <w:styleLink w:val="NumberedList"/>
    <w:lvl w:ilvl="0">
      <w:start w:val="1"/>
      <w:numFmt w:val="decimal"/>
      <w:pStyle w:val="NumberedList1"/>
      <w:lvlText w:val="%1"/>
      <w:lvlJc w:val="left"/>
      <w:pPr>
        <w:tabs>
          <w:tab w:val="num" w:pos="709"/>
        </w:tabs>
        <w:ind w:left="709" w:hanging="709"/>
      </w:pPr>
      <w:rPr>
        <w:rFonts w:hint="default"/>
      </w:rPr>
    </w:lvl>
    <w:lvl w:ilvl="1">
      <w:start w:val="1"/>
      <w:numFmt w:val="decimal"/>
      <w:pStyle w:val="NumberedList2"/>
      <w:lvlText w:val="%1.%2"/>
      <w:lvlJc w:val="left"/>
      <w:pPr>
        <w:tabs>
          <w:tab w:val="num" w:pos="709"/>
        </w:tabs>
        <w:ind w:left="709" w:hanging="709"/>
      </w:pPr>
      <w:rPr>
        <w:rFonts w:hint="default"/>
      </w:rPr>
    </w:lvl>
    <w:lvl w:ilvl="2">
      <w:start w:val="1"/>
      <w:numFmt w:val="decimal"/>
      <w:pStyle w:val="NumberedList3"/>
      <w:lvlText w:val="%1.%2.%3"/>
      <w:lvlJc w:val="left"/>
      <w:pPr>
        <w:tabs>
          <w:tab w:val="num" w:pos="1559"/>
        </w:tabs>
        <w:ind w:left="1559" w:hanging="850"/>
      </w:pPr>
      <w:rPr>
        <w:rFonts w:hint="default"/>
      </w:rPr>
    </w:lvl>
    <w:lvl w:ilvl="3">
      <w:start w:val="1"/>
      <w:numFmt w:val="lowerLetter"/>
      <w:pStyle w:val="NumberedList4"/>
      <w:lvlText w:val="(%4)"/>
      <w:lvlJc w:val="left"/>
      <w:pPr>
        <w:tabs>
          <w:tab w:val="num" w:pos="2126"/>
        </w:tabs>
        <w:ind w:left="2126" w:hanging="708"/>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nsid w:val="2A041A35"/>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nsid w:val="2EC32807"/>
    <w:multiLevelType w:val="hybridMultilevel"/>
    <w:tmpl w:val="7AF0BD66"/>
    <w:lvl w:ilvl="0" w:tplc="08090001">
      <w:start w:val="1"/>
      <w:numFmt w:val="bullet"/>
      <w:lvlText w:val=""/>
      <w:lvlJc w:val="left"/>
      <w:pPr>
        <w:ind w:left="1429" w:hanging="360"/>
      </w:pPr>
      <w:rPr>
        <w:rFonts w:ascii="Symbol" w:hAnsi="Symbol" w:hint="default"/>
      </w:rPr>
    </w:lvl>
    <w:lvl w:ilvl="1" w:tplc="08090003" w:tentative="1">
      <w:start w:val="1"/>
      <w:numFmt w:val="bullet"/>
      <w:lvlText w:val="o"/>
      <w:lvlJc w:val="left"/>
      <w:pPr>
        <w:ind w:left="2149" w:hanging="360"/>
      </w:pPr>
      <w:rPr>
        <w:rFonts w:ascii="Courier New" w:hAnsi="Courier New" w:cs="Courier New" w:hint="default"/>
      </w:rPr>
    </w:lvl>
    <w:lvl w:ilvl="2" w:tplc="08090005" w:tentative="1">
      <w:start w:val="1"/>
      <w:numFmt w:val="bullet"/>
      <w:lvlText w:val=""/>
      <w:lvlJc w:val="left"/>
      <w:pPr>
        <w:ind w:left="2869" w:hanging="360"/>
      </w:pPr>
      <w:rPr>
        <w:rFonts w:ascii="Wingdings" w:hAnsi="Wingdings" w:hint="default"/>
      </w:rPr>
    </w:lvl>
    <w:lvl w:ilvl="3" w:tplc="08090001" w:tentative="1">
      <w:start w:val="1"/>
      <w:numFmt w:val="bullet"/>
      <w:lvlText w:val=""/>
      <w:lvlJc w:val="left"/>
      <w:pPr>
        <w:ind w:left="3589" w:hanging="360"/>
      </w:pPr>
      <w:rPr>
        <w:rFonts w:ascii="Symbol" w:hAnsi="Symbol" w:hint="default"/>
      </w:rPr>
    </w:lvl>
    <w:lvl w:ilvl="4" w:tplc="08090003" w:tentative="1">
      <w:start w:val="1"/>
      <w:numFmt w:val="bullet"/>
      <w:lvlText w:val="o"/>
      <w:lvlJc w:val="left"/>
      <w:pPr>
        <w:ind w:left="4309" w:hanging="360"/>
      </w:pPr>
      <w:rPr>
        <w:rFonts w:ascii="Courier New" w:hAnsi="Courier New" w:cs="Courier New" w:hint="default"/>
      </w:rPr>
    </w:lvl>
    <w:lvl w:ilvl="5" w:tplc="08090005" w:tentative="1">
      <w:start w:val="1"/>
      <w:numFmt w:val="bullet"/>
      <w:lvlText w:val=""/>
      <w:lvlJc w:val="left"/>
      <w:pPr>
        <w:ind w:left="5029" w:hanging="360"/>
      </w:pPr>
      <w:rPr>
        <w:rFonts w:ascii="Wingdings" w:hAnsi="Wingdings" w:hint="default"/>
      </w:rPr>
    </w:lvl>
    <w:lvl w:ilvl="6" w:tplc="08090001" w:tentative="1">
      <w:start w:val="1"/>
      <w:numFmt w:val="bullet"/>
      <w:lvlText w:val=""/>
      <w:lvlJc w:val="left"/>
      <w:pPr>
        <w:ind w:left="5749" w:hanging="360"/>
      </w:pPr>
      <w:rPr>
        <w:rFonts w:ascii="Symbol" w:hAnsi="Symbol" w:hint="default"/>
      </w:rPr>
    </w:lvl>
    <w:lvl w:ilvl="7" w:tplc="08090003" w:tentative="1">
      <w:start w:val="1"/>
      <w:numFmt w:val="bullet"/>
      <w:lvlText w:val="o"/>
      <w:lvlJc w:val="left"/>
      <w:pPr>
        <w:ind w:left="6469" w:hanging="360"/>
      </w:pPr>
      <w:rPr>
        <w:rFonts w:ascii="Courier New" w:hAnsi="Courier New" w:cs="Courier New" w:hint="default"/>
      </w:rPr>
    </w:lvl>
    <w:lvl w:ilvl="8" w:tplc="08090005" w:tentative="1">
      <w:start w:val="1"/>
      <w:numFmt w:val="bullet"/>
      <w:lvlText w:val=""/>
      <w:lvlJc w:val="left"/>
      <w:pPr>
        <w:ind w:left="7189" w:hanging="360"/>
      </w:pPr>
      <w:rPr>
        <w:rFonts w:ascii="Wingdings" w:hAnsi="Wingdings" w:hint="default"/>
      </w:rPr>
    </w:lvl>
  </w:abstractNum>
  <w:abstractNum w:abstractNumId="8">
    <w:nsid w:val="37B4268D"/>
    <w:multiLevelType w:val="multilevel"/>
    <w:tmpl w:val="7CC89634"/>
    <w:lvl w:ilvl="0">
      <w:start w:val="1"/>
      <w:numFmt w:val="decimal"/>
      <w:lvlRestart w:val="0"/>
      <w:lvlText w:val="%1"/>
      <w:lvlJc w:val="left"/>
      <w:pPr>
        <w:tabs>
          <w:tab w:val="num" w:pos="709"/>
        </w:tabs>
        <w:ind w:left="709" w:hanging="709"/>
      </w:pPr>
      <w:rPr>
        <w:rFonts w:ascii="Times New Roman" w:hAnsi="Times New Roman" w:hint="default"/>
        <w:b w:val="0"/>
        <w:i w:val="0"/>
        <w:sz w:val="22"/>
      </w:rPr>
    </w:lvl>
    <w:lvl w:ilvl="1">
      <w:start w:val="1"/>
      <w:numFmt w:val="decimal"/>
      <w:lvlText w:val="%1.%2"/>
      <w:lvlJc w:val="left"/>
      <w:pPr>
        <w:tabs>
          <w:tab w:val="num" w:pos="709"/>
        </w:tabs>
        <w:ind w:left="709" w:hanging="709"/>
      </w:pPr>
      <w:rPr>
        <w:rFonts w:ascii="Times New Roman" w:hAnsi="Times New Roman" w:hint="default"/>
        <w:b w:val="0"/>
        <w:i w:val="0"/>
        <w:sz w:val="22"/>
      </w:rPr>
    </w:lvl>
    <w:lvl w:ilvl="2">
      <w:start w:val="1"/>
      <w:numFmt w:val="decimal"/>
      <w:lvlText w:val="%1.%2.%3"/>
      <w:lvlJc w:val="left"/>
      <w:pPr>
        <w:tabs>
          <w:tab w:val="num" w:pos="1417"/>
        </w:tabs>
        <w:ind w:left="1417" w:hanging="708"/>
      </w:pPr>
      <w:rPr>
        <w:rFonts w:ascii="Times New Roman" w:hAnsi="Times New Roman" w:hint="default"/>
        <w:b w:val="0"/>
        <w:i w:val="0"/>
        <w:vanish w:val="0"/>
        <w:sz w:val="22"/>
      </w:rPr>
    </w:lvl>
    <w:lvl w:ilvl="3">
      <w:start w:val="1"/>
      <w:numFmt w:val="decimal"/>
      <w:lvlText w:val="%1.%2.%3.%4"/>
      <w:lvlJc w:val="left"/>
      <w:pPr>
        <w:tabs>
          <w:tab w:val="num" w:pos="2268"/>
        </w:tabs>
        <w:ind w:left="2268" w:hanging="851"/>
      </w:pPr>
      <w:rPr>
        <w:rFonts w:ascii="Times New Roman" w:hAnsi="Times New Roman" w:hint="default"/>
        <w:b w:val="0"/>
        <w:i w:val="0"/>
        <w:sz w:val="22"/>
      </w:rPr>
    </w:lvl>
    <w:lvl w:ilvl="4">
      <w:start w:val="1"/>
      <w:numFmt w:val="lowerLetter"/>
      <w:lvlText w:val="(%5)"/>
      <w:lvlJc w:val="left"/>
      <w:pPr>
        <w:tabs>
          <w:tab w:val="num" w:pos="1701"/>
        </w:tabs>
        <w:ind w:left="1701" w:hanging="850"/>
      </w:pPr>
      <w:rPr>
        <w:rFonts w:ascii="Times New Roman" w:hAnsi="Times New Roman" w:hint="default"/>
        <w:b w:val="0"/>
        <w:i w:val="0"/>
        <w:sz w:val="22"/>
      </w:rPr>
    </w:lvl>
    <w:lvl w:ilvl="5">
      <w:start w:val="1"/>
      <w:numFmt w:val="lowerRoman"/>
      <w:lvlText w:val="(%6)"/>
      <w:lvlJc w:val="left"/>
      <w:pPr>
        <w:tabs>
          <w:tab w:val="num" w:pos="2552"/>
        </w:tabs>
        <w:ind w:left="2552" w:hanging="851"/>
      </w:pPr>
      <w:rPr>
        <w:rFonts w:ascii="Times New Roman" w:hAnsi="Times New Roman" w:hint="default"/>
        <w:b w:val="0"/>
        <w:i w:val="0"/>
        <w:sz w:val="22"/>
      </w:rPr>
    </w:lvl>
    <w:lvl w:ilvl="6">
      <w:start w:val="1"/>
      <w:numFmt w:val="decimal"/>
      <w:lvlText w:val="%7)"/>
      <w:lvlJc w:val="left"/>
      <w:pPr>
        <w:tabs>
          <w:tab w:val="num" w:pos="3402"/>
        </w:tabs>
        <w:ind w:left="3402" w:hanging="850"/>
      </w:pPr>
      <w:rPr>
        <w:rFonts w:ascii="Times New Roman" w:hAnsi="Times New Roman" w:hint="default"/>
        <w:b w:val="0"/>
        <w:i w:val="0"/>
        <w:sz w:val="22"/>
      </w:rPr>
    </w:lvl>
    <w:lvl w:ilvl="7">
      <w:start w:val="1"/>
      <w:numFmt w:val="lowerLetter"/>
      <w:lvlText w:val="%8)"/>
      <w:lvlJc w:val="left"/>
      <w:pPr>
        <w:tabs>
          <w:tab w:val="num" w:pos="3402"/>
        </w:tabs>
        <w:ind w:left="3402" w:hanging="850"/>
      </w:pPr>
      <w:rPr>
        <w:rFonts w:ascii="Times New Roman" w:hAnsi="Times New Roman" w:hint="default"/>
        <w:b w:val="0"/>
        <w:i w:val="0"/>
        <w:sz w:val="22"/>
      </w:rPr>
    </w:lvl>
    <w:lvl w:ilvl="8">
      <w:start w:val="1"/>
      <w:numFmt w:val="lowerRoman"/>
      <w:lvlText w:val="%9."/>
      <w:lvlJc w:val="left"/>
      <w:pPr>
        <w:tabs>
          <w:tab w:val="num" w:pos="3240"/>
        </w:tabs>
        <w:ind w:left="3240" w:hanging="360"/>
      </w:pPr>
      <w:rPr>
        <w:rFonts w:hint="default"/>
      </w:rPr>
    </w:lvl>
  </w:abstractNum>
  <w:abstractNum w:abstractNumId="9">
    <w:nsid w:val="37B717C7"/>
    <w:multiLevelType w:val="multilevel"/>
    <w:tmpl w:val="43C687A0"/>
    <w:name w:val="BurnessNumbering"/>
    <w:styleLink w:val="DefinitionNumbering"/>
    <w:lvl w:ilvl="0">
      <w:start w:val="1"/>
      <w:numFmt w:val="lowerLetter"/>
      <w:pStyle w:val="DefinitionStyle"/>
      <w:lvlText w:val="(%1)"/>
      <w:lvlJc w:val="left"/>
      <w:pPr>
        <w:ind w:left="1070" w:hanging="360"/>
      </w:pPr>
      <w:rPr>
        <w:rFonts w:hint="default"/>
      </w:rPr>
    </w:lvl>
    <w:lvl w:ilvl="1">
      <w:start w:val="1"/>
      <w:numFmt w:val="lowerRoman"/>
      <w:lvlText w:val="(%2)"/>
      <w:lvlJc w:val="left"/>
      <w:pPr>
        <w:ind w:left="1440" w:hanging="360"/>
      </w:pPr>
      <w:rPr>
        <w:rFonts w:hint="default"/>
      </w:rPr>
    </w:lvl>
    <w:lvl w:ilvl="2">
      <w:start w:val="1"/>
      <w:numFmt w:val="decimal"/>
      <w:lvlText w:val="(%3)"/>
      <w:lvlJc w:val="left"/>
      <w:pPr>
        <w:ind w:left="1800" w:hanging="360"/>
      </w:pPr>
      <w:rPr>
        <w:rFonts w:hint="default"/>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10">
    <w:nsid w:val="3A033798"/>
    <w:multiLevelType w:val="multilevel"/>
    <w:tmpl w:val="D33C374E"/>
    <w:styleLink w:val="Instance"/>
    <w:lvl w:ilvl="0">
      <w:start w:val="1"/>
      <w:numFmt w:val="decimal"/>
      <w:pStyle w:val="InstanceStyle"/>
      <w:lvlText w:val="(%1)"/>
      <w:lvlJc w:val="left"/>
      <w:pPr>
        <w:tabs>
          <w:tab w:val="num" w:pos="567"/>
        </w:tabs>
        <w:ind w:left="567" w:hanging="567"/>
      </w:pPr>
      <w:rPr>
        <w:rFonts w:ascii="Times New Roman" w:hAnsi="Times New Roman" w:hint="default"/>
        <w:sz w:val="22"/>
      </w:rPr>
    </w:lvl>
    <w:lvl w:ilvl="1">
      <w:start w:val="1"/>
      <w:numFmt w:val="lowerLetter"/>
      <w:lvlText w:val="%2)"/>
      <w:lvlJc w:val="left"/>
      <w:pPr>
        <w:ind w:left="720" w:hanging="360"/>
      </w:pPr>
      <w:rPr>
        <w:rFonts w:ascii="Times New Roman" w:hAnsi="Times New Roman" w:hint="default"/>
        <w:sz w:val="22"/>
      </w:rPr>
    </w:lvl>
    <w:lvl w:ilvl="2">
      <w:start w:val="1"/>
      <w:numFmt w:val="lowerRoman"/>
      <w:lvlText w:val="%3)"/>
      <w:lvlJc w:val="left"/>
      <w:pPr>
        <w:ind w:left="1080" w:hanging="360"/>
      </w:pPr>
      <w:rPr>
        <w:rFonts w:ascii="Times New Roman" w:hAnsi="Times New Roman" w:hint="default"/>
        <w:sz w:val="22"/>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nsid w:val="580C1807"/>
    <w:multiLevelType w:val="multilevel"/>
    <w:tmpl w:val="A48AB39C"/>
    <w:styleLink w:val="BulletedList"/>
    <w:lvl w:ilvl="0">
      <w:start w:val="1"/>
      <w:numFmt w:val="bullet"/>
      <w:pStyle w:val="BulletLevel1"/>
      <w:lvlText w:val=""/>
      <w:lvlJc w:val="left"/>
      <w:pPr>
        <w:tabs>
          <w:tab w:val="num" w:pos="709"/>
        </w:tabs>
        <w:ind w:left="709" w:hanging="709"/>
      </w:pPr>
      <w:rPr>
        <w:rFonts w:ascii="Symbol" w:hAnsi="Symbol" w:hint="default"/>
        <w:color w:val="auto"/>
      </w:rPr>
    </w:lvl>
    <w:lvl w:ilvl="1">
      <w:start w:val="1"/>
      <w:numFmt w:val="bullet"/>
      <w:pStyle w:val="BulletLevel2"/>
      <w:lvlText w:val=""/>
      <w:lvlJc w:val="left"/>
      <w:pPr>
        <w:tabs>
          <w:tab w:val="num" w:pos="1559"/>
        </w:tabs>
        <w:ind w:left="1559" w:hanging="850"/>
      </w:pPr>
      <w:rPr>
        <w:rFonts w:ascii="Symbol" w:hAnsi="Symbol" w:hint="default"/>
        <w:color w:val="auto"/>
      </w:rPr>
    </w:lvl>
    <w:lvl w:ilvl="2">
      <w:start w:val="1"/>
      <w:numFmt w:val="lowerRoman"/>
      <w:lvlText w:val="%3)"/>
      <w:lvlJc w:val="left"/>
      <w:pPr>
        <w:ind w:left="6467" w:hanging="360"/>
      </w:pPr>
      <w:rPr>
        <w:rFonts w:hint="default"/>
      </w:rPr>
    </w:lvl>
    <w:lvl w:ilvl="3">
      <w:start w:val="1"/>
      <w:numFmt w:val="decimal"/>
      <w:lvlText w:val="(%4)"/>
      <w:lvlJc w:val="left"/>
      <w:pPr>
        <w:ind w:left="6827" w:hanging="360"/>
      </w:pPr>
      <w:rPr>
        <w:rFonts w:hint="default"/>
      </w:rPr>
    </w:lvl>
    <w:lvl w:ilvl="4">
      <w:start w:val="1"/>
      <w:numFmt w:val="lowerLetter"/>
      <w:lvlText w:val="(%5)"/>
      <w:lvlJc w:val="left"/>
      <w:pPr>
        <w:ind w:left="7187" w:hanging="360"/>
      </w:pPr>
      <w:rPr>
        <w:rFonts w:hint="default"/>
      </w:rPr>
    </w:lvl>
    <w:lvl w:ilvl="5">
      <w:start w:val="1"/>
      <w:numFmt w:val="lowerRoman"/>
      <w:lvlText w:val="(%6)"/>
      <w:lvlJc w:val="left"/>
      <w:pPr>
        <w:ind w:left="7547" w:hanging="360"/>
      </w:pPr>
      <w:rPr>
        <w:rFonts w:hint="default"/>
      </w:rPr>
    </w:lvl>
    <w:lvl w:ilvl="6">
      <w:start w:val="1"/>
      <w:numFmt w:val="decimal"/>
      <w:lvlText w:val="%7."/>
      <w:lvlJc w:val="left"/>
      <w:pPr>
        <w:ind w:left="7907" w:hanging="360"/>
      </w:pPr>
      <w:rPr>
        <w:rFonts w:hint="default"/>
      </w:rPr>
    </w:lvl>
    <w:lvl w:ilvl="7">
      <w:start w:val="1"/>
      <w:numFmt w:val="lowerLetter"/>
      <w:lvlText w:val="%8."/>
      <w:lvlJc w:val="left"/>
      <w:pPr>
        <w:ind w:left="8267" w:hanging="360"/>
      </w:pPr>
      <w:rPr>
        <w:rFonts w:hint="default"/>
      </w:rPr>
    </w:lvl>
    <w:lvl w:ilvl="8">
      <w:start w:val="1"/>
      <w:numFmt w:val="lowerRoman"/>
      <w:lvlText w:val="%9."/>
      <w:lvlJc w:val="left"/>
      <w:pPr>
        <w:ind w:left="8627" w:hanging="360"/>
      </w:pPr>
      <w:rPr>
        <w:rFonts w:hint="default"/>
      </w:rPr>
    </w:lvl>
  </w:abstractNum>
  <w:abstractNum w:abstractNumId="12">
    <w:nsid w:val="70A82D58"/>
    <w:multiLevelType w:val="hybridMultilevel"/>
    <w:tmpl w:val="76B20C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nsid w:val="7E3F0B92"/>
    <w:multiLevelType w:val="multilevel"/>
    <w:tmpl w:val="D54087B4"/>
    <w:lvl w:ilvl="0">
      <w:start w:val="1"/>
      <w:numFmt w:val="bullet"/>
      <w:pStyle w:val="BurnessBullet1"/>
      <w:lvlText w:val=""/>
      <w:lvlJc w:val="left"/>
      <w:pPr>
        <w:tabs>
          <w:tab w:val="num" w:pos="360"/>
        </w:tabs>
        <w:ind w:left="360" w:hanging="360"/>
      </w:pPr>
      <w:rPr>
        <w:rFonts w:ascii="Symbol" w:hAnsi="Symbol" w:hint="default"/>
      </w:rPr>
    </w:lvl>
    <w:lvl w:ilvl="1">
      <w:start w:val="1"/>
      <w:numFmt w:val="bullet"/>
      <w:pStyle w:val="BurnessBullet2"/>
      <w:lvlText w:val="-"/>
      <w:lvlJc w:val="left"/>
      <w:pPr>
        <w:tabs>
          <w:tab w:val="num" w:pos="720"/>
        </w:tabs>
        <w:ind w:left="720" w:hanging="360"/>
      </w:pPr>
      <w:rPr>
        <w:rFonts w:ascii="Times New Roman" w:cs="Times New Roman" w:hint="default"/>
      </w:rPr>
    </w:lvl>
    <w:lvl w:ilvl="2">
      <w:start w:val="1"/>
      <w:numFmt w:val="bullet"/>
      <w:lvlText w:val=""/>
      <w:lvlJc w:val="left"/>
      <w:pPr>
        <w:tabs>
          <w:tab w:val="num" w:pos="1080"/>
        </w:tabs>
        <w:ind w:left="1080" w:hanging="360"/>
      </w:pPr>
      <w:rPr>
        <w:rFonts w:ascii="Wingdings" w:hAnsi="Wingdings" w:hint="default"/>
      </w:rPr>
    </w:lvl>
    <w:lvl w:ilvl="3">
      <w:start w:val="1"/>
      <w:numFmt w:val="bullet"/>
      <w:lvlText w:val=""/>
      <w:lvlJc w:val="left"/>
      <w:pPr>
        <w:tabs>
          <w:tab w:val="num" w:pos="1440"/>
        </w:tabs>
        <w:ind w:left="1440" w:hanging="360"/>
      </w:pPr>
      <w:rPr>
        <w:rFonts w:ascii="Symbol" w:hAnsi="Symbol"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num w:numId="1">
    <w:abstractNumId w:val="6"/>
  </w:num>
  <w:num w:numId="2">
    <w:abstractNumId w:val="11"/>
  </w:num>
  <w:num w:numId="3">
    <w:abstractNumId w:val="1"/>
  </w:num>
  <w:num w:numId="4">
    <w:abstractNumId w:val="9"/>
  </w:num>
  <w:num w:numId="5">
    <w:abstractNumId w:val="10"/>
  </w:num>
  <w:num w:numId="6">
    <w:abstractNumId w:val="5"/>
  </w:num>
  <w:num w:numId="7">
    <w:abstractNumId w:val="2"/>
  </w:num>
  <w:num w:numId="8">
    <w:abstractNumId w:val="11"/>
  </w:num>
  <w:num w:numId="9">
    <w:abstractNumId w:val="1"/>
  </w:num>
  <w:num w:numId="10">
    <w:abstractNumId w:val="9"/>
  </w:num>
  <w:num w:numId="11">
    <w:abstractNumId w:val="4"/>
  </w:num>
  <w:num w:numId="12">
    <w:abstractNumId w:val="3"/>
  </w:num>
  <w:num w:numId="13">
    <w:abstractNumId w:val="10"/>
  </w:num>
  <w:num w:numId="14">
    <w:abstractNumId w:val="5"/>
  </w:num>
  <w:num w:numId="15">
    <w:abstractNumId w:val="2"/>
  </w:num>
  <w:num w:numId="16">
    <w:abstractNumId w:val="1"/>
  </w:num>
  <w:num w:numId="17">
    <w:abstractNumId w:val="1"/>
  </w:num>
  <w:num w:numId="18">
    <w:abstractNumId w:val="1"/>
  </w:num>
  <w:num w:numId="19">
    <w:abstractNumId w:val="1"/>
  </w:num>
  <w:num w:numId="20">
    <w:abstractNumId w:val="1"/>
  </w:num>
  <w:num w:numId="21">
    <w:abstractNumId w:val="1"/>
  </w:num>
  <w:num w:numId="22">
    <w:abstractNumId w:val="13"/>
  </w:num>
  <w:num w:numId="2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
  </w:num>
  <w:num w:numId="25">
    <w:abstractNumId w:val="1"/>
  </w:num>
  <w:num w:numId="26">
    <w:abstractNumId w:val="1"/>
  </w:num>
  <w:num w:numId="27">
    <w:abstractNumId w:val="1"/>
  </w:num>
  <w:num w:numId="28">
    <w:abstractNumId w:val="1"/>
  </w:num>
  <w:num w:numId="29">
    <w:abstractNumId w:val="1"/>
  </w:num>
  <w:num w:numId="30">
    <w:abstractNumId w:val="1"/>
  </w:num>
  <w:num w:numId="31">
    <w:abstractNumId w:val="1"/>
  </w:num>
  <w:num w:numId="32">
    <w:abstractNumId w:val="1"/>
  </w:num>
  <w:num w:numId="33">
    <w:abstractNumId w:val="1"/>
  </w:num>
  <w:num w:numId="34">
    <w:abstractNumId w:val="12"/>
  </w:num>
  <w:num w:numId="35">
    <w:abstractNumId w:val="7"/>
  </w:num>
  <w:numIdMacAtCleanup w:val="1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ctiveWritingStyle w:appName="MSWord" w:lang="en-GB" w:vendorID="64" w:dllVersion="131077" w:nlCheck="1" w:checkStyle="1"/>
  <w:activeWritingStyle w:appName="MSWord" w:lang="en-US" w:vendorID="64" w:dllVersion="131077" w:nlCheck="1" w:checkStyle="1"/>
  <w:activeWritingStyle w:appName="MSWord" w:lang="en-GB" w:vendorID="64" w:dllVersion="131078" w:nlCheck="1" w:checkStyle="1"/>
  <w:activeWritingStyle w:appName="MSWord" w:lang="en-US" w:vendorID="64" w:dllVersion="131078" w:nlCheck="1" w:checkStyle="1"/>
  <w:proofState w:spelling="clean" w:grammar="clean"/>
  <w:attachedTemplate r:id="rId1"/>
  <w:stylePaneFormatFilter w:val="1024"/>
  <w:defaultTabStop w:val="709"/>
  <w:drawingGridHorizontalSpacing w:val="110"/>
  <w:drawingGridVerticalSpacing w:val="163"/>
  <w:displayHorizontalDrawingGridEvery w:val="2"/>
  <w:displayVerticalDrawingGridEvery w:val="2"/>
  <w:noPunctuationKerning/>
  <w:characterSpacingControl w:val="doNotCompress"/>
  <w:hdrShapeDefaults>
    <o:shapedefaults v:ext="edit" spidmax="156673"/>
  </w:hdrShapeDefaults>
  <w:footnotePr>
    <w:footnote w:id="-1"/>
    <w:footnote w:id="0"/>
  </w:footnotePr>
  <w:endnotePr>
    <w:endnote w:id="-1"/>
    <w:endnote w:id="0"/>
  </w:endnotePr>
  <w:compat/>
  <w:rsids>
    <w:rsidRoot w:val="00AB314C"/>
    <w:rsid w:val="00006430"/>
    <w:rsid w:val="00013D15"/>
    <w:rsid w:val="000152B4"/>
    <w:rsid w:val="000255A4"/>
    <w:rsid w:val="00027AF7"/>
    <w:rsid w:val="00045018"/>
    <w:rsid w:val="000A0169"/>
    <w:rsid w:val="000C5E06"/>
    <w:rsid w:val="000C75A8"/>
    <w:rsid w:val="000D73B1"/>
    <w:rsid w:val="000E059E"/>
    <w:rsid w:val="000E16E6"/>
    <w:rsid w:val="000E737D"/>
    <w:rsid w:val="000F4752"/>
    <w:rsid w:val="000F5118"/>
    <w:rsid w:val="00110D65"/>
    <w:rsid w:val="001151E5"/>
    <w:rsid w:val="00121BC9"/>
    <w:rsid w:val="00160149"/>
    <w:rsid w:val="001669CD"/>
    <w:rsid w:val="001A3849"/>
    <w:rsid w:val="001C5BD2"/>
    <w:rsid w:val="001D3C5B"/>
    <w:rsid w:val="001E3FE8"/>
    <w:rsid w:val="001E70EB"/>
    <w:rsid w:val="001F232D"/>
    <w:rsid w:val="00210033"/>
    <w:rsid w:val="00220FB4"/>
    <w:rsid w:val="00236B70"/>
    <w:rsid w:val="00240CD1"/>
    <w:rsid w:val="00273D67"/>
    <w:rsid w:val="002745A2"/>
    <w:rsid w:val="0028712B"/>
    <w:rsid w:val="00296089"/>
    <w:rsid w:val="002A2505"/>
    <w:rsid w:val="002A7479"/>
    <w:rsid w:val="002B60F1"/>
    <w:rsid w:val="002C27C1"/>
    <w:rsid w:val="002C63A8"/>
    <w:rsid w:val="002E4340"/>
    <w:rsid w:val="00314E33"/>
    <w:rsid w:val="00330B5D"/>
    <w:rsid w:val="00330CA1"/>
    <w:rsid w:val="003370AE"/>
    <w:rsid w:val="00343B1F"/>
    <w:rsid w:val="00356698"/>
    <w:rsid w:val="003709A9"/>
    <w:rsid w:val="003F5897"/>
    <w:rsid w:val="003F6A26"/>
    <w:rsid w:val="00400D86"/>
    <w:rsid w:val="00403D09"/>
    <w:rsid w:val="00404A14"/>
    <w:rsid w:val="0042763C"/>
    <w:rsid w:val="00437C7C"/>
    <w:rsid w:val="00455CB6"/>
    <w:rsid w:val="00461082"/>
    <w:rsid w:val="004716AB"/>
    <w:rsid w:val="00480E88"/>
    <w:rsid w:val="004832A6"/>
    <w:rsid w:val="004852F5"/>
    <w:rsid w:val="00490B97"/>
    <w:rsid w:val="004A41CE"/>
    <w:rsid w:val="004B312E"/>
    <w:rsid w:val="004C1F87"/>
    <w:rsid w:val="004D37AC"/>
    <w:rsid w:val="004D3E8A"/>
    <w:rsid w:val="004E10EC"/>
    <w:rsid w:val="004E1D13"/>
    <w:rsid w:val="004E795D"/>
    <w:rsid w:val="004F1E99"/>
    <w:rsid w:val="00512807"/>
    <w:rsid w:val="00516BC7"/>
    <w:rsid w:val="0051769B"/>
    <w:rsid w:val="0054634D"/>
    <w:rsid w:val="00556D05"/>
    <w:rsid w:val="0056630A"/>
    <w:rsid w:val="005717F9"/>
    <w:rsid w:val="00591CF0"/>
    <w:rsid w:val="00597145"/>
    <w:rsid w:val="00597224"/>
    <w:rsid w:val="005C1727"/>
    <w:rsid w:val="005E200A"/>
    <w:rsid w:val="005E2D65"/>
    <w:rsid w:val="006017A4"/>
    <w:rsid w:val="00606E4E"/>
    <w:rsid w:val="0063383B"/>
    <w:rsid w:val="00671D62"/>
    <w:rsid w:val="00680B52"/>
    <w:rsid w:val="00686490"/>
    <w:rsid w:val="006E16C2"/>
    <w:rsid w:val="006E5BA2"/>
    <w:rsid w:val="007036E0"/>
    <w:rsid w:val="00710C61"/>
    <w:rsid w:val="0071192B"/>
    <w:rsid w:val="007150B1"/>
    <w:rsid w:val="0071729E"/>
    <w:rsid w:val="007323C5"/>
    <w:rsid w:val="0074730B"/>
    <w:rsid w:val="00752E79"/>
    <w:rsid w:val="00765090"/>
    <w:rsid w:val="00790A47"/>
    <w:rsid w:val="00790BA8"/>
    <w:rsid w:val="007A0B47"/>
    <w:rsid w:val="007A25F6"/>
    <w:rsid w:val="007A55CA"/>
    <w:rsid w:val="007A58D3"/>
    <w:rsid w:val="007C29AE"/>
    <w:rsid w:val="007C758C"/>
    <w:rsid w:val="007D7919"/>
    <w:rsid w:val="007E4204"/>
    <w:rsid w:val="00816706"/>
    <w:rsid w:val="00826AF7"/>
    <w:rsid w:val="00871C08"/>
    <w:rsid w:val="00881185"/>
    <w:rsid w:val="008860F9"/>
    <w:rsid w:val="0089595C"/>
    <w:rsid w:val="008A458C"/>
    <w:rsid w:val="008B1213"/>
    <w:rsid w:val="008B3B60"/>
    <w:rsid w:val="008C4EB4"/>
    <w:rsid w:val="008E629F"/>
    <w:rsid w:val="008E6A8F"/>
    <w:rsid w:val="009310AD"/>
    <w:rsid w:val="009423D8"/>
    <w:rsid w:val="00963EA9"/>
    <w:rsid w:val="009649F4"/>
    <w:rsid w:val="00997A4A"/>
    <w:rsid w:val="009A0C97"/>
    <w:rsid w:val="009A31D5"/>
    <w:rsid w:val="009B294C"/>
    <w:rsid w:val="009B5E04"/>
    <w:rsid w:val="009D5A43"/>
    <w:rsid w:val="009E2723"/>
    <w:rsid w:val="009F7CDD"/>
    <w:rsid w:val="00A035CA"/>
    <w:rsid w:val="00A06812"/>
    <w:rsid w:val="00A06B4F"/>
    <w:rsid w:val="00A21114"/>
    <w:rsid w:val="00A571AA"/>
    <w:rsid w:val="00A60E5A"/>
    <w:rsid w:val="00A677DC"/>
    <w:rsid w:val="00A7435B"/>
    <w:rsid w:val="00A80FD6"/>
    <w:rsid w:val="00AB0BC2"/>
    <w:rsid w:val="00AB314C"/>
    <w:rsid w:val="00AB44E4"/>
    <w:rsid w:val="00AC6578"/>
    <w:rsid w:val="00AE2619"/>
    <w:rsid w:val="00AE4C10"/>
    <w:rsid w:val="00AE7E8E"/>
    <w:rsid w:val="00AF6506"/>
    <w:rsid w:val="00AF77FA"/>
    <w:rsid w:val="00B10D5B"/>
    <w:rsid w:val="00B147BE"/>
    <w:rsid w:val="00B205A2"/>
    <w:rsid w:val="00B37ED6"/>
    <w:rsid w:val="00B43625"/>
    <w:rsid w:val="00B66679"/>
    <w:rsid w:val="00B84653"/>
    <w:rsid w:val="00B84766"/>
    <w:rsid w:val="00B87CA9"/>
    <w:rsid w:val="00B96C30"/>
    <w:rsid w:val="00B97A18"/>
    <w:rsid w:val="00BB3D9E"/>
    <w:rsid w:val="00BC5B54"/>
    <w:rsid w:val="00BD3394"/>
    <w:rsid w:val="00BE7265"/>
    <w:rsid w:val="00BF5563"/>
    <w:rsid w:val="00C53B23"/>
    <w:rsid w:val="00C676D7"/>
    <w:rsid w:val="00C815C3"/>
    <w:rsid w:val="00CA7697"/>
    <w:rsid w:val="00CB623F"/>
    <w:rsid w:val="00CC13E6"/>
    <w:rsid w:val="00CE2789"/>
    <w:rsid w:val="00CE6009"/>
    <w:rsid w:val="00D02E1E"/>
    <w:rsid w:val="00D921FF"/>
    <w:rsid w:val="00DB6028"/>
    <w:rsid w:val="00DD1866"/>
    <w:rsid w:val="00DD6F0A"/>
    <w:rsid w:val="00E23350"/>
    <w:rsid w:val="00E50C58"/>
    <w:rsid w:val="00E5192B"/>
    <w:rsid w:val="00E551B5"/>
    <w:rsid w:val="00E63154"/>
    <w:rsid w:val="00E7080E"/>
    <w:rsid w:val="00E720DB"/>
    <w:rsid w:val="00E80AE4"/>
    <w:rsid w:val="00E90903"/>
    <w:rsid w:val="00E96455"/>
    <w:rsid w:val="00E96DC1"/>
    <w:rsid w:val="00EA356C"/>
    <w:rsid w:val="00EA47B5"/>
    <w:rsid w:val="00EA4DE7"/>
    <w:rsid w:val="00EC5DBC"/>
    <w:rsid w:val="00EE5F8D"/>
    <w:rsid w:val="00F14617"/>
    <w:rsid w:val="00F1498E"/>
    <w:rsid w:val="00F24E30"/>
    <w:rsid w:val="00F32F4B"/>
    <w:rsid w:val="00F33A8B"/>
    <w:rsid w:val="00F421E9"/>
    <w:rsid w:val="00F44249"/>
    <w:rsid w:val="00F532F6"/>
    <w:rsid w:val="00F53ADC"/>
    <w:rsid w:val="00F76B0E"/>
    <w:rsid w:val="00F80EEC"/>
    <w:rsid w:val="00FA6587"/>
    <w:rsid w:val="00FC4D5D"/>
    <w:rsid w:val="00FF40F1"/>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56673"/>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10" w:unhideWhenUsed="0" w:qFormat="1"/>
    <w:lsdException w:name="heading 3" w:semiHidden="0" w:uiPriority="11" w:unhideWhenUsed="0" w:qFormat="1"/>
    <w:lsdException w:name="heading 4" w:semiHidden="0" w:uiPriority="0" w:unhideWhenUsed="0" w:qFormat="1"/>
    <w:lsdException w:name="heading 5" w:semiHidden="0" w:uiPriority="0" w:unhideWhenUsed="0" w:qFormat="1"/>
    <w:lsdException w:name="heading 6" w:semiHidden="0" w:uiPriority="0" w:unhideWhenUsed="0" w:qFormat="1"/>
    <w:lsdException w:name="heading 7" w:semiHidden="0" w:uiPriority="0" w:unhideWhenUsed="0" w:qFormat="1"/>
    <w:lsdException w:name="heading 8" w:semiHidden="0" w:uiPriority="0" w:unhideWhenUsed="0" w:qFormat="1"/>
    <w:lsdException w:name="heading 9" w:semiHidden="0" w:uiPriority="0"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3A8B"/>
    <w:pPr>
      <w:spacing w:after="300" w:line="300" w:lineRule="atLeast"/>
      <w:jc w:val="both"/>
    </w:pPr>
    <w:rPr>
      <w:sz w:val="22"/>
      <w:lang w:eastAsia="en-US"/>
    </w:rPr>
  </w:style>
  <w:style w:type="paragraph" w:styleId="Heading1">
    <w:name w:val="heading 1"/>
    <w:basedOn w:val="Normal"/>
    <w:next w:val="Normal"/>
    <w:uiPriority w:val="9"/>
    <w:qFormat/>
    <w:rsid w:val="00765090"/>
    <w:pPr>
      <w:keepNext/>
      <w:outlineLvl w:val="0"/>
    </w:pPr>
    <w:rPr>
      <w:rFonts w:cs="Arial"/>
      <w:b/>
      <w:bCs/>
      <w:caps/>
      <w:kern w:val="28"/>
      <w:szCs w:val="32"/>
    </w:rPr>
  </w:style>
  <w:style w:type="paragraph" w:styleId="Heading2">
    <w:name w:val="heading 2"/>
    <w:basedOn w:val="Normal"/>
    <w:next w:val="Normal"/>
    <w:uiPriority w:val="10"/>
    <w:qFormat/>
    <w:rsid w:val="00765090"/>
    <w:pPr>
      <w:keepNext/>
      <w:outlineLvl w:val="1"/>
    </w:pPr>
    <w:rPr>
      <w:rFonts w:cs="Arial"/>
      <w:b/>
      <w:bCs/>
      <w:iCs/>
      <w:szCs w:val="28"/>
    </w:rPr>
  </w:style>
  <w:style w:type="paragraph" w:styleId="Heading3">
    <w:name w:val="heading 3"/>
    <w:basedOn w:val="Normal"/>
    <w:next w:val="Normal"/>
    <w:uiPriority w:val="11"/>
    <w:qFormat/>
    <w:rsid w:val="00765090"/>
    <w:pPr>
      <w:keepNext/>
      <w:outlineLvl w:val="2"/>
    </w:pPr>
    <w:rPr>
      <w:rFonts w:cs="Arial"/>
      <w:bCs/>
      <w:i/>
      <w:szCs w:val="26"/>
    </w:rPr>
  </w:style>
  <w:style w:type="paragraph" w:styleId="Heading4">
    <w:name w:val="heading 4"/>
    <w:basedOn w:val="Normal"/>
    <w:next w:val="Normal"/>
    <w:rsid w:val="00765090"/>
    <w:pPr>
      <w:numPr>
        <w:ilvl w:val="3"/>
        <w:numId w:val="11"/>
      </w:numPr>
      <w:tabs>
        <w:tab w:val="left" w:pos="2962"/>
        <w:tab w:val="right" w:pos="5617"/>
      </w:tabs>
      <w:ind w:right="28"/>
      <w:outlineLvl w:val="3"/>
    </w:pPr>
    <w:rPr>
      <w:b/>
      <w:snapToGrid w:val="0"/>
    </w:rPr>
  </w:style>
  <w:style w:type="paragraph" w:styleId="Heading5">
    <w:name w:val="heading 5"/>
    <w:basedOn w:val="Normal"/>
    <w:next w:val="Normal"/>
    <w:qFormat/>
    <w:rsid w:val="00765090"/>
    <w:pPr>
      <w:keepNext/>
      <w:numPr>
        <w:ilvl w:val="4"/>
        <w:numId w:val="12"/>
      </w:numPr>
      <w:tabs>
        <w:tab w:val="left" w:pos="4320"/>
        <w:tab w:val="left" w:pos="5760"/>
      </w:tabs>
      <w:ind w:right="29"/>
      <w:jc w:val="center"/>
      <w:outlineLvl w:val="4"/>
    </w:pPr>
    <w:rPr>
      <w:b/>
      <w:bCs/>
      <w:snapToGrid w:val="0"/>
    </w:rPr>
  </w:style>
  <w:style w:type="paragraph" w:styleId="Heading6">
    <w:name w:val="heading 6"/>
    <w:basedOn w:val="Normal"/>
    <w:next w:val="Normal"/>
    <w:qFormat/>
    <w:rsid w:val="00765090"/>
    <w:pPr>
      <w:keepNext/>
      <w:numPr>
        <w:ilvl w:val="5"/>
        <w:numId w:val="12"/>
      </w:numPr>
      <w:tabs>
        <w:tab w:val="right" w:pos="6781"/>
      </w:tabs>
      <w:ind w:right="-547"/>
      <w:jc w:val="center"/>
      <w:outlineLvl w:val="5"/>
    </w:pPr>
    <w:rPr>
      <w:b/>
      <w:bCs/>
      <w:snapToGrid w:val="0"/>
    </w:rPr>
  </w:style>
  <w:style w:type="paragraph" w:styleId="Heading7">
    <w:name w:val="heading 7"/>
    <w:basedOn w:val="Normal"/>
    <w:next w:val="Normal"/>
    <w:qFormat/>
    <w:rsid w:val="00765090"/>
    <w:pPr>
      <w:numPr>
        <w:ilvl w:val="6"/>
        <w:numId w:val="12"/>
      </w:numPr>
      <w:spacing w:before="240" w:after="60"/>
      <w:outlineLvl w:val="6"/>
    </w:pPr>
    <w:rPr>
      <w:szCs w:val="24"/>
    </w:rPr>
  </w:style>
  <w:style w:type="paragraph" w:styleId="Heading8">
    <w:name w:val="heading 8"/>
    <w:basedOn w:val="Normal"/>
    <w:next w:val="Normal"/>
    <w:qFormat/>
    <w:rsid w:val="00765090"/>
    <w:pPr>
      <w:numPr>
        <w:ilvl w:val="7"/>
        <w:numId w:val="12"/>
      </w:numPr>
      <w:spacing w:before="240" w:after="60"/>
      <w:outlineLvl w:val="7"/>
    </w:pPr>
    <w:rPr>
      <w:i/>
      <w:iCs/>
      <w:szCs w:val="24"/>
    </w:rPr>
  </w:style>
  <w:style w:type="paragraph" w:styleId="Heading9">
    <w:name w:val="heading 9"/>
    <w:basedOn w:val="Normal"/>
    <w:next w:val="Normal"/>
    <w:qFormat/>
    <w:rsid w:val="00765090"/>
    <w:pPr>
      <w:numPr>
        <w:ilvl w:val="8"/>
        <w:numId w:val="12"/>
      </w:numPr>
      <w:spacing w:before="240" w:after="60"/>
      <w:outlineLvl w:val="8"/>
    </w:pPr>
    <w:rPr>
      <w:rFonts w:ascii="Arial" w:hAnsi="Arial" w:cs="Arial"/>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rsid w:val="00765090"/>
    <w:pPr>
      <w:ind w:left="720"/>
      <w:contextualSpacing/>
    </w:pPr>
  </w:style>
  <w:style w:type="paragraph" w:customStyle="1" w:styleId="BurnessPaullClauseNumbering1">
    <w:name w:val="Burness_Paull_Clause_Numbering1"/>
    <w:next w:val="BurnessPaullClauseNumbering2"/>
    <w:qFormat/>
    <w:rsid w:val="00765090"/>
    <w:pPr>
      <w:keepNext/>
      <w:numPr>
        <w:numId w:val="9"/>
      </w:numPr>
      <w:spacing w:after="300" w:line="300" w:lineRule="atLeast"/>
    </w:pPr>
    <w:rPr>
      <w:b/>
      <w:caps/>
      <w:sz w:val="22"/>
      <w:lang w:eastAsia="en-US"/>
    </w:rPr>
  </w:style>
  <w:style w:type="paragraph" w:customStyle="1" w:styleId="BurnessPaullClauseNumbering2">
    <w:name w:val="Burness_Paull_Clause_Numbering2"/>
    <w:qFormat/>
    <w:rsid w:val="00765090"/>
    <w:pPr>
      <w:numPr>
        <w:ilvl w:val="1"/>
        <w:numId w:val="9"/>
      </w:numPr>
      <w:spacing w:after="300" w:line="300" w:lineRule="atLeast"/>
      <w:jc w:val="both"/>
    </w:pPr>
    <w:rPr>
      <w:sz w:val="22"/>
      <w:lang w:eastAsia="en-US"/>
    </w:rPr>
  </w:style>
  <w:style w:type="paragraph" w:customStyle="1" w:styleId="BurnessPaullClauseNumbering3">
    <w:name w:val="Burness_Paull_Clause_Numbering3"/>
    <w:qFormat/>
    <w:rsid w:val="00765090"/>
    <w:pPr>
      <w:numPr>
        <w:ilvl w:val="2"/>
        <w:numId w:val="9"/>
      </w:numPr>
      <w:spacing w:after="300" w:line="300" w:lineRule="atLeast"/>
    </w:pPr>
    <w:rPr>
      <w:sz w:val="22"/>
      <w:lang w:eastAsia="en-US"/>
    </w:rPr>
  </w:style>
  <w:style w:type="paragraph" w:customStyle="1" w:styleId="BurnessPaullClauseNumbering4">
    <w:name w:val="Burness_Paull_Clause_Numbering4"/>
    <w:qFormat/>
    <w:rsid w:val="00765090"/>
    <w:pPr>
      <w:numPr>
        <w:ilvl w:val="3"/>
        <w:numId w:val="9"/>
      </w:numPr>
      <w:spacing w:after="300" w:line="300" w:lineRule="atLeast"/>
      <w:jc w:val="both"/>
    </w:pPr>
    <w:rPr>
      <w:sz w:val="22"/>
      <w:lang w:eastAsia="en-US"/>
    </w:rPr>
  </w:style>
  <w:style w:type="numbering" w:customStyle="1" w:styleId="BurnessPaullNumbering">
    <w:name w:val="Burness_Paull_Numbering"/>
    <w:uiPriority w:val="99"/>
    <w:rsid w:val="00765090"/>
    <w:pPr>
      <w:numPr>
        <w:numId w:val="3"/>
      </w:numPr>
    </w:pPr>
  </w:style>
  <w:style w:type="numbering" w:customStyle="1" w:styleId="DefinitionNumbering">
    <w:name w:val="Definition_Numbering"/>
    <w:uiPriority w:val="99"/>
    <w:rsid w:val="00765090"/>
    <w:pPr>
      <w:numPr>
        <w:numId w:val="4"/>
      </w:numPr>
    </w:pPr>
  </w:style>
  <w:style w:type="paragraph" w:customStyle="1" w:styleId="DefinitionStyle">
    <w:name w:val="Definition_Style"/>
    <w:basedOn w:val="Normal"/>
    <w:qFormat/>
    <w:rsid w:val="00765090"/>
    <w:pPr>
      <w:numPr>
        <w:numId w:val="10"/>
      </w:numPr>
    </w:pPr>
  </w:style>
  <w:style w:type="numbering" w:customStyle="1" w:styleId="Instance">
    <w:name w:val="Instance"/>
    <w:uiPriority w:val="99"/>
    <w:rsid w:val="00765090"/>
    <w:pPr>
      <w:numPr>
        <w:numId w:val="5"/>
      </w:numPr>
    </w:pPr>
  </w:style>
  <w:style w:type="paragraph" w:customStyle="1" w:styleId="InstanceStyle">
    <w:name w:val="Instance_Style"/>
    <w:basedOn w:val="Normal"/>
    <w:qFormat/>
    <w:rsid w:val="00765090"/>
    <w:pPr>
      <w:numPr>
        <w:numId w:val="13"/>
      </w:numPr>
    </w:pPr>
  </w:style>
  <w:style w:type="numbering" w:customStyle="1" w:styleId="NumberedList">
    <w:name w:val="Numbered_List"/>
    <w:uiPriority w:val="99"/>
    <w:rsid w:val="00765090"/>
    <w:pPr>
      <w:numPr>
        <w:numId w:val="6"/>
      </w:numPr>
    </w:pPr>
  </w:style>
  <w:style w:type="paragraph" w:customStyle="1" w:styleId="NumberedList1">
    <w:name w:val="Numbered_List1"/>
    <w:basedOn w:val="Normal"/>
    <w:qFormat/>
    <w:rsid w:val="00765090"/>
    <w:pPr>
      <w:numPr>
        <w:numId w:val="14"/>
      </w:numPr>
    </w:pPr>
  </w:style>
  <w:style w:type="paragraph" w:customStyle="1" w:styleId="NumberedList2">
    <w:name w:val="Numbered_List2"/>
    <w:basedOn w:val="NumberedList1"/>
    <w:qFormat/>
    <w:rsid w:val="00765090"/>
    <w:pPr>
      <w:numPr>
        <w:ilvl w:val="1"/>
      </w:numPr>
    </w:pPr>
  </w:style>
  <w:style w:type="paragraph" w:customStyle="1" w:styleId="NumberedList3">
    <w:name w:val="Numbered_List3"/>
    <w:basedOn w:val="NumberedList2"/>
    <w:qFormat/>
    <w:rsid w:val="00765090"/>
    <w:pPr>
      <w:numPr>
        <w:ilvl w:val="2"/>
      </w:numPr>
    </w:pPr>
  </w:style>
  <w:style w:type="paragraph" w:customStyle="1" w:styleId="NumberedList4">
    <w:name w:val="Numbered_List4"/>
    <w:basedOn w:val="NumberedList3"/>
    <w:qFormat/>
    <w:rsid w:val="00765090"/>
    <w:pPr>
      <w:numPr>
        <w:ilvl w:val="3"/>
      </w:numPr>
    </w:pPr>
  </w:style>
  <w:style w:type="numbering" w:customStyle="1" w:styleId="RecitalList">
    <w:name w:val="Recital_List"/>
    <w:uiPriority w:val="99"/>
    <w:rsid w:val="00765090"/>
    <w:pPr>
      <w:numPr>
        <w:numId w:val="7"/>
      </w:numPr>
    </w:pPr>
  </w:style>
  <w:style w:type="paragraph" w:customStyle="1" w:styleId="RecitalStyle">
    <w:name w:val="Recital_Style"/>
    <w:basedOn w:val="Normal"/>
    <w:qFormat/>
    <w:rsid w:val="00765090"/>
    <w:pPr>
      <w:numPr>
        <w:numId w:val="15"/>
      </w:numPr>
    </w:pPr>
  </w:style>
  <w:style w:type="paragraph" w:styleId="Header">
    <w:name w:val="header"/>
    <w:basedOn w:val="Normal"/>
    <w:link w:val="HeaderChar"/>
    <w:uiPriority w:val="99"/>
    <w:semiHidden/>
    <w:unhideWhenUsed/>
    <w:rsid w:val="00765090"/>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210033"/>
    <w:rPr>
      <w:sz w:val="22"/>
      <w:lang w:eastAsia="en-US"/>
    </w:rPr>
  </w:style>
  <w:style w:type="paragraph" w:customStyle="1" w:styleId="BulletLevel1">
    <w:name w:val="Bullet_Level1"/>
    <w:basedOn w:val="ListParagraph"/>
    <w:qFormat/>
    <w:rsid w:val="00765090"/>
    <w:pPr>
      <w:numPr>
        <w:numId w:val="8"/>
      </w:numPr>
      <w:contextualSpacing w:val="0"/>
    </w:pPr>
  </w:style>
  <w:style w:type="paragraph" w:customStyle="1" w:styleId="BulletLevel2">
    <w:name w:val="Bullet_Level2"/>
    <w:basedOn w:val="Normal"/>
    <w:qFormat/>
    <w:rsid w:val="00765090"/>
    <w:pPr>
      <w:numPr>
        <w:ilvl w:val="1"/>
        <w:numId w:val="8"/>
      </w:numPr>
    </w:pPr>
  </w:style>
  <w:style w:type="numbering" w:customStyle="1" w:styleId="BulletedList">
    <w:name w:val="Bulleted_List"/>
    <w:uiPriority w:val="99"/>
    <w:rsid w:val="00765090"/>
    <w:pPr>
      <w:numPr>
        <w:numId w:val="2"/>
      </w:numPr>
    </w:pPr>
  </w:style>
  <w:style w:type="paragraph" w:styleId="TOC1">
    <w:name w:val="toc 1"/>
    <w:basedOn w:val="Normal"/>
    <w:next w:val="Normal"/>
    <w:uiPriority w:val="39"/>
    <w:unhideWhenUsed/>
    <w:rsid w:val="00F24E30"/>
    <w:pPr>
      <w:spacing w:after="100"/>
    </w:pPr>
    <w:rPr>
      <w:caps/>
    </w:rPr>
  </w:style>
  <w:style w:type="paragraph" w:styleId="TOC2">
    <w:name w:val="toc 2"/>
    <w:basedOn w:val="Normal"/>
    <w:next w:val="Normal"/>
    <w:autoRedefine/>
    <w:uiPriority w:val="39"/>
    <w:semiHidden/>
    <w:unhideWhenUsed/>
    <w:rsid w:val="00597145"/>
    <w:pPr>
      <w:spacing w:after="100"/>
      <w:ind w:left="220"/>
    </w:pPr>
  </w:style>
  <w:style w:type="paragraph" w:styleId="TOC3">
    <w:name w:val="toc 3"/>
    <w:basedOn w:val="Normal"/>
    <w:next w:val="Normal"/>
    <w:autoRedefine/>
    <w:uiPriority w:val="39"/>
    <w:semiHidden/>
    <w:unhideWhenUsed/>
    <w:rsid w:val="00597145"/>
    <w:pPr>
      <w:spacing w:after="100"/>
      <w:ind w:left="440"/>
    </w:pPr>
  </w:style>
  <w:style w:type="paragraph" w:styleId="TOC4">
    <w:name w:val="toc 4"/>
    <w:basedOn w:val="Normal"/>
    <w:next w:val="Normal"/>
    <w:autoRedefine/>
    <w:uiPriority w:val="39"/>
    <w:semiHidden/>
    <w:unhideWhenUsed/>
    <w:rsid w:val="00597145"/>
    <w:pPr>
      <w:spacing w:after="100"/>
      <w:ind w:left="660"/>
    </w:pPr>
  </w:style>
  <w:style w:type="paragraph" w:styleId="TOC5">
    <w:name w:val="toc 5"/>
    <w:basedOn w:val="Normal"/>
    <w:next w:val="Normal"/>
    <w:autoRedefine/>
    <w:uiPriority w:val="39"/>
    <w:semiHidden/>
    <w:unhideWhenUsed/>
    <w:rsid w:val="00597145"/>
    <w:pPr>
      <w:spacing w:after="100"/>
      <w:ind w:left="880"/>
    </w:pPr>
  </w:style>
  <w:style w:type="paragraph" w:styleId="TOC6">
    <w:name w:val="toc 6"/>
    <w:basedOn w:val="Normal"/>
    <w:next w:val="Normal"/>
    <w:autoRedefine/>
    <w:uiPriority w:val="39"/>
    <w:semiHidden/>
    <w:unhideWhenUsed/>
    <w:rsid w:val="00597145"/>
    <w:pPr>
      <w:spacing w:after="100"/>
      <w:ind w:left="1100"/>
    </w:pPr>
  </w:style>
  <w:style w:type="paragraph" w:styleId="TOC7">
    <w:name w:val="toc 7"/>
    <w:basedOn w:val="Normal"/>
    <w:next w:val="Normal"/>
    <w:autoRedefine/>
    <w:uiPriority w:val="39"/>
    <w:semiHidden/>
    <w:unhideWhenUsed/>
    <w:rsid w:val="00597145"/>
    <w:pPr>
      <w:spacing w:after="100"/>
      <w:ind w:left="1320"/>
    </w:pPr>
  </w:style>
  <w:style w:type="paragraph" w:styleId="TOC8">
    <w:name w:val="toc 8"/>
    <w:basedOn w:val="Normal"/>
    <w:next w:val="Normal"/>
    <w:autoRedefine/>
    <w:uiPriority w:val="39"/>
    <w:semiHidden/>
    <w:unhideWhenUsed/>
    <w:rsid w:val="00597145"/>
    <w:pPr>
      <w:spacing w:after="100"/>
      <w:ind w:left="1540"/>
    </w:pPr>
  </w:style>
  <w:style w:type="paragraph" w:styleId="TOC9">
    <w:name w:val="toc 9"/>
    <w:basedOn w:val="Normal"/>
    <w:next w:val="Normal"/>
    <w:autoRedefine/>
    <w:uiPriority w:val="39"/>
    <w:semiHidden/>
    <w:unhideWhenUsed/>
    <w:rsid w:val="00597145"/>
    <w:pPr>
      <w:spacing w:after="100"/>
      <w:ind w:left="1760"/>
    </w:pPr>
  </w:style>
  <w:style w:type="character" w:styleId="Hyperlink">
    <w:name w:val="Hyperlink"/>
    <w:basedOn w:val="DefaultParagraphFont"/>
    <w:uiPriority w:val="99"/>
    <w:unhideWhenUsed/>
    <w:rsid w:val="00597145"/>
    <w:rPr>
      <w:color w:val="0000FF" w:themeColor="hyperlink"/>
      <w:u w:val="single"/>
    </w:rPr>
  </w:style>
  <w:style w:type="paragraph" w:styleId="BalloonText">
    <w:name w:val="Balloon Text"/>
    <w:basedOn w:val="Normal"/>
    <w:link w:val="BalloonTextChar"/>
    <w:uiPriority w:val="99"/>
    <w:semiHidden/>
    <w:unhideWhenUsed/>
    <w:rsid w:val="005971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7145"/>
    <w:rPr>
      <w:rFonts w:ascii="Tahoma" w:hAnsi="Tahoma" w:cs="Tahoma"/>
      <w:sz w:val="16"/>
      <w:szCs w:val="16"/>
      <w:lang w:eastAsia="en-US"/>
    </w:rPr>
  </w:style>
  <w:style w:type="paragraph" w:customStyle="1" w:styleId="ZeroIndent">
    <w:name w:val="ZeroIndent"/>
    <w:basedOn w:val="Normal"/>
    <w:rsid w:val="0054634D"/>
    <w:pPr>
      <w:spacing w:after="0" w:line="240" w:lineRule="auto"/>
    </w:pPr>
    <w:rPr>
      <w:sz w:val="24"/>
    </w:rPr>
  </w:style>
  <w:style w:type="paragraph" w:customStyle="1" w:styleId="BurnessPaullClauseNumbering5">
    <w:name w:val="Burness_Paull_Clause_Numbering5"/>
    <w:qFormat/>
    <w:rsid w:val="00765090"/>
    <w:pPr>
      <w:numPr>
        <w:ilvl w:val="4"/>
        <w:numId w:val="9"/>
      </w:numPr>
      <w:spacing w:after="300" w:line="300" w:lineRule="atLeast"/>
    </w:pPr>
    <w:rPr>
      <w:sz w:val="22"/>
      <w:lang w:eastAsia="en-US"/>
    </w:rPr>
  </w:style>
  <w:style w:type="paragraph" w:customStyle="1" w:styleId="BurnessPaullClauseNumbering6">
    <w:name w:val="Burness_Paull_Clause_Numbering6"/>
    <w:qFormat/>
    <w:rsid w:val="00765090"/>
    <w:pPr>
      <w:numPr>
        <w:ilvl w:val="5"/>
        <w:numId w:val="9"/>
      </w:numPr>
      <w:spacing w:after="300" w:line="300" w:lineRule="atLeast"/>
      <w:jc w:val="both"/>
    </w:pPr>
    <w:rPr>
      <w:noProof/>
      <w:sz w:val="22"/>
      <w:lang w:eastAsia="en-US"/>
    </w:rPr>
  </w:style>
  <w:style w:type="paragraph" w:customStyle="1" w:styleId="FrontPage">
    <w:name w:val="FrontPage"/>
    <w:basedOn w:val="Normal"/>
    <w:qFormat/>
    <w:rsid w:val="004A41CE"/>
    <w:pPr>
      <w:spacing w:after="0" w:line="240" w:lineRule="auto"/>
      <w:ind w:left="-108"/>
    </w:pPr>
    <w:rPr>
      <w:rFonts w:ascii="Arial" w:hAnsi="Arial"/>
      <w:noProof/>
      <w:color w:val="808080" w:themeColor="background1" w:themeShade="80"/>
      <w:sz w:val="16"/>
      <w:lang w:eastAsia="en-GB"/>
    </w:rPr>
  </w:style>
  <w:style w:type="numbering" w:styleId="111111">
    <w:name w:val="Outline List 2"/>
    <w:basedOn w:val="NoList"/>
    <w:uiPriority w:val="99"/>
    <w:semiHidden/>
    <w:unhideWhenUsed/>
    <w:rsid w:val="00765090"/>
    <w:pPr>
      <w:numPr>
        <w:numId w:val="1"/>
      </w:numPr>
    </w:pPr>
  </w:style>
  <w:style w:type="paragraph" w:customStyle="1" w:styleId="Enclosures">
    <w:name w:val="Enclosures"/>
    <w:basedOn w:val="NumberedList1"/>
    <w:qFormat/>
    <w:rsid w:val="00765090"/>
    <w:pPr>
      <w:numPr>
        <w:numId w:val="0"/>
      </w:numPr>
      <w:tabs>
        <w:tab w:val="num" w:pos="709"/>
      </w:tabs>
      <w:spacing w:before="300" w:after="0" w:line="240" w:lineRule="auto"/>
      <w:ind w:left="709" w:hanging="709"/>
      <w:contextualSpacing/>
    </w:pPr>
  </w:style>
  <w:style w:type="paragraph" w:styleId="Footer">
    <w:name w:val="footer"/>
    <w:basedOn w:val="Normal"/>
    <w:link w:val="FooterChar"/>
    <w:uiPriority w:val="99"/>
    <w:unhideWhenUsed/>
    <w:rsid w:val="00F33A8B"/>
    <w:pPr>
      <w:tabs>
        <w:tab w:val="center" w:pos="4513"/>
        <w:tab w:val="right" w:pos="9026"/>
      </w:tabs>
      <w:spacing w:after="0" w:line="240" w:lineRule="auto"/>
    </w:pPr>
    <w:rPr>
      <w:rFonts w:ascii="Arial" w:hAnsi="Arial"/>
      <w:color w:val="808080" w:themeColor="background1" w:themeShade="80"/>
      <w:sz w:val="16"/>
    </w:rPr>
  </w:style>
  <w:style w:type="character" w:customStyle="1" w:styleId="FooterChar">
    <w:name w:val="Footer Char"/>
    <w:basedOn w:val="DefaultParagraphFont"/>
    <w:link w:val="Footer"/>
    <w:uiPriority w:val="99"/>
    <w:rsid w:val="00F33A8B"/>
    <w:rPr>
      <w:rFonts w:ascii="Arial" w:hAnsi="Arial"/>
      <w:color w:val="808080" w:themeColor="background1" w:themeShade="80"/>
      <w:sz w:val="16"/>
      <w:lang w:eastAsia="en-US"/>
    </w:rPr>
  </w:style>
  <w:style w:type="table" w:styleId="TableGrid">
    <w:name w:val="Table Grid"/>
    <w:basedOn w:val="TableNormal"/>
    <w:uiPriority w:val="59"/>
    <w:rsid w:val="0076509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FirstPageFooter">
    <w:name w:val="FirstPageFooter"/>
    <w:basedOn w:val="Footer"/>
    <w:qFormat/>
    <w:rsid w:val="00F33A8B"/>
    <w:rPr>
      <w:color w:val="FFFFFF" w:themeColor="background1"/>
    </w:rPr>
  </w:style>
  <w:style w:type="paragraph" w:customStyle="1" w:styleId="Documenttitle">
    <w:name w:val="Document_title"/>
    <w:basedOn w:val="Normal"/>
    <w:rsid w:val="007150B1"/>
    <w:pPr>
      <w:spacing w:after="0" w:line="320" w:lineRule="exact"/>
      <w:jc w:val="center"/>
    </w:pPr>
    <w:rPr>
      <w:bCs/>
      <w:snapToGrid w:val="0"/>
      <w:sz w:val="24"/>
    </w:rPr>
  </w:style>
  <w:style w:type="paragraph" w:customStyle="1" w:styleId="BurnessBullet1">
    <w:name w:val="BurnessBullet1"/>
    <w:basedOn w:val="Normal"/>
    <w:rsid w:val="00356698"/>
    <w:pPr>
      <w:numPr>
        <w:numId w:val="22"/>
      </w:numPr>
      <w:spacing w:after="120" w:line="240" w:lineRule="auto"/>
      <w:ind w:left="357" w:hanging="357"/>
    </w:pPr>
    <w:rPr>
      <w:sz w:val="24"/>
      <w:szCs w:val="24"/>
    </w:rPr>
  </w:style>
  <w:style w:type="paragraph" w:customStyle="1" w:styleId="BurnessBullet2">
    <w:name w:val="BurnessBullet2"/>
    <w:basedOn w:val="Normal"/>
    <w:rsid w:val="00356698"/>
    <w:pPr>
      <w:numPr>
        <w:ilvl w:val="1"/>
        <w:numId w:val="22"/>
      </w:numPr>
      <w:spacing w:after="120" w:line="240" w:lineRule="auto"/>
      <w:ind w:left="714" w:hanging="357"/>
    </w:pPr>
    <w:rPr>
      <w:sz w:val="24"/>
      <w:szCs w:val="24"/>
    </w:rPr>
  </w:style>
  <w:style w:type="paragraph" w:customStyle="1" w:styleId="NumHeading1">
    <w:name w:val="NumHeading1"/>
    <w:basedOn w:val="Heading1"/>
    <w:next w:val="NumHeading2"/>
    <w:rsid w:val="00356698"/>
    <w:pPr>
      <w:keepNext w:val="0"/>
      <w:numPr>
        <w:numId w:val="23"/>
      </w:numPr>
      <w:spacing w:after="240" w:line="240" w:lineRule="auto"/>
    </w:pPr>
    <w:rPr>
      <w:sz w:val="24"/>
    </w:rPr>
  </w:style>
  <w:style w:type="paragraph" w:customStyle="1" w:styleId="NumHeading2">
    <w:name w:val="NumHeading2"/>
    <w:basedOn w:val="Heading2"/>
    <w:rsid w:val="00356698"/>
    <w:pPr>
      <w:keepNext w:val="0"/>
      <w:numPr>
        <w:ilvl w:val="1"/>
        <w:numId w:val="23"/>
      </w:numPr>
      <w:spacing w:after="240" w:line="240" w:lineRule="auto"/>
    </w:pPr>
    <w:rPr>
      <w:b w:val="0"/>
      <w:sz w:val="24"/>
    </w:rPr>
  </w:style>
  <w:style w:type="paragraph" w:customStyle="1" w:styleId="NumHeading3">
    <w:name w:val="NumHeading3"/>
    <w:basedOn w:val="Heading3"/>
    <w:rsid w:val="00356698"/>
    <w:pPr>
      <w:keepNext w:val="0"/>
      <w:numPr>
        <w:ilvl w:val="2"/>
        <w:numId w:val="23"/>
      </w:numPr>
      <w:spacing w:after="240" w:line="240" w:lineRule="auto"/>
    </w:pPr>
    <w:rPr>
      <w:i w:val="0"/>
      <w:sz w:val="24"/>
    </w:rPr>
  </w:style>
  <w:style w:type="paragraph" w:customStyle="1" w:styleId="NumHeading4">
    <w:name w:val="NumHeading4"/>
    <w:basedOn w:val="NumHeading3"/>
    <w:rsid w:val="00356698"/>
    <w:pPr>
      <w:numPr>
        <w:ilvl w:val="3"/>
      </w:numPr>
    </w:pPr>
  </w:style>
</w:styles>
</file>

<file path=word/webSettings.xml><?xml version="1.0" encoding="utf-8"?>
<w:webSettings xmlns:r="http://schemas.openxmlformats.org/officeDocument/2006/relationships" xmlns:w="http://schemas.openxmlformats.org/wordprocessingml/2006/main">
  <w:divs>
    <w:div w:id="17213214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james.forbes@burnesspaull.com" TargetMode="External"/><Relationship Id="rId13" Type="http://schemas.openxmlformats.org/officeDocument/2006/relationships/customXml" Target="../customXml/item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jpeg"/><Relationship Id="rId14" Type="http://schemas.openxmlformats.org/officeDocument/2006/relationships/customXml" Target="../customXml/item2.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T:\Document.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0DD1AFC-73E9-4CB4-B2F0-DBE0C03701B3}"/>
</file>

<file path=customXml/itemProps2.xml><?xml version="1.0" encoding="utf-8"?>
<ds:datastoreItem xmlns:ds="http://schemas.openxmlformats.org/officeDocument/2006/customXml" ds:itemID="{DB44E3CC-C732-4CAA-BD75-A0C5BE67BF40}"/>
</file>

<file path=customXml/itemProps3.xml><?xml version="1.0" encoding="utf-8"?>
<ds:datastoreItem xmlns:ds="http://schemas.openxmlformats.org/officeDocument/2006/customXml" ds:itemID="{0331FF80-88B0-4912-98AD-6D1B88BD4170}"/>
</file>

<file path=docProps/app.xml><?xml version="1.0" encoding="utf-8"?>
<Properties xmlns="http://schemas.openxmlformats.org/officeDocument/2006/extended-properties" xmlns:vt="http://schemas.openxmlformats.org/officeDocument/2006/docPropsVTypes">
  <Template>Document</Template>
  <TotalTime>9</TotalTime>
  <Pages>2</Pages>
  <Words>803</Words>
  <Characters>4420</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Burness Paull LLP</Company>
  <LinksUpToDate>false</LinksUpToDate>
  <CharactersWithSpaces>5213</CharactersWithSpaces>
  <SharedDoc>false</SharedDoc>
  <HLinks>
    <vt:vector size="6" baseType="variant">
      <vt:variant>
        <vt:i4>5963877</vt:i4>
      </vt:variant>
      <vt:variant>
        <vt:i4>1050</vt:i4>
      </vt:variant>
      <vt:variant>
        <vt:i4>1025</vt:i4>
      </vt:variant>
      <vt:variant>
        <vt:i4>1</vt:i4>
      </vt:variant>
      <vt:variant>
        <vt:lpwstr>burness_oneline</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Burness Paull LLP</dc:creator>
  <cp:lastModifiedBy>Burness Paull</cp:lastModifiedBy>
  <cp:revision>5</cp:revision>
  <cp:lastPrinted>2014-02-21T10:55:00Z</cp:lastPrinted>
  <dcterms:created xsi:type="dcterms:W3CDTF">2014-12-04T17:41:00Z</dcterms:created>
  <dcterms:modified xsi:type="dcterms:W3CDTF">2014-12-05T09:57:00Z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ID">
    <vt:bool>true</vt:bool>
  </property>
  <property fmtid="{D5CDD505-2E9C-101B-9397-08002B2CF9AE}" pid="3" name="OnFirst">
    <vt:bool>false</vt:bool>
  </property>
  <property fmtid="{D5CDD505-2E9C-101B-9397-08002B2CF9AE}" pid="4" name="DocID">
    <vt:lpwstr>Live: 30226858 v 1</vt:lpwstr>
  </property>
  <property fmtid="{D5CDD505-2E9C-101B-9397-08002B2CF9AE}" pid="5" name="TempIni">
    <vt:lpwstr>tt</vt:lpwstr>
  </property>
  <property fmtid="{D5CDD505-2E9C-101B-9397-08002B2CF9AE}" pid="6" name="TempType">
    <vt:lpwstr>DOC</vt:lpwstr>
  </property>
  <property fmtid="{D5CDD505-2E9C-101B-9397-08002B2CF9AE}" pid="7" name="TempClient">
    <vt:lpwstr>NC</vt:lpwstr>
  </property>
  <property fmtid="{D5CDD505-2E9C-101B-9397-08002B2CF9AE}" pid="8" name="TempMatter">
    <vt:lpwstr>NC</vt:lpwstr>
  </property>
  <property fmtid="{D5CDD505-2E9C-101B-9397-08002B2CF9AE}" pid="9" name="MatterPath">
    <vt:lpwstr>\!nrtdms:0:!session:WORKSITE_DMS:\!nrtdms:0:!session:WORKSITE_DMS:!database:LIVE:</vt:lpwstr>
  </property>
  <property fmtid="{D5CDD505-2E9C-101B-9397-08002B2CF9AE}" pid="10" name="TempDesc">
    <vt:lpwstr>    </vt:lpwstr>
  </property>
  <property fmtid="{D5CDD505-2E9C-101B-9397-08002B2CF9AE}" pid="11" name="ContentTypeId">
    <vt:lpwstr>0x010100753FE2BD86E76B4DAA5BD0ECE9CA712D</vt:lpwstr>
  </property>
</Properties>
</file>