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5B8" w:rsidRDefault="001905B8" w:rsidP="001905B8">
      <w:pPr>
        <w:pStyle w:val="Title"/>
      </w:pPr>
      <w:r>
        <w:t>Heads of Agreement between the Commonwealth and the States and Territories on Public Hospital Funding</w:t>
      </w:r>
    </w:p>
    <w:p w:rsidR="001905B8" w:rsidRDefault="001905B8" w:rsidP="001905B8">
      <w:pPr>
        <w:pStyle w:val="Subtitle"/>
      </w:pPr>
      <w:r>
        <w:t>This Agreement is made between the COMMONWEALTH OF AUSTRALIA (Commonwealth) and NEW SOUTH WALES, VICTORIA, QUEENSLAND, WESTERN AUSTRALIA, SOUTH AUSTRALIA, TASMANIA, the AUSTRALIAN CAPITAL TERRITORY and the NORTHERN TERRITORY (the States)</w:t>
      </w:r>
    </w:p>
    <w:p w:rsidR="001905B8" w:rsidRPr="00B677BC" w:rsidRDefault="001905B8" w:rsidP="00B677BC">
      <w:pPr>
        <w:pStyle w:val="Heading1"/>
      </w:pPr>
      <w:r>
        <w:t xml:space="preserve">Preliminaries </w:t>
      </w:r>
      <w:bookmarkStart w:id="0" w:name="_GoBack"/>
      <w:bookmarkEnd w:id="0"/>
    </w:p>
    <w:p w:rsidR="001905B8" w:rsidRDefault="001905B8" w:rsidP="001905B8">
      <w:pPr>
        <w:pStyle w:val="ListParagraph"/>
        <w:numPr>
          <w:ilvl w:val="0"/>
          <w:numId w:val="1"/>
        </w:numPr>
        <w:spacing w:line="276" w:lineRule="auto"/>
      </w:pPr>
      <w:r>
        <w:t xml:space="preserve">This Agreement sets out the shared objective of the Commonwealth and the States (the Parties) to improve health outcomes for all Australians and ensure the sustainability of the Australian health system. </w:t>
      </w:r>
    </w:p>
    <w:p w:rsidR="001905B8" w:rsidRDefault="00191C10" w:rsidP="001905B8">
      <w:pPr>
        <w:pStyle w:val="ListParagraph"/>
        <w:numPr>
          <w:ilvl w:val="0"/>
          <w:numId w:val="1"/>
        </w:numPr>
        <w:spacing w:line="276" w:lineRule="auto"/>
      </w:pPr>
      <w:r>
        <w:t>We intend this agreement to</w:t>
      </w:r>
      <w:r w:rsidR="001905B8">
        <w:t xml:space="preserve"> build on and complement the policy and reform directions outlined in the National Health</w:t>
      </w:r>
      <w:r>
        <w:t>care</w:t>
      </w:r>
      <w:r w:rsidR="001905B8">
        <w:t xml:space="preserve"> Agreement (NHA) and the National Health Reform Agreement (NHRA). It is also subject to the Intergovernmental Agreement on Federal Financial Relations and should be read in conjunction with that agreement and any subsidiary schedules. </w:t>
      </w:r>
    </w:p>
    <w:p w:rsidR="00191C10" w:rsidRDefault="00191C10" w:rsidP="001905B8">
      <w:pPr>
        <w:pStyle w:val="ListParagraph"/>
        <w:numPr>
          <w:ilvl w:val="0"/>
          <w:numId w:val="1"/>
        </w:numPr>
        <w:spacing w:line="276" w:lineRule="auto"/>
      </w:pPr>
      <w:r>
        <w:t>The Parties agree this Agreement will form the basis of negotiations leading towards a time-limited addendum of the National Health Reform Agreement (in the form of an additional schedule) to commence on 1 July 2017. The addendum will amend specified elements of the operation of the National Health Reform Agreement for a period of three years, ceasing 30 June 2020.</w:t>
      </w:r>
    </w:p>
    <w:p w:rsidR="001905B8" w:rsidRDefault="00962B73" w:rsidP="001905B8">
      <w:pPr>
        <w:pStyle w:val="ListParagraph"/>
        <w:numPr>
          <w:ilvl w:val="0"/>
          <w:numId w:val="1"/>
        </w:numPr>
        <w:spacing w:line="276" w:lineRule="auto"/>
      </w:pPr>
      <w:r>
        <w:t>T</w:t>
      </w:r>
      <w:r w:rsidR="001905B8">
        <w:t>his Agreement recognises that responsibility for health is shared between the Commonwealth and the States.</w:t>
      </w:r>
    </w:p>
    <w:p w:rsidR="001905B8" w:rsidRDefault="001905B8" w:rsidP="001905B8">
      <w:pPr>
        <w:pStyle w:val="ListParagraph"/>
        <w:numPr>
          <w:ilvl w:val="1"/>
          <w:numId w:val="1"/>
        </w:numPr>
        <w:spacing w:line="276" w:lineRule="auto"/>
      </w:pPr>
      <w:r>
        <w:t xml:space="preserve">The States will remain system managers for public hospitals and will remain responsible for their infrastructure, operation, delivery of services and performance. </w:t>
      </w:r>
    </w:p>
    <w:p w:rsidR="001905B8" w:rsidRDefault="001905B8" w:rsidP="001905B8">
      <w:pPr>
        <w:pStyle w:val="ListParagraph"/>
        <w:numPr>
          <w:ilvl w:val="1"/>
          <w:numId w:val="1"/>
        </w:numPr>
        <w:spacing w:line="276" w:lineRule="auto"/>
      </w:pPr>
      <w:r>
        <w:t>The Commonwealth will continue to have lead responsibility for general practice (GP) and primary health care</w:t>
      </w:r>
      <w:r w:rsidR="00191C10">
        <w:t>, including</w:t>
      </w:r>
      <w:r>
        <w:t xml:space="preserve"> </w:t>
      </w:r>
      <w:r w:rsidR="00191C10">
        <w:t>the</w:t>
      </w:r>
      <w:r w:rsidR="00191C10" w:rsidRPr="00191C10">
        <w:t xml:space="preserve"> </w:t>
      </w:r>
      <w:r w:rsidR="00191C10">
        <w:t xml:space="preserve">Primary Health Networks, </w:t>
      </w:r>
      <w:r>
        <w:t xml:space="preserve">and continue to support private health services through the Medicare Benefits Schedule (MBS), the Pharmaceutical Benefits Scheme (PBS), </w:t>
      </w:r>
      <w:proofErr w:type="gramStart"/>
      <w:r>
        <w:t>the</w:t>
      </w:r>
      <w:proofErr w:type="gramEnd"/>
      <w:r>
        <w:t xml:space="preserve"> Private Health Insurance Rebate. </w:t>
      </w:r>
    </w:p>
    <w:p w:rsidR="001905B8" w:rsidRDefault="001905B8" w:rsidP="001905B8">
      <w:pPr>
        <w:pStyle w:val="ListParagraph"/>
        <w:numPr>
          <w:ilvl w:val="1"/>
          <w:numId w:val="1"/>
        </w:numPr>
        <w:spacing w:line="276" w:lineRule="auto"/>
      </w:pPr>
      <w:r>
        <w:t>All governments have a shared responsibility to integrate systems and services to improve health outcomes for Australians</w:t>
      </w:r>
      <w:r w:rsidR="00191C10">
        <w:t xml:space="preserve"> and acknowledging the interoperability of the system</w:t>
      </w:r>
      <w:r>
        <w:t>.</w:t>
      </w:r>
    </w:p>
    <w:p w:rsidR="001905B8" w:rsidRDefault="001905B8" w:rsidP="0061752C">
      <w:pPr>
        <w:pStyle w:val="ListParagraph"/>
        <w:keepNext/>
        <w:numPr>
          <w:ilvl w:val="0"/>
          <w:numId w:val="1"/>
        </w:numPr>
        <w:spacing w:line="276" w:lineRule="auto"/>
        <w:ind w:left="357" w:hanging="357"/>
      </w:pPr>
      <w:r>
        <w:lastRenderedPageBreak/>
        <w:t>The Parties agree the reforms in this Agreement reaffirm the Medicare Principles:</w:t>
      </w:r>
    </w:p>
    <w:p w:rsidR="001905B8" w:rsidRDefault="001905B8" w:rsidP="001905B8">
      <w:pPr>
        <w:pStyle w:val="ListParagraph"/>
        <w:numPr>
          <w:ilvl w:val="1"/>
          <w:numId w:val="2"/>
        </w:numPr>
        <w:spacing w:line="276" w:lineRule="auto"/>
        <w:ind w:hanging="357"/>
      </w:pPr>
      <w:r>
        <w:t>eligible persons are to be given the choice to receive, free of charge as public patients, health and emergency services of a kind or kinds that are currently, or were historically provided by hospitals;</w:t>
      </w:r>
    </w:p>
    <w:p w:rsidR="001905B8" w:rsidRDefault="001905B8" w:rsidP="001905B8">
      <w:pPr>
        <w:pStyle w:val="ListParagraph"/>
        <w:numPr>
          <w:ilvl w:val="1"/>
          <w:numId w:val="2"/>
        </w:numPr>
        <w:spacing w:line="276" w:lineRule="auto"/>
        <w:ind w:hanging="357"/>
      </w:pPr>
      <w:r>
        <w:t xml:space="preserve">access to such services by public patients free of charge is to be on the basis of clinical need and within a clinically appropriate period; and </w:t>
      </w:r>
    </w:p>
    <w:p w:rsidR="001905B8" w:rsidRDefault="001905B8" w:rsidP="00C0387A">
      <w:pPr>
        <w:pStyle w:val="ListParagraph"/>
        <w:numPr>
          <w:ilvl w:val="1"/>
          <w:numId w:val="2"/>
        </w:numPr>
        <w:spacing w:line="276" w:lineRule="auto"/>
        <w:ind w:hanging="357"/>
      </w:pPr>
      <w:proofErr w:type="gramStart"/>
      <w:r>
        <w:t>arrangements</w:t>
      </w:r>
      <w:proofErr w:type="gramEnd"/>
      <w:r>
        <w:t xml:space="preserve"> are to be in place to ensure equitable access to such services for all eligible persons, regardless of their geographic location. </w:t>
      </w:r>
    </w:p>
    <w:p w:rsidR="001905B8" w:rsidRDefault="001905B8" w:rsidP="001905B8">
      <w:pPr>
        <w:pStyle w:val="ListParagraph"/>
        <w:keepNext/>
        <w:numPr>
          <w:ilvl w:val="0"/>
          <w:numId w:val="1"/>
        </w:numPr>
        <w:spacing w:line="276" w:lineRule="auto"/>
        <w:ind w:left="357" w:hanging="357"/>
      </w:pPr>
      <w:r>
        <w:t>Specifically, this Agreement and its Schedules includes:</w:t>
      </w:r>
    </w:p>
    <w:p w:rsidR="001905B8" w:rsidRDefault="001905B8" w:rsidP="001905B8">
      <w:pPr>
        <w:pStyle w:val="ListParagraph"/>
        <w:numPr>
          <w:ilvl w:val="1"/>
          <w:numId w:val="1"/>
        </w:numPr>
        <w:spacing w:line="276" w:lineRule="auto"/>
      </w:pPr>
      <w:r>
        <w:t xml:space="preserve">public hospital funding arrangements between the Parties from 1 July 2017 until 30 June 2020; </w:t>
      </w:r>
    </w:p>
    <w:p w:rsidR="001905B8" w:rsidRDefault="001905B8" w:rsidP="001905B8">
      <w:pPr>
        <w:pStyle w:val="ListParagraph"/>
        <w:numPr>
          <w:ilvl w:val="1"/>
          <w:numId w:val="1"/>
        </w:numPr>
        <w:spacing w:line="276" w:lineRule="auto"/>
      </w:pPr>
      <w:r>
        <w:t xml:space="preserve">a commitment to develop an addendum to the </w:t>
      </w:r>
      <w:r w:rsidR="002425EB">
        <w:t>NHRA</w:t>
      </w:r>
      <w:r>
        <w:t xml:space="preserve">  to commence on 1 July 2017, to operate for a period of three years, ceasing 30 June 2020;</w:t>
      </w:r>
    </w:p>
    <w:p w:rsidR="001905B8" w:rsidRDefault="001905B8" w:rsidP="001905B8">
      <w:pPr>
        <w:pStyle w:val="ListParagraph"/>
        <w:numPr>
          <w:ilvl w:val="1"/>
          <w:numId w:val="1"/>
        </w:numPr>
        <w:spacing w:line="276" w:lineRule="auto"/>
      </w:pPr>
      <w:r>
        <w:t>a commitment to develop by 1 July 2017, and begin to implement, reforms to improve Australians’ health outcomes and decrease</w:t>
      </w:r>
      <w:r w:rsidR="00962B73">
        <w:t xml:space="preserve"> avoidable</w:t>
      </w:r>
      <w:r>
        <w:t xml:space="preserve"> demand for public hospital services as set out in </w:t>
      </w:r>
      <w:r>
        <w:rPr>
          <w:u w:val="single"/>
        </w:rPr>
        <w:t>Schedule 2</w:t>
      </w:r>
      <w:r>
        <w:t>, through:</w:t>
      </w:r>
    </w:p>
    <w:p w:rsidR="001905B8" w:rsidRDefault="001905B8" w:rsidP="001905B8">
      <w:pPr>
        <w:pStyle w:val="ListParagraph"/>
        <w:numPr>
          <w:ilvl w:val="2"/>
          <w:numId w:val="1"/>
        </w:numPr>
        <w:spacing w:line="276" w:lineRule="auto"/>
      </w:pPr>
      <w:r>
        <w:t>better coordinated care, particularly for patients with complex and chronic disease</w:t>
      </w:r>
      <w:r w:rsidR="003F6F09">
        <w:t>;</w:t>
      </w:r>
    </w:p>
    <w:p w:rsidR="001905B8" w:rsidRDefault="00962B73" w:rsidP="001905B8">
      <w:pPr>
        <w:pStyle w:val="ListParagraph"/>
        <w:numPr>
          <w:ilvl w:val="2"/>
          <w:numId w:val="1"/>
        </w:numPr>
        <w:spacing w:line="276" w:lineRule="auto"/>
      </w:pPr>
      <w:r>
        <w:t xml:space="preserve">funding and </w:t>
      </w:r>
      <w:r w:rsidR="001905B8">
        <w:t>pricing for quality and safety, to avoid funding unnecessary or unsafe care</w:t>
      </w:r>
      <w:r w:rsidR="003F6F09">
        <w:t>;</w:t>
      </w:r>
    </w:p>
    <w:p w:rsidR="001905B8" w:rsidRDefault="001905B8" w:rsidP="001905B8">
      <w:pPr>
        <w:pStyle w:val="ListParagraph"/>
        <w:numPr>
          <w:ilvl w:val="2"/>
          <w:numId w:val="1"/>
        </w:numPr>
        <w:spacing w:line="276" w:lineRule="auto"/>
      </w:pPr>
      <w:r>
        <w:t>reducing avoidable readmissions to hospital; and</w:t>
      </w:r>
    </w:p>
    <w:p w:rsidR="004D0914" w:rsidRDefault="00994955" w:rsidP="00994955">
      <w:pPr>
        <w:pStyle w:val="ListParagraph"/>
        <w:numPr>
          <w:ilvl w:val="2"/>
          <w:numId w:val="1"/>
        </w:numPr>
        <w:spacing w:line="276" w:lineRule="auto"/>
      </w:pPr>
      <w:proofErr w:type="gramStart"/>
      <w:r>
        <w:t>t</w:t>
      </w:r>
      <w:r w:rsidR="004D0914">
        <w:t>he</w:t>
      </w:r>
      <w:proofErr w:type="gramEnd"/>
      <w:r w:rsidR="004D0914">
        <w:t xml:space="preserve"> Commonwealth </w:t>
      </w:r>
      <w:r>
        <w:t>continuing</w:t>
      </w:r>
      <w:r w:rsidR="004D0914">
        <w:t xml:space="preserve"> to focus on reforms in primary care that are designed to improve patient outcomes and reduce avoidable hospital admissions. </w:t>
      </w:r>
    </w:p>
    <w:p w:rsidR="001905B8" w:rsidRDefault="001905B8" w:rsidP="001905B8">
      <w:pPr>
        <w:pStyle w:val="ListParagraph"/>
        <w:numPr>
          <w:ilvl w:val="0"/>
          <w:numId w:val="1"/>
        </w:numPr>
        <w:spacing w:line="276" w:lineRule="auto"/>
      </w:pPr>
      <w:r>
        <w:t xml:space="preserve">The Parties agree this Heads of Agreement will lapse after the </w:t>
      </w:r>
      <w:r w:rsidR="002425EB">
        <w:t>NHRA</w:t>
      </w:r>
      <w:r>
        <w:t xml:space="preserve"> addendum is signed.</w:t>
      </w:r>
    </w:p>
    <w:p w:rsidR="001905B8" w:rsidRDefault="001905B8" w:rsidP="001905B8">
      <w:pPr>
        <w:pStyle w:val="ListParagraph"/>
        <w:numPr>
          <w:ilvl w:val="0"/>
          <w:numId w:val="1"/>
        </w:numPr>
        <w:spacing w:line="276" w:lineRule="auto"/>
      </w:pPr>
      <w:r>
        <w:t xml:space="preserve">The Parties acknowledge that </w:t>
      </w:r>
      <w:r w:rsidR="002425EB">
        <w:t>NHRA</w:t>
      </w:r>
      <w:r>
        <w:t xml:space="preserve"> addendum anticipates the development of a longer</w:t>
      </w:r>
      <w:r>
        <w:noBreakHyphen/>
        <w:t>term public hospital funding agreement to commence 1 July 2020. This longer-term public hospital funding agreement will be developed by the Commonwealth and all jurisdictions and be considered by COAG before September 2018.</w:t>
      </w:r>
    </w:p>
    <w:p w:rsidR="001905B8" w:rsidRDefault="001905B8" w:rsidP="00B677BC">
      <w:pPr>
        <w:pStyle w:val="Heading2"/>
      </w:pPr>
      <w:r>
        <w:t>Public Hospital Funding Arrangements for 2017-18 to 2019-20</w:t>
      </w:r>
    </w:p>
    <w:p w:rsidR="001905B8" w:rsidRDefault="001905B8" w:rsidP="001905B8">
      <w:pPr>
        <w:pStyle w:val="ListParagraph"/>
        <w:keepNext/>
        <w:numPr>
          <w:ilvl w:val="0"/>
          <w:numId w:val="1"/>
        </w:numPr>
        <w:spacing w:line="276" w:lineRule="auto"/>
        <w:ind w:left="357" w:hanging="357"/>
      </w:pPr>
      <w:r>
        <w:t>The Parties agree</w:t>
      </w:r>
      <w:r w:rsidR="00181398">
        <w:t>, consistent with clause A(1) of the NHRA</w:t>
      </w:r>
      <w:r>
        <w:t xml:space="preserve"> that the Commonwealth's contribution to hospital services from 1 July 2017 until 30 June 2020 will comprise funding relating to:  </w:t>
      </w:r>
    </w:p>
    <w:p w:rsidR="001905B8" w:rsidRDefault="001905B8" w:rsidP="001905B8">
      <w:pPr>
        <w:pStyle w:val="ListParagraph"/>
        <w:numPr>
          <w:ilvl w:val="1"/>
          <w:numId w:val="1"/>
        </w:numPr>
        <w:spacing w:line="276" w:lineRule="auto"/>
      </w:pPr>
      <w:r>
        <w:t>hospital services</w:t>
      </w:r>
      <w:r w:rsidR="00962B73">
        <w:t xml:space="preserve"> provided to</w:t>
      </w:r>
      <w:r>
        <w:t xml:space="preserve"> public patients</w:t>
      </w:r>
      <w:r w:rsidR="00962B73">
        <w:t xml:space="preserve"> in a range of settings</w:t>
      </w:r>
      <w:r>
        <w:t xml:space="preserve">, </w:t>
      </w:r>
      <w:r w:rsidR="00962B73">
        <w:t>and eligible private patients in public hospitals and a range of settings ,</w:t>
      </w:r>
      <w:r>
        <w:t>with funding provided on the basis of activity based funding (ABF);</w:t>
      </w:r>
    </w:p>
    <w:p w:rsidR="001905B8" w:rsidRDefault="001905B8" w:rsidP="001905B8">
      <w:pPr>
        <w:pStyle w:val="ListParagraph"/>
        <w:numPr>
          <w:ilvl w:val="1"/>
          <w:numId w:val="1"/>
        </w:numPr>
        <w:spacing w:line="276" w:lineRule="auto"/>
      </w:pPr>
      <w:r>
        <w:t xml:space="preserve">block funding for public hospital services better funded </w:t>
      </w:r>
      <w:r w:rsidR="00181398">
        <w:t>through block grants</w:t>
      </w:r>
      <w:r>
        <w:t>, including relevant services in regional and rural communities and teaching, training and research functions; and</w:t>
      </w:r>
    </w:p>
    <w:p w:rsidR="001905B8" w:rsidRDefault="001905B8" w:rsidP="001905B8">
      <w:pPr>
        <w:pStyle w:val="ListParagraph"/>
        <w:numPr>
          <w:ilvl w:val="1"/>
          <w:numId w:val="1"/>
        </w:numPr>
        <w:spacing w:line="276" w:lineRule="auto"/>
      </w:pPr>
      <w:proofErr w:type="gramStart"/>
      <w:r>
        <w:lastRenderedPageBreak/>
        <w:t>public</w:t>
      </w:r>
      <w:proofErr w:type="gramEnd"/>
      <w:r>
        <w:t xml:space="preserve"> health activities.</w:t>
      </w:r>
    </w:p>
    <w:p w:rsidR="001905B8" w:rsidRDefault="001905B8" w:rsidP="001905B8">
      <w:pPr>
        <w:pStyle w:val="ListParagraph"/>
        <w:numPr>
          <w:ilvl w:val="0"/>
          <w:numId w:val="1"/>
        </w:numPr>
        <w:spacing w:line="276" w:lineRule="auto"/>
      </w:pPr>
      <w:r>
        <w:t xml:space="preserve">The Parties agree that ABF will be the preferred basis for funding public hospital services where ever practicable. </w:t>
      </w:r>
    </w:p>
    <w:p w:rsidR="001905B8" w:rsidRDefault="001905B8" w:rsidP="001905B8">
      <w:pPr>
        <w:pStyle w:val="ListParagraph"/>
        <w:numPr>
          <w:ilvl w:val="0"/>
          <w:numId w:val="1"/>
        </w:numPr>
        <w:spacing w:line="276" w:lineRule="auto"/>
      </w:pPr>
      <w:r>
        <w:t xml:space="preserve">From 1 July 2017 to 30 June 2020, the Commonwealth will fund 45 per cent of the efficient growth of activity based services, subject to a cap in the growth of overall Commonwealth funding outlined in Clause </w:t>
      </w:r>
      <w:r w:rsidR="003624AD">
        <w:t xml:space="preserve">14 </w:t>
      </w:r>
      <w:r>
        <w:t xml:space="preserve">below. </w:t>
      </w:r>
      <w:r>
        <w:rPr>
          <w:u w:val="single"/>
        </w:rPr>
        <w:t>Schedule 1</w:t>
      </w:r>
      <w:r>
        <w:t xml:space="preserve"> outlines activity based funding arrangements.</w:t>
      </w:r>
    </w:p>
    <w:p w:rsidR="001905B8" w:rsidRDefault="001905B8" w:rsidP="001905B8">
      <w:pPr>
        <w:pStyle w:val="ListParagraph"/>
        <w:numPr>
          <w:ilvl w:val="0"/>
          <w:numId w:val="1"/>
        </w:numPr>
        <w:spacing w:before="40" w:line="276" w:lineRule="auto"/>
      </w:pPr>
      <w:r>
        <w:t xml:space="preserve">Where services or functions are more appropriately funded through block grants, the Commonwealth will provide 45 per cent of the efficient growth of providing these services. </w:t>
      </w:r>
    </w:p>
    <w:p w:rsidR="001905B8" w:rsidRDefault="001905B8" w:rsidP="001905B8">
      <w:pPr>
        <w:pStyle w:val="ListParagraph"/>
        <w:numPr>
          <w:ilvl w:val="1"/>
          <w:numId w:val="1"/>
        </w:numPr>
        <w:spacing w:before="40" w:line="276" w:lineRule="auto"/>
      </w:pPr>
      <w:r>
        <w:t xml:space="preserve">The Independent Hospital Pricing Authority will retain its function of determining the national efficient cost of services provided on a block funded basis in public hospitals. </w:t>
      </w:r>
    </w:p>
    <w:p w:rsidR="001905B8" w:rsidRDefault="001905B8" w:rsidP="001905B8">
      <w:pPr>
        <w:pStyle w:val="ListParagraph"/>
        <w:numPr>
          <w:ilvl w:val="0"/>
          <w:numId w:val="1"/>
        </w:numPr>
        <w:spacing w:before="40" w:line="276" w:lineRule="auto"/>
      </w:pPr>
      <w:r>
        <w:t xml:space="preserve">Commonwealth payments for public health activities for the period 2017-18 to 2019-20 will be calculated consistent with the process outlined in the National Health Reform Agreement. </w:t>
      </w:r>
    </w:p>
    <w:p w:rsidR="000142FD" w:rsidRDefault="00994955" w:rsidP="001905B8">
      <w:pPr>
        <w:pStyle w:val="ListParagraph"/>
        <w:numPr>
          <w:ilvl w:val="0"/>
          <w:numId w:val="1"/>
        </w:numPr>
        <w:spacing w:before="40" w:line="276" w:lineRule="auto"/>
      </w:pPr>
      <w:r>
        <w:t>Under this agreement</w:t>
      </w:r>
      <w:r w:rsidR="007B5487">
        <w:t>,</w:t>
      </w:r>
      <w:r>
        <w:t xml:space="preserve"> growth in Commonwealth funding for public hospitals</w:t>
      </w:r>
      <w:r w:rsidR="0000577B">
        <w:t>,</w:t>
      </w:r>
      <w:r w:rsidR="003624AD">
        <w:t xml:space="preserve"> outlined in clause 9 above,</w:t>
      </w:r>
      <w:r>
        <w:t xml:space="preserve"> will not exceed 6</w:t>
      </w:r>
      <w:r w:rsidR="00025A9B">
        <w:t>.5</w:t>
      </w:r>
      <w:r>
        <w:t xml:space="preserve"> per cent a year. </w:t>
      </w:r>
      <w:r w:rsidR="00216B9F">
        <w:t xml:space="preserve">The </w:t>
      </w:r>
      <w:r w:rsidR="004D0B35">
        <w:t>details</w:t>
      </w:r>
      <w:r w:rsidR="00216B9F">
        <w:t xml:space="preserve"> of this cap will be determined </w:t>
      </w:r>
      <w:r w:rsidR="00F40153" w:rsidRPr="002E4DFF">
        <w:t xml:space="preserve">by December 2016, </w:t>
      </w:r>
      <w:r w:rsidR="00216B9F" w:rsidRPr="002E4DFF">
        <w:t xml:space="preserve">in </w:t>
      </w:r>
      <w:r w:rsidR="00F40153" w:rsidRPr="002E4DFF">
        <w:t>the context of</w:t>
      </w:r>
      <w:r w:rsidR="00F40153">
        <w:t xml:space="preserve"> </w:t>
      </w:r>
      <w:r w:rsidR="00216B9F">
        <w:t xml:space="preserve">settling the addendum of the </w:t>
      </w:r>
      <w:r w:rsidR="004D0B35">
        <w:t>NHRA</w:t>
      </w:r>
      <w:r w:rsidR="00216B9F">
        <w:t xml:space="preserve">. </w:t>
      </w:r>
      <w:r w:rsidR="001905B8">
        <w:t xml:space="preserve"> </w:t>
      </w:r>
    </w:p>
    <w:p w:rsidR="001905B8" w:rsidRDefault="001905B8" w:rsidP="001905B8">
      <w:pPr>
        <w:pStyle w:val="ListParagraph"/>
        <w:numPr>
          <w:ilvl w:val="0"/>
          <w:numId w:val="1"/>
        </w:numPr>
        <w:spacing w:before="40" w:line="276" w:lineRule="auto"/>
      </w:pPr>
      <w:r>
        <w:t>Where a State may receive less funding under the arrangements outlined in this Agreement than they would have received under block funding arrangements outlined in the 2014-15 Budget, the Commonwealth will</w:t>
      </w:r>
      <w:r w:rsidR="00252167">
        <w:t xml:space="preserve"> work with any affected jurisdiction to</w:t>
      </w:r>
      <w:r>
        <w:t xml:space="preserve"> consider whether there is a case to provide additional funding to that State. </w:t>
      </w:r>
    </w:p>
    <w:p w:rsidR="00216B9F" w:rsidRDefault="004D0914" w:rsidP="001905B8">
      <w:pPr>
        <w:pStyle w:val="ListParagraph"/>
        <w:numPr>
          <w:ilvl w:val="0"/>
          <w:numId w:val="1"/>
        </w:numPr>
        <w:spacing w:before="40" w:line="276" w:lineRule="auto"/>
      </w:pPr>
      <w:r>
        <w:t>As part of the</w:t>
      </w:r>
      <w:r w:rsidR="00216B9F">
        <w:t xml:space="preserve"> addendum of the </w:t>
      </w:r>
      <w:r w:rsidR="004D0B35">
        <w:t>NHRA,</w:t>
      </w:r>
      <w:r>
        <w:t xml:space="preserve"> the </w:t>
      </w:r>
      <w:r w:rsidR="00216B9F">
        <w:t>P</w:t>
      </w:r>
      <w:r>
        <w:t>arties agree to incorporate a payment incentive for the prompt</w:t>
      </w:r>
      <w:r w:rsidR="00216B9F">
        <w:t xml:space="preserve"> provision of hospital activity data to enable </w:t>
      </w:r>
      <w:r w:rsidR="00D660F2">
        <w:t xml:space="preserve">timely </w:t>
      </w:r>
      <w:r w:rsidR="00216B9F">
        <w:t xml:space="preserve">reconciliation. The </w:t>
      </w:r>
      <w:r w:rsidR="004D0B35">
        <w:t>details</w:t>
      </w:r>
      <w:r w:rsidR="00216B9F">
        <w:t xml:space="preserve"> of this incentive will be determined in settling the addendum of the </w:t>
      </w:r>
      <w:r w:rsidR="004D0B35">
        <w:t>NHRA</w:t>
      </w:r>
      <w:r w:rsidR="00216B9F">
        <w:t>.</w:t>
      </w:r>
    </w:p>
    <w:p w:rsidR="00D660F2" w:rsidRPr="00A70618" w:rsidRDefault="00D660F2" w:rsidP="00D660F2">
      <w:pPr>
        <w:pStyle w:val="ListParagraph"/>
        <w:numPr>
          <w:ilvl w:val="0"/>
          <w:numId w:val="1"/>
        </w:numPr>
        <w:spacing w:before="40" w:line="276" w:lineRule="auto"/>
      </w:pPr>
      <w:r w:rsidRPr="00A70618">
        <w:t xml:space="preserve">States will determine the amount they pay for public hospital services and functions and the mix of those services and functions, and will meet the balance of the cost of delivering public hospital services and functions over and above the Commonwealth contribution. </w:t>
      </w:r>
    </w:p>
    <w:p w:rsidR="001905B8" w:rsidRDefault="00D660F2" w:rsidP="001905B8">
      <w:pPr>
        <w:pStyle w:val="ListParagraph"/>
        <w:numPr>
          <w:ilvl w:val="0"/>
          <w:numId w:val="1"/>
        </w:numPr>
        <w:spacing w:before="40" w:line="276" w:lineRule="auto"/>
      </w:pPr>
      <w:r w:rsidDel="00D660F2">
        <w:t xml:space="preserve"> </w:t>
      </w:r>
      <w:r w:rsidR="001905B8">
        <w:t>The States agree to maintain, at a minimum, their current levels of funding for public hospitals</w:t>
      </w:r>
      <w:r w:rsidR="003B7C5E">
        <w:t>, while having regard to new, appropriate models of care that may change the setting in which care is delivered</w:t>
      </w:r>
      <w:r w:rsidR="001905B8">
        <w:t xml:space="preserve">. </w:t>
      </w:r>
    </w:p>
    <w:p w:rsidR="001905B8" w:rsidRDefault="001905B8" w:rsidP="00B677BC">
      <w:pPr>
        <w:pStyle w:val="Heading2"/>
      </w:pPr>
      <w:r>
        <w:t>Reforms to improve the efficiency of public hospitals</w:t>
      </w:r>
    </w:p>
    <w:p w:rsidR="001905B8" w:rsidRDefault="001905B8" w:rsidP="001905B8">
      <w:pPr>
        <w:pStyle w:val="ListParagraph"/>
        <w:numPr>
          <w:ilvl w:val="0"/>
          <w:numId w:val="1"/>
        </w:numPr>
        <w:spacing w:before="40" w:line="276" w:lineRule="auto"/>
      </w:pPr>
      <w:r>
        <w:t xml:space="preserve">In </w:t>
      </w:r>
      <w:r w:rsidR="001F6369">
        <w:t>addition to</w:t>
      </w:r>
      <w:r>
        <w:t xml:space="preserve"> Commonwealth funding as set out at Clauses 1</w:t>
      </w:r>
      <w:r w:rsidR="00CD1BAB">
        <w:t>1</w:t>
      </w:r>
      <w:r>
        <w:t xml:space="preserve"> to 1</w:t>
      </w:r>
      <w:r w:rsidR="00C0387A">
        <w:t>6</w:t>
      </w:r>
      <w:r>
        <w:t xml:space="preserve">, </w:t>
      </w:r>
      <w:r w:rsidR="001F6369">
        <w:t xml:space="preserve">all </w:t>
      </w:r>
      <w:r>
        <w:t>Parties commit to begin to implement a range of reforms</w:t>
      </w:r>
      <w:r w:rsidR="003B7C5E">
        <w:t xml:space="preserve"> designed</w:t>
      </w:r>
      <w:r>
        <w:t xml:space="preserve"> to improve health outcomes for patients and decrease </w:t>
      </w:r>
      <w:r w:rsidR="003B7C5E">
        <w:t xml:space="preserve">potentially avoidable </w:t>
      </w:r>
      <w:r>
        <w:t xml:space="preserve">demand for public hospital services as set out at </w:t>
      </w:r>
      <w:r>
        <w:rPr>
          <w:u w:val="single"/>
        </w:rPr>
        <w:t>Schedule 2</w:t>
      </w:r>
      <w:r>
        <w:t xml:space="preserve">. </w:t>
      </w:r>
    </w:p>
    <w:p w:rsidR="001905B8" w:rsidRDefault="001905B8" w:rsidP="001905B8">
      <w:pPr>
        <w:pStyle w:val="ListParagraph"/>
        <w:numPr>
          <w:ilvl w:val="0"/>
          <w:numId w:val="1"/>
        </w:numPr>
        <w:spacing w:before="40" w:line="276" w:lineRule="auto"/>
      </w:pPr>
      <w:r>
        <w:lastRenderedPageBreak/>
        <w:t xml:space="preserve">The Reforms outlined in </w:t>
      </w:r>
      <w:r>
        <w:rPr>
          <w:u w:val="single"/>
        </w:rPr>
        <w:t>Schedule 2</w:t>
      </w:r>
      <w:r>
        <w:t xml:space="preserve"> are: (1) coordinated care for patients with chronic and complex disease, (2) incorporating quality and safety into hospital pricing</w:t>
      </w:r>
      <w:r w:rsidR="001F6369">
        <w:t xml:space="preserve"> and funding</w:t>
      </w:r>
      <w:r>
        <w:t xml:space="preserve">, (3) reducing </w:t>
      </w:r>
      <w:r w:rsidR="001F6369">
        <w:t xml:space="preserve">potentially </w:t>
      </w:r>
      <w:r>
        <w:t>avoidable hospital readmissions</w:t>
      </w:r>
      <w:r w:rsidR="00C467B0">
        <w:t>, and (4) reforms to primary care to reduce potentially avoidable hospital admissions</w:t>
      </w:r>
      <w:r>
        <w:t>.</w:t>
      </w:r>
    </w:p>
    <w:p w:rsidR="001905B8" w:rsidRDefault="001905B8" w:rsidP="001905B8">
      <w:pPr>
        <w:pStyle w:val="ListParagraph"/>
        <w:numPr>
          <w:ilvl w:val="0"/>
          <w:numId w:val="1"/>
        </w:numPr>
        <w:spacing w:before="40" w:line="276" w:lineRule="auto"/>
      </w:pPr>
      <w:r>
        <w:t>The Parties acknowledge this Agreement does not preclude pursuing other reforms to improve health outcomes and the efficiency of public hospitals in the future.</w:t>
      </w:r>
    </w:p>
    <w:p w:rsidR="001905B8" w:rsidRDefault="001905B8" w:rsidP="001905B8">
      <w:pPr>
        <w:spacing w:before="40"/>
      </w:pPr>
      <w:r>
        <w:br w:type="page"/>
      </w:r>
    </w:p>
    <w:p w:rsidR="001905B8" w:rsidRDefault="001905B8" w:rsidP="001905B8">
      <w:pPr>
        <w:pStyle w:val="AlphaParagraph"/>
        <w:tabs>
          <w:tab w:val="clear" w:pos="0"/>
        </w:tabs>
        <w:ind w:left="0" w:firstLine="0"/>
        <w:rPr>
          <w:rFonts w:asciiTheme="minorHAnsi" w:hAnsiTheme="minorHAnsi" w:cstheme="minorHAnsi"/>
          <w:sz w:val="22"/>
        </w:rPr>
      </w:pPr>
      <w:r>
        <w:rPr>
          <w:rFonts w:asciiTheme="minorHAnsi" w:hAnsiTheme="minorHAnsi" w:cstheme="minorHAnsi"/>
          <w:sz w:val="22"/>
          <w:lang w:val="en-GB"/>
        </w:rPr>
        <w:lastRenderedPageBreak/>
        <w:t xml:space="preserve">The </w:t>
      </w:r>
      <w:r>
        <w:rPr>
          <w:rFonts w:asciiTheme="minorHAnsi" w:hAnsiTheme="minorHAnsi" w:cstheme="minorHAnsi"/>
          <w:sz w:val="22"/>
        </w:rPr>
        <w:t>Parties</w:t>
      </w:r>
      <w:r>
        <w:rPr>
          <w:rFonts w:asciiTheme="minorHAnsi" w:hAnsiTheme="minorHAnsi" w:cstheme="minorHAnsi"/>
          <w:sz w:val="22"/>
          <w:lang w:val="en-GB"/>
        </w:rPr>
        <w:t xml:space="preserve"> have confirmed their commitment to this agreement as follows:</w:t>
      </w:r>
    </w:p>
    <w:tbl>
      <w:tblPr>
        <w:tblW w:w="0" w:type="auto"/>
        <w:jc w:val="center"/>
        <w:tblLayout w:type="fixed"/>
        <w:tblLook w:val="01E0" w:firstRow="1" w:lastRow="1" w:firstColumn="1" w:lastColumn="1" w:noHBand="0" w:noVBand="0"/>
      </w:tblPr>
      <w:tblGrid>
        <w:gridCol w:w="4536"/>
        <w:gridCol w:w="284"/>
        <w:gridCol w:w="4536"/>
      </w:tblGrid>
      <w:tr w:rsidR="001905B8" w:rsidTr="00DC5767">
        <w:trPr>
          <w:cantSplit/>
          <w:jc w:val="center"/>
        </w:trPr>
        <w:tc>
          <w:tcPr>
            <w:tcW w:w="4536" w:type="dxa"/>
            <w:hideMark/>
          </w:tcPr>
          <w:p w:rsidR="001905B8" w:rsidRDefault="001905B8" w:rsidP="00DC5767">
            <w:pPr>
              <w:pStyle w:val="Signed"/>
              <w:spacing w:line="276" w:lineRule="auto"/>
              <w:rPr>
                <w:lang w:eastAsia="en-US"/>
              </w:rPr>
            </w:pPr>
            <w:r>
              <w:rPr>
                <w:rStyle w:val="SignedBold"/>
                <w:bCs w:val="0"/>
                <w:lang w:eastAsia="en-US"/>
              </w:rPr>
              <w:t>Signed</w:t>
            </w:r>
            <w:r>
              <w:rPr>
                <w:lang w:eastAsia="en-US"/>
              </w:rPr>
              <w:t xml:space="preserve"> for and on behalf of the Commonwealth of Australia by</w:t>
            </w:r>
          </w:p>
          <w:p w:rsidR="001905B8" w:rsidRDefault="001905B8" w:rsidP="00DC5767">
            <w:pPr>
              <w:pStyle w:val="LineForSignature"/>
              <w:rPr>
                <w:lang w:eastAsia="en-US"/>
              </w:rPr>
            </w:pPr>
            <w:r>
              <w:rPr>
                <w:lang w:eastAsia="en-US"/>
              </w:rPr>
              <w:tab/>
            </w:r>
          </w:p>
          <w:p w:rsidR="001905B8" w:rsidRDefault="001905B8" w:rsidP="00DC5767">
            <w:pPr>
              <w:pStyle w:val="SingleParagraph"/>
              <w:rPr>
                <w:rStyle w:val="Bold"/>
                <w:rFonts w:eastAsiaTheme="majorEastAsia"/>
              </w:rPr>
            </w:pPr>
            <w:r>
              <w:rPr>
                <w:rStyle w:val="Bold"/>
                <w:rFonts w:eastAsiaTheme="majorEastAsia"/>
                <w:lang w:eastAsia="en-US"/>
              </w:rPr>
              <w:t>The Honourable Malcolm Turnbull MP</w:t>
            </w:r>
          </w:p>
          <w:p w:rsidR="001905B8" w:rsidRDefault="001905B8" w:rsidP="00DC5767">
            <w:pPr>
              <w:pStyle w:val="Position"/>
              <w:rPr>
                <w:rFonts w:eastAsiaTheme="majorEastAsia"/>
                <w:lang w:val="en-GB"/>
              </w:rPr>
            </w:pPr>
            <w:r>
              <w:rPr>
                <w:lang w:val="en-GB" w:eastAsia="en-US"/>
              </w:rPr>
              <w:t>Prime Minister of the Commonwealth of Australia</w:t>
            </w:r>
          </w:p>
          <w:p w:rsidR="001905B8" w:rsidRDefault="001820BE" w:rsidP="00C0387A">
            <w:pPr>
              <w:pStyle w:val="SingleParagraph"/>
              <w:tabs>
                <w:tab w:val="num" w:pos="1134"/>
              </w:tabs>
              <w:spacing w:after="240"/>
              <w:ind w:left="1134" w:hanging="567"/>
              <w:rPr>
                <w:b/>
                <w:lang w:val="en-GB" w:eastAsia="en-US"/>
              </w:rPr>
            </w:pPr>
            <w:r>
              <w:rPr>
                <w:lang w:val="en-GB" w:eastAsia="en-US"/>
              </w:rPr>
              <w:t xml:space="preserve">1 </w:t>
            </w:r>
            <w:r w:rsidR="001905B8">
              <w:rPr>
                <w:lang w:val="en-GB" w:eastAsia="en-US"/>
              </w:rPr>
              <w:t xml:space="preserve"> </w:t>
            </w:r>
            <w:r>
              <w:rPr>
                <w:lang w:val="en-GB" w:eastAsia="en-US"/>
              </w:rPr>
              <w:t>April</w:t>
            </w:r>
            <w:r w:rsidR="001905B8">
              <w:rPr>
                <w:lang w:val="en-GB" w:eastAsia="en-US"/>
              </w:rPr>
              <w:t xml:space="preserve">  </w:t>
            </w:r>
            <w:r>
              <w:rPr>
                <w:lang w:val="en-GB" w:eastAsia="en-US"/>
              </w:rPr>
              <w:t>2016</w:t>
            </w:r>
          </w:p>
        </w:tc>
        <w:tc>
          <w:tcPr>
            <w:tcW w:w="284" w:type="dxa"/>
            <w:tcMar>
              <w:top w:w="0" w:type="dxa"/>
              <w:left w:w="0" w:type="dxa"/>
              <w:bottom w:w="0" w:type="dxa"/>
              <w:right w:w="0" w:type="dxa"/>
            </w:tcMar>
          </w:tcPr>
          <w:p w:rsidR="001905B8" w:rsidRDefault="001905B8" w:rsidP="00DC5767">
            <w:pPr>
              <w:spacing w:after="240" w:line="260" w:lineRule="exact"/>
              <w:jc w:val="both"/>
              <w:rPr>
                <w:rFonts w:ascii="Book Antiqua" w:hAnsi="Book Antiqua"/>
                <w:color w:val="000000"/>
                <w:sz w:val="23"/>
                <w:szCs w:val="22"/>
                <w:lang w:val="en-GB" w:eastAsia="en-US"/>
              </w:rPr>
            </w:pPr>
          </w:p>
        </w:tc>
        <w:tc>
          <w:tcPr>
            <w:tcW w:w="4536" w:type="dxa"/>
          </w:tcPr>
          <w:p w:rsidR="001905B8" w:rsidRDefault="001905B8" w:rsidP="00DC5767">
            <w:pPr>
              <w:spacing w:after="240" w:line="260" w:lineRule="exact"/>
              <w:jc w:val="both"/>
              <w:rPr>
                <w:rFonts w:ascii="Book Antiqua" w:hAnsi="Book Antiqua"/>
                <w:color w:val="000000"/>
                <w:sz w:val="23"/>
                <w:szCs w:val="22"/>
                <w:lang w:val="en-GB" w:eastAsia="en-US"/>
              </w:rPr>
            </w:pPr>
          </w:p>
        </w:tc>
      </w:tr>
      <w:tr w:rsidR="001905B8" w:rsidTr="00DC5767">
        <w:trPr>
          <w:cantSplit/>
          <w:jc w:val="center"/>
        </w:trPr>
        <w:tc>
          <w:tcPr>
            <w:tcW w:w="4536" w:type="dxa"/>
          </w:tcPr>
          <w:p w:rsidR="001905B8" w:rsidRDefault="001905B8" w:rsidP="00DC5767">
            <w:pPr>
              <w:pStyle w:val="SingleParagraph"/>
              <w:rPr>
                <w:rFonts w:ascii="Book Antiqua" w:hAnsi="Book Antiqua"/>
                <w:lang w:val="en-GB" w:eastAsia="en-US"/>
              </w:rPr>
            </w:pPr>
          </w:p>
        </w:tc>
        <w:tc>
          <w:tcPr>
            <w:tcW w:w="284" w:type="dxa"/>
            <w:tcMar>
              <w:top w:w="0" w:type="dxa"/>
              <w:left w:w="0" w:type="dxa"/>
              <w:bottom w:w="0" w:type="dxa"/>
              <w:right w:w="0" w:type="dxa"/>
            </w:tcMar>
          </w:tcPr>
          <w:p w:rsidR="001905B8" w:rsidRDefault="001905B8" w:rsidP="00DC5767">
            <w:pPr>
              <w:pStyle w:val="SingleParagraph"/>
              <w:rPr>
                <w:rFonts w:ascii="Book Antiqua" w:hAnsi="Book Antiqua"/>
                <w:lang w:val="en-GB" w:eastAsia="en-US"/>
              </w:rPr>
            </w:pPr>
          </w:p>
        </w:tc>
        <w:tc>
          <w:tcPr>
            <w:tcW w:w="4536" w:type="dxa"/>
          </w:tcPr>
          <w:p w:rsidR="001905B8" w:rsidRDefault="001905B8" w:rsidP="00DC5767">
            <w:pPr>
              <w:pStyle w:val="SingleParagraph"/>
              <w:rPr>
                <w:rFonts w:ascii="Book Antiqua" w:hAnsi="Book Antiqua"/>
                <w:lang w:val="en-GB" w:eastAsia="en-US"/>
              </w:rPr>
            </w:pPr>
          </w:p>
        </w:tc>
      </w:tr>
      <w:tr w:rsidR="001905B8" w:rsidTr="00DC5767">
        <w:trPr>
          <w:cantSplit/>
          <w:jc w:val="center"/>
        </w:trPr>
        <w:tc>
          <w:tcPr>
            <w:tcW w:w="4536" w:type="dxa"/>
            <w:hideMark/>
          </w:tcPr>
          <w:p w:rsidR="001905B8" w:rsidRDefault="001905B8" w:rsidP="00DC5767">
            <w:pPr>
              <w:pStyle w:val="Signed"/>
              <w:spacing w:line="276" w:lineRule="auto"/>
              <w:rPr>
                <w:lang w:eastAsia="en-US"/>
              </w:rPr>
            </w:pPr>
            <w:r>
              <w:rPr>
                <w:rStyle w:val="SignedBold"/>
                <w:bCs w:val="0"/>
                <w:lang w:eastAsia="en-US"/>
              </w:rPr>
              <w:t>Signed</w:t>
            </w:r>
            <w:r>
              <w:rPr>
                <w:lang w:eastAsia="en-US"/>
              </w:rPr>
              <w:t xml:space="preserve"> for and on behalf of the </w:t>
            </w:r>
            <w:r>
              <w:rPr>
                <w:lang w:eastAsia="en-US"/>
              </w:rPr>
              <w:br/>
              <w:t>State of New South Wales by</w:t>
            </w:r>
          </w:p>
          <w:p w:rsidR="001905B8" w:rsidRDefault="001905B8" w:rsidP="00DC5767">
            <w:pPr>
              <w:pStyle w:val="LineForSignature"/>
              <w:rPr>
                <w:lang w:eastAsia="en-US"/>
              </w:rPr>
            </w:pPr>
            <w:r>
              <w:rPr>
                <w:lang w:eastAsia="en-US"/>
              </w:rPr>
              <w:tab/>
            </w:r>
          </w:p>
          <w:p w:rsidR="001905B8" w:rsidRDefault="001905B8" w:rsidP="00DC5767">
            <w:pPr>
              <w:pStyle w:val="SingleParagraph"/>
              <w:rPr>
                <w:rStyle w:val="Bold"/>
                <w:rFonts w:eastAsiaTheme="majorEastAsia"/>
              </w:rPr>
            </w:pPr>
            <w:r>
              <w:rPr>
                <w:rStyle w:val="Bold"/>
                <w:rFonts w:eastAsiaTheme="majorEastAsia"/>
                <w:lang w:eastAsia="en-US"/>
              </w:rPr>
              <w:t xml:space="preserve">The Honourable </w:t>
            </w:r>
            <w:r>
              <w:rPr>
                <w:rStyle w:val="Bold"/>
                <w:rFonts w:eastAsiaTheme="majorEastAsia"/>
                <w:bCs/>
                <w:lang w:eastAsia="en-US"/>
              </w:rPr>
              <w:t xml:space="preserve">Mike Baird </w:t>
            </w:r>
            <w:r>
              <w:rPr>
                <w:rStyle w:val="Bold"/>
                <w:rFonts w:eastAsiaTheme="majorEastAsia"/>
                <w:lang w:eastAsia="en-US"/>
              </w:rPr>
              <w:t>MP</w:t>
            </w:r>
          </w:p>
          <w:p w:rsidR="001905B8" w:rsidRDefault="001905B8" w:rsidP="00DC5767">
            <w:pPr>
              <w:pStyle w:val="Position"/>
              <w:rPr>
                <w:rFonts w:ascii="Book Antiqua" w:eastAsiaTheme="majorEastAsia" w:hAnsi="Book Antiqua"/>
                <w:bCs w:val="0"/>
                <w:lang w:val="en-GB"/>
              </w:rPr>
            </w:pPr>
            <w:r>
              <w:rPr>
                <w:bCs w:val="0"/>
                <w:lang w:val="en-GB" w:eastAsia="en-US"/>
              </w:rPr>
              <w:t xml:space="preserve">Premier of the State of New </w:t>
            </w:r>
            <w:r>
              <w:rPr>
                <w:lang w:val="en-GB" w:eastAsia="en-US"/>
              </w:rPr>
              <w:t>South</w:t>
            </w:r>
            <w:r>
              <w:rPr>
                <w:bCs w:val="0"/>
                <w:lang w:val="en-GB" w:eastAsia="en-US"/>
              </w:rPr>
              <w:t xml:space="preserve"> Wales</w:t>
            </w:r>
          </w:p>
          <w:p w:rsidR="001905B8" w:rsidRDefault="001820BE" w:rsidP="00DC5767">
            <w:pPr>
              <w:pStyle w:val="SingleParagraph"/>
              <w:tabs>
                <w:tab w:val="num" w:pos="1134"/>
              </w:tabs>
              <w:spacing w:after="240"/>
              <w:ind w:left="1134" w:hanging="567"/>
              <w:rPr>
                <w:szCs w:val="22"/>
                <w:lang w:val="en-GB" w:eastAsia="en-US"/>
              </w:rPr>
            </w:pPr>
            <w:r>
              <w:rPr>
                <w:lang w:val="en-GB" w:eastAsia="en-US"/>
              </w:rPr>
              <w:t>1  April  2016</w:t>
            </w:r>
          </w:p>
        </w:tc>
        <w:tc>
          <w:tcPr>
            <w:tcW w:w="284" w:type="dxa"/>
            <w:tcMar>
              <w:top w:w="0" w:type="dxa"/>
              <w:left w:w="0" w:type="dxa"/>
              <w:bottom w:w="0" w:type="dxa"/>
              <w:right w:w="0" w:type="dxa"/>
            </w:tcMar>
          </w:tcPr>
          <w:p w:rsidR="001905B8" w:rsidRDefault="001905B8" w:rsidP="00DC5767">
            <w:pPr>
              <w:spacing w:after="240" w:line="260" w:lineRule="exact"/>
              <w:jc w:val="both"/>
              <w:rPr>
                <w:rFonts w:ascii="Book Antiqua" w:hAnsi="Book Antiqua"/>
                <w:color w:val="000000"/>
                <w:sz w:val="23"/>
                <w:szCs w:val="22"/>
                <w:lang w:val="en-GB" w:eastAsia="en-US"/>
              </w:rPr>
            </w:pPr>
          </w:p>
        </w:tc>
        <w:tc>
          <w:tcPr>
            <w:tcW w:w="4536" w:type="dxa"/>
            <w:hideMark/>
          </w:tcPr>
          <w:p w:rsidR="001905B8" w:rsidRDefault="001905B8" w:rsidP="00DC5767">
            <w:pPr>
              <w:pStyle w:val="Signed"/>
              <w:spacing w:line="276" w:lineRule="auto"/>
              <w:rPr>
                <w:lang w:eastAsia="en-US"/>
              </w:rPr>
            </w:pPr>
            <w:r>
              <w:rPr>
                <w:rStyle w:val="SignedBold"/>
                <w:bCs w:val="0"/>
                <w:lang w:eastAsia="en-US"/>
              </w:rPr>
              <w:t>Signed</w:t>
            </w:r>
            <w:r>
              <w:rPr>
                <w:lang w:eastAsia="en-US"/>
              </w:rPr>
              <w:t xml:space="preserve"> for and on behalf of the</w:t>
            </w:r>
            <w:r>
              <w:rPr>
                <w:lang w:eastAsia="en-US"/>
              </w:rPr>
              <w:br/>
              <w:t>State of Victoria by</w:t>
            </w:r>
          </w:p>
          <w:p w:rsidR="001905B8" w:rsidRDefault="001905B8" w:rsidP="00DC5767">
            <w:pPr>
              <w:pStyle w:val="LineForSignature"/>
              <w:rPr>
                <w:lang w:eastAsia="en-US"/>
              </w:rPr>
            </w:pPr>
            <w:r>
              <w:rPr>
                <w:lang w:eastAsia="en-US"/>
              </w:rPr>
              <w:tab/>
            </w:r>
          </w:p>
          <w:p w:rsidR="001905B8" w:rsidRDefault="001905B8" w:rsidP="00DC5767">
            <w:pPr>
              <w:pStyle w:val="SingleParagraph"/>
              <w:rPr>
                <w:rStyle w:val="Bold"/>
                <w:rFonts w:eastAsiaTheme="majorEastAsia"/>
              </w:rPr>
            </w:pPr>
            <w:r>
              <w:rPr>
                <w:rStyle w:val="Bold"/>
                <w:rFonts w:eastAsiaTheme="majorEastAsia"/>
                <w:lang w:eastAsia="en-US"/>
              </w:rPr>
              <w:t>The Honourable Daniel Andrews MLA</w:t>
            </w:r>
          </w:p>
          <w:p w:rsidR="001905B8" w:rsidRDefault="001905B8" w:rsidP="00DC5767">
            <w:pPr>
              <w:pStyle w:val="Position"/>
              <w:rPr>
                <w:rFonts w:ascii="Book Antiqua" w:eastAsiaTheme="majorEastAsia" w:hAnsi="Book Antiqua"/>
                <w:bCs w:val="0"/>
                <w:lang w:val="en-GB"/>
              </w:rPr>
            </w:pPr>
            <w:r>
              <w:rPr>
                <w:bCs w:val="0"/>
                <w:lang w:val="en-GB" w:eastAsia="en-US"/>
              </w:rPr>
              <w:t>Premier of the State of Victoria</w:t>
            </w:r>
          </w:p>
          <w:p w:rsidR="001905B8" w:rsidRDefault="001820BE" w:rsidP="00C0387A">
            <w:pPr>
              <w:pStyle w:val="SingleParagraph"/>
              <w:tabs>
                <w:tab w:val="num" w:pos="1134"/>
              </w:tabs>
              <w:spacing w:after="240"/>
              <w:ind w:left="1134" w:hanging="567"/>
              <w:rPr>
                <w:lang w:val="en-GB" w:eastAsia="en-US"/>
              </w:rPr>
            </w:pPr>
            <w:r>
              <w:rPr>
                <w:lang w:val="en-GB" w:eastAsia="en-US"/>
              </w:rPr>
              <w:t>1</w:t>
            </w:r>
            <w:r w:rsidR="001905B8">
              <w:rPr>
                <w:lang w:val="en-GB" w:eastAsia="en-US"/>
              </w:rPr>
              <w:t xml:space="preserve">  </w:t>
            </w:r>
            <w:r>
              <w:rPr>
                <w:lang w:val="en-GB" w:eastAsia="en-US"/>
              </w:rPr>
              <w:t>April</w:t>
            </w:r>
            <w:r w:rsidR="001905B8">
              <w:rPr>
                <w:lang w:val="en-GB" w:eastAsia="en-US"/>
              </w:rPr>
              <w:t xml:space="preserve">  </w:t>
            </w:r>
            <w:r>
              <w:rPr>
                <w:lang w:val="en-GB" w:eastAsia="en-US"/>
              </w:rPr>
              <w:t>2016</w:t>
            </w:r>
          </w:p>
        </w:tc>
      </w:tr>
      <w:tr w:rsidR="001905B8" w:rsidTr="00DC5767">
        <w:trPr>
          <w:cantSplit/>
          <w:jc w:val="center"/>
        </w:trPr>
        <w:tc>
          <w:tcPr>
            <w:tcW w:w="4536" w:type="dxa"/>
          </w:tcPr>
          <w:p w:rsidR="001905B8" w:rsidRDefault="001905B8" w:rsidP="00DC5767">
            <w:pPr>
              <w:pStyle w:val="SingleParagraph"/>
              <w:rPr>
                <w:rFonts w:ascii="Book Antiqua" w:hAnsi="Book Antiqua"/>
                <w:lang w:val="en-GB" w:eastAsia="en-US"/>
              </w:rPr>
            </w:pPr>
          </w:p>
        </w:tc>
        <w:tc>
          <w:tcPr>
            <w:tcW w:w="284" w:type="dxa"/>
            <w:tcMar>
              <w:top w:w="0" w:type="dxa"/>
              <w:left w:w="0" w:type="dxa"/>
              <w:bottom w:w="0" w:type="dxa"/>
              <w:right w:w="0" w:type="dxa"/>
            </w:tcMar>
          </w:tcPr>
          <w:p w:rsidR="001905B8" w:rsidRDefault="001905B8" w:rsidP="00DC5767">
            <w:pPr>
              <w:pStyle w:val="SingleParagraph"/>
              <w:rPr>
                <w:rFonts w:ascii="Book Antiqua" w:hAnsi="Book Antiqua"/>
                <w:lang w:val="en-GB" w:eastAsia="en-US"/>
              </w:rPr>
            </w:pPr>
          </w:p>
        </w:tc>
        <w:tc>
          <w:tcPr>
            <w:tcW w:w="4536" w:type="dxa"/>
          </w:tcPr>
          <w:p w:rsidR="001905B8" w:rsidRDefault="001905B8" w:rsidP="00DC5767">
            <w:pPr>
              <w:pStyle w:val="SingleParagraph"/>
              <w:rPr>
                <w:rFonts w:ascii="Book Antiqua" w:hAnsi="Book Antiqua"/>
                <w:lang w:val="en-GB" w:eastAsia="en-US"/>
              </w:rPr>
            </w:pPr>
          </w:p>
        </w:tc>
      </w:tr>
      <w:tr w:rsidR="001905B8" w:rsidTr="00DC5767">
        <w:trPr>
          <w:cantSplit/>
          <w:jc w:val="center"/>
        </w:trPr>
        <w:tc>
          <w:tcPr>
            <w:tcW w:w="4536" w:type="dxa"/>
            <w:hideMark/>
          </w:tcPr>
          <w:p w:rsidR="001905B8" w:rsidRDefault="001905B8" w:rsidP="00DC5767">
            <w:pPr>
              <w:pStyle w:val="Signed"/>
              <w:spacing w:line="276" w:lineRule="auto"/>
              <w:rPr>
                <w:lang w:eastAsia="en-US"/>
              </w:rPr>
            </w:pPr>
            <w:r>
              <w:rPr>
                <w:rStyle w:val="SignedBold"/>
                <w:bCs w:val="0"/>
                <w:lang w:eastAsia="en-US"/>
              </w:rPr>
              <w:t>Signed</w:t>
            </w:r>
            <w:r>
              <w:rPr>
                <w:lang w:eastAsia="en-US"/>
              </w:rPr>
              <w:t xml:space="preserve"> for and on behalf of the</w:t>
            </w:r>
            <w:r>
              <w:rPr>
                <w:lang w:eastAsia="en-US"/>
              </w:rPr>
              <w:br/>
              <w:t>State of Queensland by</w:t>
            </w:r>
          </w:p>
          <w:p w:rsidR="001905B8" w:rsidRDefault="001905B8" w:rsidP="00DC5767">
            <w:pPr>
              <w:pStyle w:val="LineForSignature"/>
              <w:rPr>
                <w:lang w:eastAsia="en-US"/>
              </w:rPr>
            </w:pPr>
            <w:r>
              <w:rPr>
                <w:lang w:eastAsia="en-US"/>
              </w:rPr>
              <w:tab/>
            </w:r>
          </w:p>
          <w:p w:rsidR="001905B8" w:rsidRDefault="001905B8" w:rsidP="00DC5767">
            <w:pPr>
              <w:pStyle w:val="SingleParagraph"/>
              <w:rPr>
                <w:b/>
                <w:lang w:eastAsia="en-US"/>
              </w:rPr>
            </w:pPr>
            <w:r>
              <w:rPr>
                <w:b/>
                <w:lang w:eastAsia="en-US"/>
              </w:rPr>
              <w:t xml:space="preserve">The Honourable </w:t>
            </w:r>
            <w:proofErr w:type="spellStart"/>
            <w:r>
              <w:rPr>
                <w:b/>
                <w:lang w:eastAsia="en-US"/>
              </w:rPr>
              <w:t>Annastacia</w:t>
            </w:r>
            <w:proofErr w:type="spellEnd"/>
            <w:r>
              <w:rPr>
                <w:b/>
                <w:lang w:eastAsia="en-US"/>
              </w:rPr>
              <w:t xml:space="preserve"> Palaszczuk  MP</w:t>
            </w:r>
          </w:p>
          <w:p w:rsidR="001905B8" w:rsidRDefault="001905B8" w:rsidP="00DC5767">
            <w:pPr>
              <w:pStyle w:val="Position"/>
              <w:rPr>
                <w:rFonts w:ascii="Book Antiqua" w:hAnsi="Book Antiqua"/>
                <w:bCs w:val="0"/>
                <w:lang w:val="en-GB" w:eastAsia="en-US"/>
              </w:rPr>
            </w:pPr>
            <w:r>
              <w:rPr>
                <w:bCs w:val="0"/>
                <w:lang w:val="en-GB" w:eastAsia="en-US"/>
              </w:rPr>
              <w:t xml:space="preserve">Premier of the State of </w:t>
            </w:r>
            <w:r>
              <w:rPr>
                <w:lang w:val="en-GB" w:eastAsia="en-US"/>
              </w:rPr>
              <w:t>Queensland</w:t>
            </w:r>
          </w:p>
          <w:p w:rsidR="001905B8" w:rsidRDefault="001820BE" w:rsidP="00DC5767">
            <w:pPr>
              <w:pStyle w:val="SingleParagraph"/>
              <w:tabs>
                <w:tab w:val="num" w:pos="1134"/>
              </w:tabs>
              <w:spacing w:after="240"/>
              <w:ind w:left="1134" w:hanging="567"/>
              <w:rPr>
                <w:lang w:val="en-GB" w:eastAsia="en-US"/>
              </w:rPr>
            </w:pPr>
            <w:r>
              <w:rPr>
                <w:lang w:val="en-GB" w:eastAsia="en-US"/>
              </w:rPr>
              <w:t>1  April  2016</w:t>
            </w:r>
          </w:p>
        </w:tc>
        <w:tc>
          <w:tcPr>
            <w:tcW w:w="284" w:type="dxa"/>
            <w:tcMar>
              <w:top w:w="0" w:type="dxa"/>
              <w:left w:w="0" w:type="dxa"/>
              <w:bottom w:w="0" w:type="dxa"/>
              <w:right w:w="0" w:type="dxa"/>
            </w:tcMar>
          </w:tcPr>
          <w:p w:rsidR="001905B8" w:rsidRDefault="001905B8" w:rsidP="00DC5767">
            <w:pPr>
              <w:spacing w:after="240" w:line="260" w:lineRule="exact"/>
              <w:jc w:val="both"/>
              <w:rPr>
                <w:rFonts w:ascii="Book Antiqua" w:hAnsi="Book Antiqua"/>
                <w:color w:val="000000"/>
                <w:sz w:val="23"/>
                <w:szCs w:val="22"/>
                <w:lang w:val="en-GB" w:eastAsia="en-US"/>
              </w:rPr>
            </w:pPr>
          </w:p>
        </w:tc>
        <w:tc>
          <w:tcPr>
            <w:tcW w:w="4536" w:type="dxa"/>
            <w:hideMark/>
          </w:tcPr>
          <w:p w:rsidR="001905B8" w:rsidRDefault="001905B8" w:rsidP="00DC5767">
            <w:pPr>
              <w:pStyle w:val="Signed"/>
              <w:spacing w:line="276" w:lineRule="auto"/>
              <w:rPr>
                <w:lang w:eastAsia="en-US"/>
              </w:rPr>
            </w:pPr>
            <w:r>
              <w:rPr>
                <w:rStyle w:val="SignedBold"/>
                <w:bCs w:val="0"/>
                <w:lang w:eastAsia="en-US"/>
              </w:rPr>
              <w:t>Signed</w:t>
            </w:r>
            <w:r>
              <w:rPr>
                <w:lang w:eastAsia="en-US"/>
              </w:rPr>
              <w:t xml:space="preserve"> for and on behalf of the</w:t>
            </w:r>
            <w:r>
              <w:rPr>
                <w:lang w:eastAsia="en-US"/>
              </w:rPr>
              <w:br/>
              <w:t>State of Western Australia by</w:t>
            </w:r>
          </w:p>
          <w:p w:rsidR="001905B8" w:rsidRDefault="001905B8" w:rsidP="00DC5767">
            <w:pPr>
              <w:pStyle w:val="LineForSignature"/>
              <w:rPr>
                <w:lang w:eastAsia="en-US"/>
              </w:rPr>
            </w:pPr>
            <w:r>
              <w:rPr>
                <w:lang w:eastAsia="en-US"/>
              </w:rPr>
              <w:tab/>
            </w:r>
          </w:p>
          <w:p w:rsidR="001905B8" w:rsidRDefault="001905B8" w:rsidP="00DC5767">
            <w:pPr>
              <w:pStyle w:val="SingleParagraph"/>
              <w:rPr>
                <w:rStyle w:val="Bold"/>
                <w:rFonts w:eastAsiaTheme="majorEastAsia"/>
              </w:rPr>
            </w:pPr>
            <w:r>
              <w:rPr>
                <w:rStyle w:val="Bold"/>
                <w:rFonts w:eastAsiaTheme="majorEastAsia"/>
                <w:lang w:eastAsia="en-US"/>
              </w:rPr>
              <w:t>The Honourable Colin Barnett MLA</w:t>
            </w:r>
          </w:p>
          <w:p w:rsidR="001905B8" w:rsidRDefault="001905B8" w:rsidP="00DC5767">
            <w:pPr>
              <w:pStyle w:val="Position"/>
              <w:rPr>
                <w:rFonts w:ascii="Book Antiqua" w:eastAsiaTheme="majorEastAsia" w:hAnsi="Book Antiqua"/>
                <w:bCs w:val="0"/>
                <w:lang w:val="en-GB"/>
              </w:rPr>
            </w:pPr>
            <w:r>
              <w:rPr>
                <w:lang w:val="en-GB" w:eastAsia="en-US"/>
              </w:rPr>
              <w:t>Premier</w:t>
            </w:r>
            <w:r>
              <w:rPr>
                <w:bCs w:val="0"/>
                <w:lang w:val="en-GB" w:eastAsia="en-US"/>
              </w:rPr>
              <w:t xml:space="preserve"> of the State of </w:t>
            </w:r>
            <w:r>
              <w:rPr>
                <w:bCs w:val="0"/>
                <w:spacing w:val="-4"/>
                <w:lang w:val="en-GB" w:eastAsia="en-US"/>
              </w:rPr>
              <w:t>Western Australia</w:t>
            </w:r>
          </w:p>
          <w:p w:rsidR="001905B8" w:rsidRDefault="001820BE" w:rsidP="00DC5767">
            <w:pPr>
              <w:pStyle w:val="SingleParagraph"/>
              <w:tabs>
                <w:tab w:val="num" w:pos="1134"/>
              </w:tabs>
              <w:spacing w:after="240"/>
              <w:ind w:left="1134" w:hanging="567"/>
              <w:rPr>
                <w:lang w:val="en-GB" w:eastAsia="en-US"/>
              </w:rPr>
            </w:pPr>
            <w:r>
              <w:rPr>
                <w:lang w:val="en-GB" w:eastAsia="en-US"/>
              </w:rPr>
              <w:t>1  April  2016</w:t>
            </w:r>
          </w:p>
        </w:tc>
      </w:tr>
      <w:tr w:rsidR="001905B8" w:rsidTr="00DC5767">
        <w:trPr>
          <w:cantSplit/>
          <w:jc w:val="center"/>
        </w:trPr>
        <w:tc>
          <w:tcPr>
            <w:tcW w:w="4536" w:type="dxa"/>
          </w:tcPr>
          <w:p w:rsidR="001905B8" w:rsidRDefault="001905B8" w:rsidP="00DC5767">
            <w:pPr>
              <w:pStyle w:val="SingleParagraph"/>
              <w:rPr>
                <w:rFonts w:ascii="Book Antiqua" w:hAnsi="Book Antiqua"/>
                <w:lang w:val="en-GB" w:eastAsia="en-US"/>
              </w:rPr>
            </w:pPr>
          </w:p>
        </w:tc>
        <w:tc>
          <w:tcPr>
            <w:tcW w:w="284" w:type="dxa"/>
            <w:tcMar>
              <w:top w:w="0" w:type="dxa"/>
              <w:left w:w="0" w:type="dxa"/>
              <w:bottom w:w="0" w:type="dxa"/>
              <w:right w:w="0" w:type="dxa"/>
            </w:tcMar>
          </w:tcPr>
          <w:p w:rsidR="001905B8" w:rsidRDefault="001905B8" w:rsidP="00DC5767">
            <w:pPr>
              <w:pStyle w:val="SingleParagraph"/>
              <w:rPr>
                <w:rFonts w:ascii="Book Antiqua" w:hAnsi="Book Antiqua"/>
                <w:lang w:val="en-GB" w:eastAsia="en-US"/>
              </w:rPr>
            </w:pPr>
          </w:p>
        </w:tc>
        <w:tc>
          <w:tcPr>
            <w:tcW w:w="4536" w:type="dxa"/>
          </w:tcPr>
          <w:p w:rsidR="001905B8" w:rsidRDefault="001905B8" w:rsidP="00DC5767">
            <w:pPr>
              <w:pStyle w:val="SingleParagraph"/>
              <w:rPr>
                <w:rFonts w:ascii="Book Antiqua" w:hAnsi="Book Antiqua"/>
                <w:lang w:val="en-GB" w:eastAsia="en-US"/>
              </w:rPr>
            </w:pPr>
          </w:p>
        </w:tc>
      </w:tr>
      <w:tr w:rsidR="001905B8" w:rsidTr="00DC5767">
        <w:trPr>
          <w:cantSplit/>
          <w:trHeight w:val="143"/>
          <w:jc w:val="center"/>
        </w:trPr>
        <w:tc>
          <w:tcPr>
            <w:tcW w:w="4536" w:type="dxa"/>
            <w:hideMark/>
          </w:tcPr>
          <w:p w:rsidR="001905B8" w:rsidRDefault="001905B8" w:rsidP="00DC5767">
            <w:pPr>
              <w:pStyle w:val="Signed"/>
              <w:spacing w:line="276" w:lineRule="auto"/>
              <w:rPr>
                <w:lang w:eastAsia="en-US"/>
              </w:rPr>
            </w:pPr>
            <w:r>
              <w:rPr>
                <w:rStyle w:val="SignedBold"/>
                <w:bCs w:val="0"/>
                <w:lang w:eastAsia="en-US"/>
              </w:rPr>
              <w:t>Signed</w:t>
            </w:r>
            <w:r>
              <w:rPr>
                <w:lang w:eastAsia="en-US"/>
              </w:rPr>
              <w:t xml:space="preserve"> for and on behalf of the</w:t>
            </w:r>
            <w:r>
              <w:rPr>
                <w:lang w:eastAsia="en-US"/>
              </w:rPr>
              <w:br/>
              <w:t>State of South Australia by</w:t>
            </w:r>
          </w:p>
          <w:p w:rsidR="001905B8" w:rsidRDefault="001905B8" w:rsidP="00DC5767">
            <w:pPr>
              <w:pStyle w:val="LineForSignature"/>
              <w:rPr>
                <w:lang w:eastAsia="en-US"/>
              </w:rPr>
            </w:pPr>
            <w:r>
              <w:rPr>
                <w:lang w:eastAsia="en-US"/>
              </w:rPr>
              <w:tab/>
            </w:r>
          </w:p>
          <w:p w:rsidR="001905B8" w:rsidRDefault="001905B8" w:rsidP="00DC5767">
            <w:pPr>
              <w:pStyle w:val="SingleParagraph"/>
              <w:rPr>
                <w:rStyle w:val="Bold"/>
                <w:rFonts w:eastAsiaTheme="majorEastAsia"/>
              </w:rPr>
            </w:pPr>
            <w:r>
              <w:rPr>
                <w:rStyle w:val="Bold"/>
                <w:rFonts w:eastAsiaTheme="majorEastAsia"/>
                <w:lang w:eastAsia="en-US"/>
              </w:rPr>
              <w:t xml:space="preserve">The Honourable Jay </w:t>
            </w:r>
            <w:proofErr w:type="spellStart"/>
            <w:r>
              <w:rPr>
                <w:rStyle w:val="Bold"/>
                <w:rFonts w:eastAsiaTheme="majorEastAsia"/>
                <w:lang w:eastAsia="en-US"/>
              </w:rPr>
              <w:t>Weatherill</w:t>
            </w:r>
            <w:proofErr w:type="spellEnd"/>
            <w:r>
              <w:rPr>
                <w:rStyle w:val="Bold"/>
                <w:rFonts w:eastAsiaTheme="majorEastAsia"/>
                <w:lang w:eastAsia="en-US"/>
              </w:rPr>
              <w:t xml:space="preserve"> MP</w:t>
            </w:r>
          </w:p>
          <w:p w:rsidR="001905B8" w:rsidRDefault="001905B8" w:rsidP="00DC5767">
            <w:pPr>
              <w:pStyle w:val="Position"/>
              <w:rPr>
                <w:rFonts w:ascii="Book Antiqua" w:eastAsiaTheme="majorEastAsia" w:hAnsi="Book Antiqua"/>
                <w:bCs w:val="0"/>
                <w:lang w:val="en-GB"/>
              </w:rPr>
            </w:pPr>
            <w:r>
              <w:rPr>
                <w:bCs w:val="0"/>
                <w:lang w:val="en-GB" w:eastAsia="en-US"/>
              </w:rPr>
              <w:t xml:space="preserve">Premier of the State of </w:t>
            </w:r>
            <w:r>
              <w:rPr>
                <w:lang w:val="en-GB" w:eastAsia="en-US"/>
              </w:rPr>
              <w:t>South</w:t>
            </w:r>
            <w:r>
              <w:rPr>
                <w:bCs w:val="0"/>
                <w:lang w:val="en-GB" w:eastAsia="en-US"/>
              </w:rPr>
              <w:t xml:space="preserve"> Australia</w:t>
            </w:r>
          </w:p>
          <w:p w:rsidR="001905B8" w:rsidRDefault="001820BE" w:rsidP="00DC5767">
            <w:pPr>
              <w:pStyle w:val="SingleParagraph"/>
              <w:tabs>
                <w:tab w:val="num" w:pos="1134"/>
              </w:tabs>
              <w:spacing w:after="240"/>
              <w:ind w:left="1134" w:hanging="567"/>
              <w:rPr>
                <w:lang w:val="en-GB" w:eastAsia="en-US"/>
              </w:rPr>
            </w:pPr>
            <w:r>
              <w:rPr>
                <w:lang w:val="en-GB" w:eastAsia="en-US"/>
              </w:rPr>
              <w:t>1  April  2016</w:t>
            </w:r>
          </w:p>
        </w:tc>
        <w:tc>
          <w:tcPr>
            <w:tcW w:w="284" w:type="dxa"/>
            <w:tcMar>
              <w:top w:w="0" w:type="dxa"/>
              <w:left w:w="0" w:type="dxa"/>
              <w:bottom w:w="0" w:type="dxa"/>
              <w:right w:w="0" w:type="dxa"/>
            </w:tcMar>
          </w:tcPr>
          <w:p w:rsidR="001905B8" w:rsidRDefault="001905B8" w:rsidP="00DC5767">
            <w:pPr>
              <w:spacing w:after="240" w:line="260" w:lineRule="exact"/>
              <w:jc w:val="both"/>
              <w:rPr>
                <w:rFonts w:ascii="Book Antiqua" w:hAnsi="Book Antiqua"/>
                <w:color w:val="000000"/>
                <w:sz w:val="23"/>
                <w:szCs w:val="22"/>
                <w:lang w:val="en-GB" w:eastAsia="en-US"/>
              </w:rPr>
            </w:pPr>
          </w:p>
        </w:tc>
        <w:tc>
          <w:tcPr>
            <w:tcW w:w="4536" w:type="dxa"/>
            <w:hideMark/>
          </w:tcPr>
          <w:p w:rsidR="001905B8" w:rsidRDefault="001905B8" w:rsidP="00DC5767">
            <w:pPr>
              <w:pStyle w:val="Signed"/>
              <w:spacing w:line="276" w:lineRule="auto"/>
              <w:rPr>
                <w:lang w:eastAsia="en-US"/>
              </w:rPr>
            </w:pPr>
            <w:r>
              <w:rPr>
                <w:rStyle w:val="SignedBold"/>
                <w:bCs w:val="0"/>
                <w:lang w:eastAsia="en-US"/>
              </w:rPr>
              <w:t>Signed</w:t>
            </w:r>
            <w:r>
              <w:rPr>
                <w:lang w:eastAsia="en-US"/>
              </w:rPr>
              <w:t xml:space="preserve"> for and on behalf of the</w:t>
            </w:r>
            <w:r>
              <w:rPr>
                <w:lang w:eastAsia="en-US"/>
              </w:rPr>
              <w:br/>
              <w:t>State of Tasmania by</w:t>
            </w:r>
          </w:p>
          <w:p w:rsidR="001905B8" w:rsidRDefault="001905B8" w:rsidP="00DC5767">
            <w:pPr>
              <w:pStyle w:val="LineForSignature"/>
              <w:rPr>
                <w:lang w:eastAsia="en-US"/>
              </w:rPr>
            </w:pPr>
            <w:r>
              <w:rPr>
                <w:lang w:eastAsia="en-US"/>
              </w:rPr>
              <w:tab/>
            </w:r>
          </w:p>
          <w:p w:rsidR="001905B8" w:rsidRDefault="001905B8" w:rsidP="00DC5767">
            <w:pPr>
              <w:pStyle w:val="SingleParagraph"/>
              <w:rPr>
                <w:rStyle w:val="Bold"/>
                <w:rFonts w:eastAsiaTheme="majorEastAsia"/>
              </w:rPr>
            </w:pPr>
            <w:r>
              <w:rPr>
                <w:rStyle w:val="Bold"/>
                <w:rFonts w:eastAsiaTheme="majorEastAsia"/>
                <w:lang w:eastAsia="en-US"/>
              </w:rPr>
              <w:t xml:space="preserve">The Honourable Will </w:t>
            </w:r>
            <w:proofErr w:type="spellStart"/>
            <w:r>
              <w:rPr>
                <w:rStyle w:val="Bold"/>
                <w:rFonts w:eastAsiaTheme="majorEastAsia"/>
                <w:lang w:eastAsia="en-US"/>
              </w:rPr>
              <w:t>Hodgman</w:t>
            </w:r>
            <w:proofErr w:type="spellEnd"/>
            <w:r>
              <w:rPr>
                <w:rStyle w:val="Bold"/>
                <w:rFonts w:eastAsiaTheme="majorEastAsia"/>
                <w:lang w:eastAsia="en-US"/>
              </w:rPr>
              <w:t xml:space="preserve"> MP</w:t>
            </w:r>
          </w:p>
          <w:p w:rsidR="001905B8" w:rsidRDefault="001905B8" w:rsidP="00DC5767">
            <w:pPr>
              <w:pStyle w:val="Position"/>
              <w:rPr>
                <w:rFonts w:ascii="Book Antiqua" w:eastAsiaTheme="majorEastAsia" w:hAnsi="Book Antiqua"/>
                <w:bCs w:val="0"/>
                <w:lang w:val="en-GB"/>
              </w:rPr>
            </w:pPr>
            <w:r>
              <w:rPr>
                <w:bCs w:val="0"/>
                <w:lang w:val="en-GB" w:eastAsia="en-US"/>
              </w:rPr>
              <w:t>Premier of the State of Tasmania</w:t>
            </w:r>
          </w:p>
          <w:p w:rsidR="001905B8" w:rsidRDefault="001820BE" w:rsidP="00DC5767">
            <w:pPr>
              <w:pStyle w:val="SingleParagraph"/>
              <w:tabs>
                <w:tab w:val="num" w:pos="1134"/>
              </w:tabs>
              <w:spacing w:after="240"/>
              <w:ind w:left="1134" w:hanging="567"/>
              <w:rPr>
                <w:lang w:val="en-GB" w:eastAsia="en-US"/>
              </w:rPr>
            </w:pPr>
            <w:r>
              <w:rPr>
                <w:lang w:val="en-GB" w:eastAsia="en-US"/>
              </w:rPr>
              <w:t>1  April  2016</w:t>
            </w:r>
          </w:p>
        </w:tc>
      </w:tr>
      <w:tr w:rsidR="001905B8" w:rsidTr="00DC5767">
        <w:trPr>
          <w:cantSplit/>
          <w:jc w:val="center"/>
        </w:trPr>
        <w:tc>
          <w:tcPr>
            <w:tcW w:w="4536" w:type="dxa"/>
          </w:tcPr>
          <w:p w:rsidR="001905B8" w:rsidRDefault="001905B8" w:rsidP="00DC5767">
            <w:pPr>
              <w:pStyle w:val="SingleParagraph"/>
              <w:rPr>
                <w:rFonts w:ascii="Book Antiqua" w:hAnsi="Book Antiqua"/>
                <w:lang w:val="en-GB" w:eastAsia="en-US"/>
              </w:rPr>
            </w:pPr>
          </w:p>
        </w:tc>
        <w:tc>
          <w:tcPr>
            <w:tcW w:w="284" w:type="dxa"/>
            <w:tcMar>
              <w:top w:w="0" w:type="dxa"/>
              <w:left w:w="0" w:type="dxa"/>
              <w:bottom w:w="0" w:type="dxa"/>
              <w:right w:w="0" w:type="dxa"/>
            </w:tcMar>
          </w:tcPr>
          <w:p w:rsidR="001905B8" w:rsidRDefault="001905B8" w:rsidP="00DC5767">
            <w:pPr>
              <w:pStyle w:val="SingleParagraph"/>
              <w:rPr>
                <w:rFonts w:ascii="Book Antiqua" w:hAnsi="Book Antiqua"/>
                <w:lang w:val="en-GB" w:eastAsia="en-US"/>
              </w:rPr>
            </w:pPr>
          </w:p>
        </w:tc>
        <w:tc>
          <w:tcPr>
            <w:tcW w:w="4536" w:type="dxa"/>
          </w:tcPr>
          <w:p w:rsidR="001905B8" w:rsidRDefault="001905B8" w:rsidP="00DC5767">
            <w:pPr>
              <w:pStyle w:val="SingleParagraph"/>
              <w:rPr>
                <w:rFonts w:ascii="Book Antiqua" w:hAnsi="Book Antiqua"/>
                <w:lang w:val="en-GB" w:eastAsia="en-US"/>
              </w:rPr>
            </w:pPr>
          </w:p>
        </w:tc>
      </w:tr>
      <w:tr w:rsidR="001905B8" w:rsidTr="00DC5767">
        <w:trPr>
          <w:cantSplit/>
          <w:jc w:val="center"/>
        </w:trPr>
        <w:tc>
          <w:tcPr>
            <w:tcW w:w="4536" w:type="dxa"/>
            <w:hideMark/>
          </w:tcPr>
          <w:p w:rsidR="001905B8" w:rsidRDefault="001905B8" w:rsidP="00DC5767">
            <w:pPr>
              <w:pStyle w:val="Signed"/>
              <w:spacing w:line="276" w:lineRule="auto"/>
              <w:rPr>
                <w:lang w:eastAsia="en-US"/>
              </w:rPr>
            </w:pPr>
            <w:r>
              <w:rPr>
                <w:rStyle w:val="SignedBold"/>
                <w:bCs w:val="0"/>
                <w:lang w:eastAsia="en-US"/>
              </w:rPr>
              <w:t>Signed</w:t>
            </w:r>
            <w:r>
              <w:rPr>
                <w:i w:val="0"/>
                <w:lang w:eastAsia="en-US"/>
              </w:rPr>
              <w:t xml:space="preserve"> </w:t>
            </w:r>
            <w:r>
              <w:rPr>
                <w:lang w:eastAsia="en-US"/>
              </w:rPr>
              <w:t>for and on behalf of the</w:t>
            </w:r>
            <w:r>
              <w:rPr>
                <w:i w:val="0"/>
                <w:lang w:eastAsia="en-US"/>
              </w:rPr>
              <w:t xml:space="preserve"> </w:t>
            </w:r>
            <w:r>
              <w:rPr>
                <w:lang w:eastAsia="en-US"/>
              </w:rPr>
              <w:t>Australian Capital Territory by</w:t>
            </w:r>
          </w:p>
          <w:p w:rsidR="001905B8" w:rsidRDefault="001905B8" w:rsidP="00DC5767">
            <w:pPr>
              <w:pStyle w:val="LineForSignature"/>
              <w:rPr>
                <w:lang w:eastAsia="en-US"/>
              </w:rPr>
            </w:pPr>
            <w:r>
              <w:rPr>
                <w:lang w:eastAsia="en-US"/>
              </w:rPr>
              <w:tab/>
            </w:r>
          </w:p>
          <w:p w:rsidR="001905B8" w:rsidRDefault="001905B8" w:rsidP="00DC5767">
            <w:pPr>
              <w:pStyle w:val="SingleParagraph"/>
              <w:rPr>
                <w:rStyle w:val="Bold"/>
                <w:rFonts w:eastAsiaTheme="majorEastAsia"/>
              </w:rPr>
            </w:pPr>
            <w:r>
              <w:rPr>
                <w:rStyle w:val="Bold"/>
                <w:rFonts w:eastAsiaTheme="majorEastAsia"/>
                <w:lang w:eastAsia="en-US"/>
              </w:rPr>
              <w:t>Andrew Barr MLA</w:t>
            </w:r>
          </w:p>
          <w:p w:rsidR="001905B8" w:rsidRDefault="001905B8" w:rsidP="00DC5767">
            <w:pPr>
              <w:pStyle w:val="Position"/>
              <w:rPr>
                <w:rFonts w:ascii="Book Antiqua" w:eastAsiaTheme="majorEastAsia" w:hAnsi="Book Antiqua"/>
                <w:bCs w:val="0"/>
                <w:lang w:val="en-GB"/>
              </w:rPr>
            </w:pPr>
            <w:r>
              <w:rPr>
                <w:lang w:val="en-GB" w:eastAsia="en-US"/>
              </w:rPr>
              <w:t>Chief Minister of the Australian Capital Territory</w:t>
            </w:r>
          </w:p>
          <w:p w:rsidR="001905B8" w:rsidRDefault="001820BE" w:rsidP="00DC5767">
            <w:pPr>
              <w:pStyle w:val="SingleParagraph"/>
              <w:tabs>
                <w:tab w:val="num" w:pos="1134"/>
              </w:tabs>
              <w:spacing w:after="240"/>
              <w:ind w:left="1134" w:hanging="567"/>
              <w:rPr>
                <w:szCs w:val="22"/>
                <w:lang w:val="en-GB" w:eastAsia="en-US"/>
              </w:rPr>
            </w:pPr>
            <w:r>
              <w:rPr>
                <w:lang w:val="en-GB" w:eastAsia="en-US"/>
              </w:rPr>
              <w:t>1  April  2016</w:t>
            </w:r>
          </w:p>
        </w:tc>
        <w:tc>
          <w:tcPr>
            <w:tcW w:w="284" w:type="dxa"/>
            <w:tcMar>
              <w:top w:w="0" w:type="dxa"/>
              <w:left w:w="0" w:type="dxa"/>
              <w:bottom w:w="0" w:type="dxa"/>
              <w:right w:w="0" w:type="dxa"/>
            </w:tcMar>
          </w:tcPr>
          <w:p w:rsidR="001905B8" w:rsidRDefault="001905B8" w:rsidP="00DC5767">
            <w:pPr>
              <w:spacing w:after="240" w:line="260" w:lineRule="exact"/>
              <w:jc w:val="both"/>
              <w:rPr>
                <w:rFonts w:ascii="Book Antiqua" w:hAnsi="Book Antiqua"/>
                <w:color w:val="000000"/>
                <w:sz w:val="23"/>
                <w:szCs w:val="22"/>
                <w:lang w:val="en-GB" w:eastAsia="en-US"/>
              </w:rPr>
            </w:pPr>
          </w:p>
        </w:tc>
        <w:tc>
          <w:tcPr>
            <w:tcW w:w="4536" w:type="dxa"/>
            <w:hideMark/>
          </w:tcPr>
          <w:p w:rsidR="001905B8" w:rsidRDefault="001905B8" w:rsidP="00DC5767">
            <w:pPr>
              <w:pStyle w:val="Signed"/>
              <w:spacing w:line="276" w:lineRule="auto"/>
              <w:rPr>
                <w:lang w:eastAsia="en-US"/>
              </w:rPr>
            </w:pPr>
            <w:r>
              <w:rPr>
                <w:rStyle w:val="SignedBold"/>
                <w:bCs w:val="0"/>
                <w:lang w:eastAsia="en-US"/>
              </w:rPr>
              <w:t>Signed</w:t>
            </w:r>
            <w:r>
              <w:rPr>
                <w:i w:val="0"/>
                <w:lang w:eastAsia="en-US"/>
              </w:rPr>
              <w:t xml:space="preserve"> </w:t>
            </w:r>
            <w:r>
              <w:rPr>
                <w:lang w:eastAsia="en-US"/>
              </w:rPr>
              <w:t>for and on behalf of the</w:t>
            </w:r>
            <w:r>
              <w:rPr>
                <w:i w:val="0"/>
                <w:lang w:eastAsia="en-US"/>
              </w:rPr>
              <w:t xml:space="preserve"> </w:t>
            </w:r>
            <w:r>
              <w:rPr>
                <w:lang w:eastAsia="en-US"/>
              </w:rPr>
              <w:t>Northern Territory by</w:t>
            </w:r>
          </w:p>
          <w:p w:rsidR="001905B8" w:rsidRDefault="001905B8" w:rsidP="00DC5767">
            <w:pPr>
              <w:pStyle w:val="LineForSignature"/>
              <w:rPr>
                <w:lang w:eastAsia="en-US"/>
              </w:rPr>
            </w:pPr>
            <w:r>
              <w:rPr>
                <w:lang w:eastAsia="en-US"/>
              </w:rPr>
              <w:tab/>
            </w:r>
          </w:p>
          <w:p w:rsidR="001905B8" w:rsidRDefault="001905B8" w:rsidP="00DC5767">
            <w:pPr>
              <w:pStyle w:val="SingleParagraph"/>
              <w:rPr>
                <w:rStyle w:val="Bold"/>
                <w:rFonts w:eastAsiaTheme="majorEastAsia"/>
              </w:rPr>
            </w:pPr>
            <w:r>
              <w:rPr>
                <w:rStyle w:val="Bold"/>
                <w:rFonts w:eastAsiaTheme="majorEastAsia"/>
                <w:lang w:eastAsia="en-US"/>
              </w:rPr>
              <w:t>The Honourable Adam Giles MLA</w:t>
            </w:r>
          </w:p>
          <w:p w:rsidR="001905B8" w:rsidRDefault="001905B8" w:rsidP="00DC5767">
            <w:pPr>
              <w:pStyle w:val="Position"/>
              <w:rPr>
                <w:rFonts w:ascii="Book Antiqua" w:eastAsiaTheme="majorEastAsia" w:hAnsi="Book Antiqua"/>
                <w:bCs w:val="0"/>
                <w:lang w:val="en-GB"/>
              </w:rPr>
            </w:pPr>
            <w:r>
              <w:rPr>
                <w:bCs w:val="0"/>
                <w:lang w:val="en-GB" w:eastAsia="en-US"/>
              </w:rPr>
              <w:t xml:space="preserve">Chief </w:t>
            </w:r>
            <w:r>
              <w:rPr>
                <w:lang w:val="en-GB" w:eastAsia="en-US"/>
              </w:rPr>
              <w:t>Minister</w:t>
            </w:r>
            <w:r>
              <w:rPr>
                <w:bCs w:val="0"/>
                <w:lang w:val="en-GB" w:eastAsia="en-US"/>
              </w:rPr>
              <w:t xml:space="preserve"> of the Northern Territory of Australia</w:t>
            </w:r>
          </w:p>
          <w:p w:rsidR="001905B8" w:rsidRDefault="001820BE" w:rsidP="00DC5767">
            <w:pPr>
              <w:pStyle w:val="SingleParagraph"/>
              <w:tabs>
                <w:tab w:val="num" w:pos="1134"/>
              </w:tabs>
              <w:spacing w:after="240"/>
              <w:ind w:left="1134" w:hanging="567"/>
              <w:rPr>
                <w:lang w:val="en-GB" w:eastAsia="en-US"/>
              </w:rPr>
            </w:pPr>
            <w:r>
              <w:rPr>
                <w:lang w:val="en-GB" w:eastAsia="en-US"/>
              </w:rPr>
              <w:t>1  April  2016</w:t>
            </w:r>
          </w:p>
        </w:tc>
      </w:tr>
    </w:tbl>
    <w:p w:rsidR="001905B8" w:rsidRDefault="001905B8" w:rsidP="001905B8">
      <w:pPr>
        <w:spacing w:after="0"/>
        <w:rPr>
          <w:b/>
          <w:sz w:val="26"/>
          <w:szCs w:val="26"/>
        </w:rPr>
      </w:pPr>
    </w:p>
    <w:p w:rsidR="001905B8" w:rsidRDefault="001905B8" w:rsidP="001905B8">
      <w:pPr>
        <w:pStyle w:val="Title"/>
        <w:jc w:val="right"/>
        <w:rPr>
          <w:sz w:val="32"/>
          <w:szCs w:val="32"/>
        </w:rPr>
      </w:pPr>
      <w:r>
        <w:rPr>
          <w:sz w:val="32"/>
          <w:szCs w:val="32"/>
        </w:rPr>
        <w:t xml:space="preserve">SCHEDULE 1 </w:t>
      </w:r>
    </w:p>
    <w:p w:rsidR="001905B8" w:rsidRPr="0061752C" w:rsidRDefault="001905B8" w:rsidP="00B677BC">
      <w:pPr>
        <w:pStyle w:val="Heading2"/>
        <w:rPr>
          <w:rFonts w:eastAsiaTheme="majorEastAsia"/>
          <w:lang w:eastAsia="en-US"/>
        </w:rPr>
      </w:pPr>
      <w:r w:rsidRPr="0061752C">
        <w:rPr>
          <w:rFonts w:eastAsiaTheme="majorEastAsia"/>
          <w:lang w:eastAsia="en-US"/>
        </w:rPr>
        <w:t>Activity Based Funding (ABF) Arrangements for 2017-18 to 2019-20</w:t>
      </w:r>
    </w:p>
    <w:p w:rsidR="001905B8" w:rsidRDefault="001905B8" w:rsidP="00025A9B">
      <w:pPr>
        <w:pStyle w:val="ListParagraph"/>
        <w:numPr>
          <w:ilvl w:val="0"/>
          <w:numId w:val="11"/>
        </w:numPr>
        <w:spacing w:before="40" w:line="276" w:lineRule="auto"/>
      </w:pPr>
      <w:r>
        <w:t>For the period 2017-18 to 2019-20, the Commonwealth’s funding for each ABF service category will be calculated individually for each State by summing:</w:t>
      </w:r>
    </w:p>
    <w:p w:rsidR="001905B8" w:rsidRDefault="001905B8" w:rsidP="00025A9B">
      <w:pPr>
        <w:pStyle w:val="ListParagraph"/>
        <w:numPr>
          <w:ilvl w:val="1"/>
          <w:numId w:val="11"/>
        </w:numPr>
        <w:spacing w:before="40" w:line="276" w:lineRule="auto"/>
      </w:pPr>
      <w:r>
        <w:rPr>
          <w:i/>
        </w:rPr>
        <w:t>previous year amount</w:t>
      </w:r>
      <w:r>
        <w:t>—the Commonwealth’s percentage funding rate for the relevant State in the previous year, multiplied by the volume of weighted services provided in the previous year, multiplied by the National Efficient Price (NEP) in the previous year;</w:t>
      </w:r>
    </w:p>
    <w:p w:rsidR="001905B8" w:rsidRDefault="001905B8" w:rsidP="00025A9B">
      <w:pPr>
        <w:pStyle w:val="ListParagraph"/>
        <w:numPr>
          <w:ilvl w:val="1"/>
          <w:numId w:val="11"/>
        </w:numPr>
        <w:spacing w:before="40" w:line="276" w:lineRule="auto"/>
      </w:pPr>
      <w:r>
        <w:rPr>
          <w:i/>
        </w:rPr>
        <w:t>price adjustment</w:t>
      </w:r>
      <w:r>
        <w:t>—the volume of weighted services provided in the previous year, multiplied by the change in the NEP relative to the previous year, multiplied by 45 per cent (or a lower rate if the funding cap is reached);</w:t>
      </w:r>
    </w:p>
    <w:p w:rsidR="001905B8" w:rsidRDefault="001905B8" w:rsidP="00025A9B">
      <w:pPr>
        <w:pStyle w:val="ListParagraph"/>
        <w:numPr>
          <w:ilvl w:val="1"/>
          <w:numId w:val="11"/>
        </w:numPr>
        <w:spacing w:before="40" w:line="276" w:lineRule="auto"/>
        <w:ind w:left="1077" w:hanging="357"/>
        <w:contextualSpacing w:val="0"/>
      </w:pPr>
      <w:proofErr w:type="gramStart"/>
      <w:r>
        <w:rPr>
          <w:i/>
        </w:rPr>
        <w:t>volume</w:t>
      </w:r>
      <w:proofErr w:type="gramEnd"/>
      <w:r>
        <w:rPr>
          <w:i/>
        </w:rPr>
        <w:t xml:space="preserve"> adjustment</w:t>
      </w:r>
      <w:r>
        <w:t>—the net change in volume of weighted services to be provided in the relevant State (relative to the volume of weighted services provided in the previous year), multiplied by the NEP, multiplied by 45 per cent (or a lower rate if the funding cap is reached).</w:t>
      </w:r>
    </w:p>
    <w:p w:rsidR="001905B8" w:rsidRDefault="001905B8" w:rsidP="00025A9B">
      <w:pPr>
        <w:pStyle w:val="ListParagraph"/>
        <w:numPr>
          <w:ilvl w:val="0"/>
          <w:numId w:val="11"/>
        </w:numPr>
        <w:spacing w:before="40" w:line="276" w:lineRule="auto"/>
      </w:pPr>
      <w:r>
        <w:t xml:space="preserve">The Commonwealth’s contribution to activity based funding (including efficient growth) will be calculated at the start of each financial year, and </w:t>
      </w:r>
      <w:r w:rsidR="002E4DFF">
        <w:t xml:space="preserve">will </w:t>
      </w:r>
      <w:r>
        <w:t>be updated or revised based on advice from the Administrator, including a final reconciliation of public hospital services</w:t>
      </w:r>
      <w:r w:rsidR="002E4DFF">
        <w:t>, consistent with current arrangements under the NHRA</w:t>
      </w:r>
      <w:r>
        <w:t xml:space="preserve">. </w:t>
      </w:r>
    </w:p>
    <w:p w:rsidR="001905B8" w:rsidRDefault="001905B8" w:rsidP="001905B8">
      <w:pPr>
        <w:pStyle w:val="ListParagraph"/>
      </w:pPr>
    </w:p>
    <w:p w:rsidR="001905B8" w:rsidRDefault="001905B8" w:rsidP="0061752C">
      <w:pPr>
        <w:pStyle w:val="ListParagraph"/>
        <w:numPr>
          <w:ilvl w:val="0"/>
          <w:numId w:val="11"/>
        </w:numPr>
        <w:spacing w:before="40" w:line="276" w:lineRule="auto"/>
      </w:pPr>
      <w:r>
        <w:t xml:space="preserve">The Administrator of the National Health Funding Pool will calculate and advise the Commonwealth Treasurer of the monthly Commonwealth payments into the National Health Funding Pool. </w:t>
      </w:r>
    </w:p>
    <w:p w:rsidR="001905B8" w:rsidRDefault="001905B8" w:rsidP="001905B8">
      <w:pPr>
        <w:pStyle w:val="ListParagraph"/>
      </w:pPr>
    </w:p>
    <w:p w:rsidR="001905B8" w:rsidRDefault="001905B8" w:rsidP="0061752C">
      <w:pPr>
        <w:pStyle w:val="ListParagraph"/>
        <w:numPr>
          <w:ilvl w:val="0"/>
          <w:numId w:val="11"/>
        </w:numPr>
        <w:spacing w:before="40" w:line="276" w:lineRule="auto"/>
      </w:pPr>
      <w:r>
        <w:t>The States, in consultation with the National Health Funding Body (NHFB), will determine when state payments are made into the Pool and State managed funds.</w:t>
      </w:r>
    </w:p>
    <w:p w:rsidR="001905B8" w:rsidRDefault="001905B8" w:rsidP="001905B8">
      <w:pPr>
        <w:pStyle w:val="ListParagraph"/>
      </w:pPr>
    </w:p>
    <w:p w:rsidR="001905B8" w:rsidRDefault="001905B8" w:rsidP="0061752C">
      <w:pPr>
        <w:pStyle w:val="ListParagraph"/>
        <w:numPr>
          <w:ilvl w:val="0"/>
          <w:numId w:val="11"/>
        </w:numPr>
        <w:spacing w:before="40" w:line="276" w:lineRule="auto"/>
      </w:pPr>
      <w:r>
        <w:t>Payments will be made out of the Pool accounts to Local Hospital Networks and state managed funds as set out in the National Health Reform Agreement (NHRA).</w:t>
      </w:r>
    </w:p>
    <w:p w:rsidR="001905B8" w:rsidRDefault="001905B8" w:rsidP="001905B8">
      <w:pPr>
        <w:pStyle w:val="ListParagraph"/>
      </w:pPr>
    </w:p>
    <w:p w:rsidR="001905B8" w:rsidRDefault="001905B8" w:rsidP="0061752C">
      <w:pPr>
        <w:pStyle w:val="ListParagraph"/>
        <w:numPr>
          <w:ilvl w:val="0"/>
          <w:numId w:val="11"/>
        </w:numPr>
        <w:spacing w:before="40" w:line="276" w:lineRule="auto"/>
      </w:pPr>
      <w:r>
        <w:t xml:space="preserve">The Parties agree that the NEP </w:t>
      </w:r>
      <w:r w:rsidR="007D4DCD">
        <w:t xml:space="preserve">and NEC </w:t>
      </w:r>
      <w:r>
        <w:t>will continue to be set by the Independent Hospitals Pricing Authority (IHPA) as set out in the NHRA and that the IHPA’s:</w:t>
      </w:r>
    </w:p>
    <w:p w:rsidR="001905B8" w:rsidRDefault="001905B8" w:rsidP="0061752C">
      <w:pPr>
        <w:pStyle w:val="ListParagraph"/>
        <w:numPr>
          <w:ilvl w:val="1"/>
          <w:numId w:val="11"/>
        </w:numPr>
        <w:spacing w:before="40" w:line="276" w:lineRule="auto"/>
      </w:pPr>
      <w:r>
        <w:t>ongoing costs will continue to be met by the Commonwealth; and</w:t>
      </w:r>
    </w:p>
    <w:p w:rsidR="001905B8" w:rsidRDefault="001905B8" w:rsidP="0061752C">
      <w:pPr>
        <w:pStyle w:val="ListParagraph"/>
        <w:numPr>
          <w:ilvl w:val="1"/>
          <w:numId w:val="11"/>
        </w:numPr>
        <w:spacing w:before="40" w:line="276" w:lineRule="auto"/>
      </w:pPr>
      <w:proofErr w:type="gramStart"/>
      <w:r>
        <w:t>functions</w:t>
      </w:r>
      <w:proofErr w:type="gramEnd"/>
      <w:r>
        <w:t xml:space="preserve"> will continue as set out in the NHRA and existing legislation</w:t>
      </w:r>
      <w:r w:rsidR="007D4DCD">
        <w:t>, including maintaining the independence of the IHPA</w:t>
      </w:r>
      <w:r>
        <w:t>.</w:t>
      </w:r>
    </w:p>
    <w:p w:rsidR="00C467B0" w:rsidRDefault="00C467B0" w:rsidP="0061752C">
      <w:pPr>
        <w:pStyle w:val="ListParagraph"/>
        <w:spacing w:before="40" w:line="276" w:lineRule="auto"/>
        <w:ind w:left="360"/>
      </w:pPr>
    </w:p>
    <w:p w:rsidR="001905B8" w:rsidRDefault="001905B8" w:rsidP="0061752C">
      <w:pPr>
        <w:pStyle w:val="ListParagraph"/>
        <w:numPr>
          <w:ilvl w:val="0"/>
          <w:numId w:val="11"/>
        </w:numPr>
        <w:spacing w:before="40" w:line="276" w:lineRule="auto"/>
      </w:pPr>
      <w:r>
        <w:t xml:space="preserve">The Parties also agree that the single national health funding pool will continue as set out in the NHRA and existing legislation, including that: </w:t>
      </w:r>
    </w:p>
    <w:p w:rsidR="001905B8" w:rsidRDefault="001905B8" w:rsidP="001905B8">
      <w:pPr>
        <w:pStyle w:val="ListParagraph"/>
        <w:spacing w:before="40"/>
        <w:ind w:left="360"/>
      </w:pPr>
    </w:p>
    <w:p w:rsidR="001905B8" w:rsidRDefault="001905B8" w:rsidP="0061752C">
      <w:pPr>
        <w:pStyle w:val="ListParagraph"/>
        <w:numPr>
          <w:ilvl w:val="1"/>
          <w:numId w:val="11"/>
        </w:numPr>
        <w:spacing w:before="40" w:line="276" w:lineRule="auto"/>
      </w:pPr>
      <w:r>
        <w:t xml:space="preserve">the Administrator of the National Health Funding Pool (the Administrator) and the NHFB will continue to provide for the transparent and efficient administration of public hospital funding; </w:t>
      </w:r>
    </w:p>
    <w:p w:rsidR="001905B8" w:rsidRDefault="001905B8" w:rsidP="001905B8">
      <w:pPr>
        <w:pStyle w:val="ListParagraph"/>
        <w:spacing w:before="40"/>
        <w:ind w:left="1080"/>
      </w:pPr>
    </w:p>
    <w:p w:rsidR="001905B8" w:rsidRDefault="001905B8" w:rsidP="0061752C">
      <w:pPr>
        <w:pStyle w:val="ListParagraph"/>
        <w:numPr>
          <w:ilvl w:val="1"/>
          <w:numId w:val="11"/>
        </w:numPr>
        <w:spacing w:before="40" w:line="276" w:lineRule="auto"/>
      </w:pPr>
      <w:r>
        <w:t>the roles of the Administrator and the NHFB will continue as set out in the NHRA;</w:t>
      </w:r>
    </w:p>
    <w:p w:rsidR="001905B8" w:rsidRDefault="001905B8" w:rsidP="001905B8">
      <w:pPr>
        <w:pStyle w:val="ListParagraph"/>
        <w:spacing w:before="40"/>
        <w:ind w:left="360"/>
      </w:pPr>
    </w:p>
    <w:p w:rsidR="001905B8" w:rsidRDefault="001905B8" w:rsidP="0061752C">
      <w:pPr>
        <w:pStyle w:val="ListParagraph"/>
        <w:numPr>
          <w:ilvl w:val="1"/>
          <w:numId w:val="11"/>
        </w:numPr>
        <w:spacing w:before="40" w:line="276" w:lineRule="auto"/>
      </w:pPr>
      <w:r>
        <w:t>the Administrator will use IHPA’s determination of the National Efficient Cost to calculate the Commonwealth’s funding contribution for block funding; and</w:t>
      </w:r>
    </w:p>
    <w:p w:rsidR="001905B8" w:rsidRDefault="001905B8" w:rsidP="001905B8">
      <w:pPr>
        <w:pStyle w:val="ListParagraph"/>
      </w:pPr>
    </w:p>
    <w:p w:rsidR="001905B8" w:rsidRDefault="001905B8" w:rsidP="0061752C">
      <w:pPr>
        <w:pStyle w:val="ListParagraph"/>
        <w:numPr>
          <w:ilvl w:val="1"/>
          <w:numId w:val="11"/>
        </w:numPr>
        <w:spacing w:before="40" w:line="276" w:lineRule="auto"/>
      </w:pPr>
      <w:proofErr w:type="gramStart"/>
      <w:r>
        <w:t>the</w:t>
      </w:r>
      <w:proofErr w:type="gramEnd"/>
      <w:r>
        <w:t xml:space="preserve"> States will continue to provide data on public hospital services to the Administrator as set out in the NHRA.</w:t>
      </w:r>
    </w:p>
    <w:p w:rsidR="001905B8" w:rsidRDefault="001905B8" w:rsidP="001905B8">
      <w:pPr>
        <w:spacing w:after="0"/>
        <w:rPr>
          <w:b/>
          <w:sz w:val="26"/>
          <w:szCs w:val="26"/>
        </w:rPr>
      </w:pPr>
    </w:p>
    <w:p w:rsidR="001905B8" w:rsidRDefault="001905B8" w:rsidP="001905B8">
      <w:pPr>
        <w:pStyle w:val="Title"/>
        <w:jc w:val="right"/>
        <w:rPr>
          <w:sz w:val="32"/>
          <w:szCs w:val="32"/>
        </w:rPr>
      </w:pPr>
      <w:r>
        <w:rPr>
          <w:b/>
          <w:sz w:val="26"/>
          <w:szCs w:val="26"/>
        </w:rPr>
        <w:br w:type="page"/>
      </w:r>
      <w:r>
        <w:rPr>
          <w:sz w:val="32"/>
          <w:szCs w:val="32"/>
        </w:rPr>
        <w:lastRenderedPageBreak/>
        <w:t xml:space="preserve">SCHEDULE 2 </w:t>
      </w:r>
    </w:p>
    <w:p w:rsidR="001905B8" w:rsidRDefault="001905B8" w:rsidP="00B677BC">
      <w:pPr>
        <w:pStyle w:val="Heading2"/>
        <w:rPr>
          <w:rFonts w:eastAsiaTheme="majorEastAsia"/>
          <w:lang w:eastAsia="en-US"/>
        </w:rPr>
      </w:pPr>
      <w:r>
        <w:rPr>
          <w:rFonts w:eastAsiaTheme="majorEastAsia"/>
          <w:lang w:eastAsia="en-US"/>
        </w:rPr>
        <w:t>Reforms to be undertaken by the Parties</w:t>
      </w:r>
    </w:p>
    <w:p w:rsidR="007D4DCD" w:rsidRDefault="001905B8" w:rsidP="001905B8">
      <w:pPr>
        <w:pStyle w:val="ListParagraph"/>
        <w:numPr>
          <w:ilvl w:val="0"/>
          <w:numId w:val="3"/>
        </w:numPr>
        <w:spacing w:before="40" w:line="276" w:lineRule="auto"/>
        <w:ind w:left="357" w:hanging="357"/>
        <w:rPr>
          <w:rFonts w:eastAsiaTheme="minorHAnsi" w:cstheme="minorBidi"/>
          <w:szCs w:val="24"/>
          <w:lang w:eastAsia="en-US"/>
        </w:rPr>
      </w:pPr>
      <w:r w:rsidRPr="00FC14FD">
        <w:rPr>
          <w:rFonts w:eastAsiaTheme="minorHAnsi" w:cstheme="minorBidi"/>
          <w:szCs w:val="24"/>
          <w:lang w:eastAsia="en-US"/>
        </w:rPr>
        <w:t xml:space="preserve">In </w:t>
      </w:r>
      <w:r w:rsidR="00216B9F">
        <w:rPr>
          <w:rFonts w:eastAsiaTheme="minorHAnsi" w:cstheme="minorBidi"/>
          <w:szCs w:val="24"/>
          <w:lang w:eastAsia="en-US"/>
        </w:rPr>
        <w:t>addition to the</w:t>
      </w:r>
      <w:r w:rsidRPr="00FC14FD">
        <w:rPr>
          <w:rFonts w:eastAsiaTheme="minorHAnsi" w:cstheme="minorBidi"/>
          <w:szCs w:val="24"/>
          <w:lang w:eastAsia="en-US"/>
        </w:rPr>
        <w:t xml:space="preserve"> Commonwealth funding as set out in the Heads of Agreement, the Parties commit to developing and implementing these reforms intended to improve health outcomes for patients and decrease demand for public hospital services.</w:t>
      </w:r>
    </w:p>
    <w:p w:rsidR="001905B8" w:rsidRDefault="001905B8" w:rsidP="00B677BC">
      <w:pPr>
        <w:pStyle w:val="Heading2"/>
        <w:rPr>
          <w:rFonts w:eastAsiaTheme="majorEastAsia"/>
          <w:lang w:eastAsia="en-US"/>
        </w:rPr>
      </w:pPr>
      <w:r>
        <w:rPr>
          <w:rFonts w:eastAsiaTheme="majorEastAsia"/>
          <w:lang w:eastAsia="en-US"/>
        </w:rPr>
        <w:t>Coordinated Care</w:t>
      </w:r>
    </w:p>
    <w:p w:rsidR="007D4DCD" w:rsidRPr="007D4DCD" w:rsidRDefault="007D4DCD" w:rsidP="007D4DCD">
      <w:pPr>
        <w:pStyle w:val="ListParagraph"/>
        <w:numPr>
          <w:ilvl w:val="0"/>
          <w:numId w:val="3"/>
        </w:numPr>
        <w:spacing w:before="40" w:line="276" w:lineRule="auto"/>
        <w:ind w:left="357" w:hanging="357"/>
        <w:rPr>
          <w:rFonts w:eastAsiaTheme="minorHAnsi" w:cstheme="minorBidi"/>
          <w:szCs w:val="24"/>
          <w:lang w:eastAsia="en-US"/>
        </w:rPr>
      </w:pPr>
      <w:r>
        <w:rPr>
          <w:rFonts w:eastAsiaTheme="minorHAnsi" w:cstheme="minorBidi"/>
          <w:szCs w:val="24"/>
          <w:lang w:eastAsia="en-US"/>
        </w:rPr>
        <w:t>Bilateral agreements will be signed to provide flexibility for each jurisdiction to determine the best model of care.</w:t>
      </w:r>
      <w:r w:rsidRPr="00FC14FD">
        <w:rPr>
          <w:rFonts w:eastAsiaTheme="minorHAnsi" w:cstheme="minorBidi"/>
          <w:szCs w:val="24"/>
          <w:lang w:eastAsia="en-US"/>
        </w:rPr>
        <w:t xml:space="preserve">  </w:t>
      </w:r>
    </w:p>
    <w:p w:rsidR="001905B8" w:rsidRPr="00FC14FD" w:rsidRDefault="001905B8" w:rsidP="001905B8">
      <w:pPr>
        <w:pStyle w:val="ListParagraph"/>
        <w:numPr>
          <w:ilvl w:val="0"/>
          <w:numId w:val="3"/>
        </w:numPr>
        <w:spacing w:before="40" w:line="276" w:lineRule="auto"/>
        <w:ind w:left="357" w:hanging="357"/>
        <w:rPr>
          <w:rFonts w:eastAsiaTheme="minorHAnsi" w:cstheme="minorBidi"/>
          <w:szCs w:val="24"/>
          <w:lang w:eastAsia="en-US"/>
        </w:rPr>
      </w:pPr>
      <w:r w:rsidRPr="00FC14FD">
        <w:rPr>
          <w:rFonts w:eastAsiaTheme="minorHAnsi" w:cstheme="minorBidi"/>
          <w:szCs w:val="24"/>
          <w:lang w:eastAsia="en-US"/>
        </w:rPr>
        <w:t>Patients with chronic and complex disease are costly to treat (10 per cent of the population account for 45 per cent of Medicare expenditure) and the system does not always provide the care they need in a coordinated way.</w:t>
      </w:r>
    </w:p>
    <w:p w:rsidR="001905B8" w:rsidRPr="00FC14FD" w:rsidRDefault="001905B8" w:rsidP="001905B8">
      <w:pPr>
        <w:pStyle w:val="ListParagraph"/>
        <w:numPr>
          <w:ilvl w:val="0"/>
          <w:numId w:val="3"/>
        </w:numPr>
        <w:spacing w:before="40" w:line="276" w:lineRule="auto"/>
        <w:ind w:left="360" w:hanging="360"/>
        <w:rPr>
          <w:rFonts w:eastAsiaTheme="minorHAnsi" w:cstheme="minorBidi"/>
          <w:szCs w:val="24"/>
          <w:lang w:eastAsia="en-US"/>
        </w:rPr>
      </w:pPr>
      <w:r w:rsidRPr="00FC14FD">
        <w:rPr>
          <w:rFonts w:eastAsiaTheme="minorHAnsi" w:cstheme="minorBidi"/>
          <w:szCs w:val="24"/>
          <w:lang w:eastAsia="en-US"/>
        </w:rPr>
        <w:t>The Commonwealth will establish any necessary enabling infrastructure, governance arrangements, or systems to support a pilot of a Health Care Homes model in primary health care</w:t>
      </w:r>
      <w:r w:rsidR="006466F2">
        <w:rPr>
          <w:rFonts w:eastAsiaTheme="minorHAnsi" w:cstheme="minorBidi"/>
          <w:szCs w:val="24"/>
          <w:lang w:eastAsia="en-US"/>
        </w:rPr>
        <w:t>, consistent with the advice provided by the Primary Health Care Advisory Group</w:t>
      </w:r>
      <w:r w:rsidRPr="00FC14FD">
        <w:rPr>
          <w:rFonts w:eastAsiaTheme="minorHAnsi" w:cstheme="minorBidi"/>
          <w:szCs w:val="24"/>
          <w:lang w:eastAsia="en-US"/>
        </w:rPr>
        <w:t>. An initial first stage of activity will include:</w:t>
      </w:r>
    </w:p>
    <w:p w:rsidR="001905B8" w:rsidRPr="00FC14FD" w:rsidRDefault="001905B8" w:rsidP="001905B8">
      <w:pPr>
        <w:pStyle w:val="ListParagraph"/>
        <w:numPr>
          <w:ilvl w:val="1"/>
          <w:numId w:val="5"/>
        </w:numPr>
        <w:spacing w:before="40" w:line="276" w:lineRule="auto"/>
        <w:rPr>
          <w:rFonts w:eastAsiaTheme="minorHAnsi" w:cstheme="minorBidi"/>
          <w:szCs w:val="24"/>
          <w:lang w:eastAsia="en-US"/>
        </w:rPr>
      </w:pPr>
      <w:r w:rsidRPr="00FC14FD">
        <w:rPr>
          <w:rFonts w:eastAsiaTheme="minorHAnsi" w:cstheme="minorBidi"/>
          <w:szCs w:val="24"/>
          <w:lang w:eastAsia="en-US"/>
        </w:rPr>
        <w:t>criteria for determining patient eligibility in Commonwealth funded services;</w:t>
      </w:r>
    </w:p>
    <w:p w:rsidR="001905B8" w:rsidRPr="00FC14FD" w:rsidRDefault="001905B8" w:rsidP="001905B8">
      <w:pPr>
        <w:pStyle w:val="ListParagraph"/>
        <w:numPr>
          <w:ilvl w:val="1"/>
          <w:numId w:val="5"/>
        </w:numPr>
        <w:spacing w:before="40" w:line="276" w:lineRule="auto"/>
        <w:rPr>
          <w:rFonts w:eastAsiaTheme="minorHAnsi" w:cstheme="minorBidi"/>
          <w:szCs w:val="24"/>
          <w:lang w:eastAsia="en-US"/>
        </w:rPr>
      </w:pPr>
      <w:r w:rsidRPr="00FC14FD">
        <w:rPr>
          <w:rFonts w:eastAsiaTheme="minorHAnsi" w:cstheme="minorBidi"/>
          <w:szCs w:val="24"/>
          <w:lang w:eastAsia="en-US"/>
        </w:rPr>
        <w:t>funding levels and payment mechanisms in Commonwealth funded services;</w:t>
      </w:r>
    </w:p>
    <w:p w:rsidR="001905B8" w:rsidRPr="00FC14FD" w:rsidRDefault="001905B8" w:rsidP="001905B8">
      <w:pPr>
        <w:pStyle w:val="ListParagraph"/>
        <w:numPr>
          <w:ilvl w:val="1"/>
          <w:numId w:val="5"/>
        </w:numPr>
        <w:spacing w:before="40" w:line="276" w:lineRule="auto"/>
        <w:rPr>
          <w:rFonts w:eastAsiaTheme="minorHAnsi" w:cstheme="minorBidi"/>
          <w:szCs w:val="24"/>
          <w:lang w:eastAsia="en-US"/>
        </w:rPr>
      </w:pPr>
      <w:r w:rsidRPr="00FC14FD">
        <w:rPr>
          <w:rFonts w:eastAsiaTheme="minorHAnsi" w:cstheme="minorBidi"/>
          <w:szCs w:val="24"/>
          <w:lang w:eastAsia="en-US"/>
        </w:rPr>
        <w:t>establish data collection and associated quality improvement processes within participating general practices;</w:t>
      </w:r>
    </w:p>
    <w:p w:rsidR="001905B8" w:rsidRPr="00FC14FD" w:rsidRDefault="001905B8" w:rsidP="001905B8">
      <w:pPr>
        <w:pStyle w:val="ListParagraph"/>
        <w:numPr>
          <w:ilvl w:val="1"/>
          <w:numId w:val="5"/>
        </w:numPr>
        <w:spacing w:before="40" w:line="276" w:lineRule="auto"/>
        <w:rPr>
          <w:rFonts w:eastAsiaTheme="minorHAnsi" w:cstheme="minorBidi"/>
          <w:szCs w:val="24"/>
          <w:lang w:eastAsia="en-US"/>
        </w:rPr>
      </w:pPr>
      <w:r w:rsidRPr="00FC14FD">
        <w:rPr>
          <w:rFonts w:eastAsiaTheme="minorHAnsi" w:cstheme="minorBidi"/>
          <w:szCs w:val="24"/>
          <w:lang w:eastAsia="en-US"/>
        </w:rPr>
        <w:t>a comprehensive evaluation to determine impact on patient outcomes, hospitalisations and overall cost effectiveness of the model; and</w:t>
      </w:r>
    </w:p>
    <w:p w:rsidR="001905B8" w:rsidRPr="00FC14FD" w:rsidRDefault="001905B8" w:rsidP="001905B8">
      <w:pPr>
        <w:pStyle w:val="ListParagraph"/>
        <w:numPr>
          <w:ilvl w:val="1"/>
          <w:numId w:val="5"/>
        </w:numPr>
        <w:spacing w:before="40" w:line="276" w:lineRule="auto"/>
        <w:rPr>
          <w:rFonts w:eastAsiaTheme="minorHAnsi" w:cstheme="minorBidi"/>
          <w:szCs w:val="24"/>
          <w:lang w:eastAsia="en-US"/>
        </w:rPr>
      </w:pPr>
      <w:proofErr w:type="gramStart"/>
      <w:r w:rsidRPr="00FC14FD">
        <w:rPr>
          <w:rFonts w:eastAsiaTheme="minorHAnsi" w:cstheme="minorBidi"/>
          <w:szCs w:val="24"/>
          <w:lang w:eastAsia="en-US"/>
        </w:rPr>
        <w:t>establish</w:t>
      </w:r>
      <w:proofErr w:type="gramEnd"/>
      <w:r w:rsidRPr="00FC14FD">
        <w:rPr>
          <w:rFonts w:eastAsiaTheme="minorHAnsi" w:cstheme="minorBidi"/>
          <w:szCs w:val="24"/>
          <w:lang w:eastAsia="en-US"/>
        </w:rPr>
        <w:t xml:space="preserve"> early implementation of a pilot of Health Care Homes in Primary Health Network (PHN) regions, to be operational by 1 July 2017.</w:t>
      </w:r>
    </w:p>
    <w:p w:rsidR="001905B8" w:rsidRPr="00FC14FD" w:rsidRDefault="001905B8" w:rsidP="001905B8">
      <w:pPr>
        <w:pStyle w:val="ListParagraph"/>
        <w:numPr>
          <w:ilvl w:val="0"/>
          <w:numId w:val="3"/>
        </w:numPr>
        <w:spacing w:before="40" w:line="276" w:lineRule="auto"/>
        <w:ind w:left="360" w:hanging="360"/>
        <w:rPr>
          <w:rFonts w:eastAsiaTheme="minorHAnsi" w:cstheme="minorBidi"/>
          <w:szCs w:val="24"/>
          <w:lang w:eastAsia="en-US"/>
        </w:rPr>
      </w:pPr>
      <w:r w:rsidRPr="00FC14FD">
        <w:rPr>
          <w:rFonts w:eastAsiaTheme="minorHAnsi" w:cstheme="minorBidi"/>
          <w:szCs w:val="24"/>
          <w:lang w:eastAsia="en-US"/>
        </w:rPr>
        <w:t>The States will work with the Commonwealth in selected regions through bilateral agreements, which may include:</w:t>
      </w:r>
    </w:p>
    <w:p w:rsidR="001905B8" w:rsidRPr="00FC14FD" w:rsidRDefault="001905B8" w:rsidP="001905B8">
      <w:pPr>
        <w:pStyle w:val="ListParagraph"/>
        <w:numPr>
          <w:ilvl w:val="1"/>
          <w:numId w:val="6"/>
        </w:numPr>
        <w:spacing w:before="40" w:line="276" w:lineRule="auto"/>
        <w:rPr>
          <w:rFonts w:eastAsiaTheme="minorHAnsi" w:cstheme="minorBidi"/>
          <w:szCs w:val="24"/>
          <w:lang w:eastAsia="en-US"/>
        </w:rPr>
      </w:pPr>
      <w:r w:rsidRPr="00FC14FD">
        <w:rPr>
          <w:rFonts w:eastAsiaTheme="minorHAnsi" w:cstheme="minorBidi"/>
          <w:szCs w:val="24"/>
          <w:lang w:eastAsia="en-US"/>
        </w:rPr>
        <w:t>establishing elements involving joint coordinated planning and, where appropriate, collaborative commissioning of services between PHNs and Local Hospital Networks</w:t>
      </w:r>
      <w:r w:rsidR="00CD1BAB">
        <w:rPr>
          <w:rFonts w:eastAsiaTheme="minorHAnsi" w:cstheme="minorBidi"/>
          <w:szCs w:val="24"/>
          <w:lang w:eastAsia="en-US"/>
        </w:rPr>
        <w:t xml:space="preserve"> (LHNs)</w:t>
      </w:r>
      <w:r w:rsidRPr="00FC14FD">
        <w:rPr>
          <w:rFonts w:eastAsiaTheme="minorHAnsi" w:cstheme="minorBidi"/>
          <w:szCs w:val="24"/>
          <w:lang w:eastAsia="en-US"/>
        </w:rPr>
        <w:t>;</w:t>
      </w:r>
    </w:p>
    <w:p w:rsidR="001905B8" w:rsidRPr="00FC14FD" w:rsidRDefault="001905B8" w:rsidP="001905B8">
      <w:pPr>
        <w:pStyle w:val="ListParagraph"/>
        <w:numPr>
          <w:ilvl w:val="1"/>
          <w:numId w:val="6"/>
        </w:numPr>
        <w:spacing w:before="40" w:line="276" w:lineRule="auto"/>
        <w:rPr>
          <w:rFonts w:eastAsiaTheme="minorHAnsi" w:cstheme="minorBidi"/>
          <w:szCs w:val="24"/>
          <w:lang w:eastAsia="en-US"/>
        </w:rPr>
      </w:pPr>
      <w:r w:rsidRPr="00FC14FD">
        <w:rPr>
          <w:rFonts w:eastAsiaTheme="minorHAnsi" w:cstheme="minorBidi"/>
          <w:szCs w:val="24"/>
          <w:lang w:eastAsia="en-US"/>
        </w:rPr>
        <w:t>identifying and implementing arrangements for the sharing of patient information, with patient consent, including relevant hospitalisation</w:t>
      </w:r>
      <w:r w:rsidR="006466F2">
        <w:rPr>
          <w:rFonts w:eastAsiaTheme="minorHAnsi" w:cstheme="minorBidi"/>
          <w:szCs w:val="24"/>
          <w:lang w:eastAsia="en-US"/>
        </w:rPr>
        <w:t>, MBS and PBS</w:t>
      </w:r>
      <w:r w:rsidRPr="00FC14FD">
        <w:rPr>
          <w:rFonts w:eastAsiaTheme="minorHAnsi" w:cstheme="minorBidi"/>
          <w:szCs w:val="24"/>
          <w:lang w:eastAsia="en-US"/>
        </w:rPr>
        <w:t xml:space="preserve"> data; </w:t>
      </w:r>
    </w:p>
    <w:p w:rsidR="001905B8" w:rsidRPr="00FC14FD" w:rsidRDefault="001905B8" w:rsidP="001905B8">
      <w:pPr>
        <w:pStyle w:val="ListParagraph"/>
        <w:numPr>
          <w:ilvl w:val="1"/>
          <w:numId w:val="6"/>
        </w:numPr>
        <w:spacing w:before="40" w:line="276" w:lineRule="auto"/>
        <w:rPr>
          <w:rFonts w:eastAsiaTheme="minorHAnsi" w:cstheme="minorBidi"/>
          <w:szCs w:val="24"/>
          <w:lang w:eastAsia="en-US"/>
        </w:rPr>
      </w:pPr>
      <w:r w:rsidRPr="00FC14FD">
        <w:rPr>
          <w:rFonts w:eastAsiaTheme="minorHAnsi" w:cstheme="minorBidi"/>
          <w:szCs w:val="24"/>
          <w:lang w:eastAsia="en-US"/>
        </w:rPr>
        <w:t>educating relevant state funded health service providers to work with Health Care Homes pilots in participating regions; and</w:t>
      </w:r>
    </w:p>
    <w:p w:rsidR="001905B8" w:rsidRPr="00FC14FD" w:rsidRDefault="001905B8" w:rsidP="001905B8">
      <w:pPr>
        <w:pStyle w:val="ListParagraph"/>
        <w:numPr>
          <w:ilvl w:val="1"/>
          <w:numId w:val="6"/>
        </w:numPr>
        <w:spacing w:before="40" w:line="276" w:lineRule="auto"/>
        <w:rPr>
          <w:rFonts w:eastAsiaTheme="minorHAnsi" w:cstheme="minorBidi"/>
          <w:szCs w:val="24"/>
          <w:lang w:eastAsia="en-US"/>
        </w:rPr>
      </w:pPr>
      <w:proofErr w:type="gramStart"/>
      <w:r w:rsidRPr="00FC14FD">
        <w:rPr>
          <w:rFonts w:eastAsiaTheme="minorHAnsi" w:cstheme="minorBidi"/>
          <w:szCs w:val="24"/>
          <w:lang w:eastAsia="en-US"/>
        </w:rPr>
        <w:t>where</w:t>
      </w:r>
      <w:proofErr w:type="gramEnd"/>
      <w:r w:rsidRPr="00FC14FD">
        <w:rPr>
          <w:rFonts w:eastAsiaTheme="minorHAnsi" w:cstheme="minorBidi"/>
          <w:szCs w:val="24"/>
          <w:lang w:eastAsia="en-US"/>
        </w:rPr>
        <w:t xml:space="preserve"> feasible, implement </w:t>
      </w:r>
      <w:r w:rsidR="006466F2">
        <w:rPr>
          <w:rFonts w:eastAsiaTheme="minorHAnsi" w:cstheme="minorBidi"/>
          <w:szCs w:val="24"/>
          <w:lang w:eastAsia="en-US"/>
        </w:rPr>
        <w:t>collaborative, joint and/or pooled funding</w:t>
      </w:r>
      <w:r w:rsidRPr="00FC14FD">
        <w:rPr>
          <w:rFonts w:eastAsiaTheme="minorHAnsi" w:cstheme="minorBidi"/>
          <w:szCs w:val="24"/>
          <w:lang w:eastAsia="en-US"/>
        </w:rPr>
        <w:t xml:space="preserve"> arrangements across specified funding programmes at the </w:t>
      </w:r>
      <w:r w:rsidR="006466F2">
        <w:rPr>
          <w:rFonts w:eastAsiaTheme="minorHAnsi" w:cstheme="minorBidi"/>
          <w:szCs w:val="24"/>
          <w:lang w:eastAsia="en-US"/>
        </w:rPr>
        <w:t>local level, including PHNs/LHNs</w:t>
      </w:r>
      <w:r w:rsidRPr="00FC14FD">
        <w:rPr>
          <w:rFonts w:eastAsiaTheme="minorHAnsi" w:cstheme="minorBidi"/>
          <w:szCs w:val="24"/>
          <w:lang w:eastAsia="en-US"/>
        </w:rPr>
        <w:t xml:space="preserve"> to support better coordination of care for specific patients at risk of avoidable admission.</w:t>
      </w:r>
    </w:p>
    <w:p w:rsidR="001905B8" w:rsidRPr="00FC14FD" w:rsidRDefault="001905B8" w:rsidP="001905B8">
      <w:pPr>
        <w:pStyle w:val="ListParagraph"/>
        <w:numPr>
          <w:ilvl w:val="0"/>
          <w:numId w:val="3"/>
        </w:numPr>
        <w:spacing w:before="40" w:line="276" w:lineRule="auto"/>
        <w:ind w:left="360" w:hanging="360"/>
        <w:rPr>
          <w:rFonts w:eastAsiaTheme="minorHAnsi" w:cstheme="minorBidi"/>
          <w:szCs w:val="24"/>
          <w:lang w:eastAsia="en-US"/>
        </w:rPr>
      </w:pPr>
      <w:r w:rsidRPr="00FC14FD">
        <w:rPr>
          <w:rFonts w:eastAsiaTheme="minorHAnsi" w:cstheme="minorBidi"/>
          <w:szCs w:val="24"/>
          <w:lang w:eastAsia="en-US"/>
        </w:rPr>
        <w:lastRenderedPageBreak/>
        <w:t xml:space="preserve">Beyond the selected regions, States </w:t>
      </w:r>
      <w:r w:rsidR="006466F2">
        <w:rPr>
          <w:rFonts w:eastAsiaTheme="minorHAnsi" w:cstheme="minorBidi"/>
          <w:szCs w:val="24"/>
          <w:lang w:eastAsia="en-US"/>
        </w:rPr>
        <w:t xml:space="preserve">and Commonwealth </w:t>
      </w:r>
      <w:r w:rsidRPr="00FC14FD">
        <w:rPr>
          <w:rFonts w:eastAsiaTheme="minorHAnsi" w:cstheme="minorBidi"/>
          <w:szCs w:val="24"/>
          <w:lang w:eastAsia="en-US"/>
        </w:rPr>
        <w:t>agree to continue to support efforts to deliver better outcomes for patients with chronic and complex conditions,</w:t>
      </w:r>
      <w:r w:rsidR="006466F2">
        <w:rPr>
          <w:rFonts w:eastAsiaTheme="minorHAnsi" w:cstheme="minorBidi"/>
          <w:szCs w:val="24"/>
          <w:lang w:eastAsia="en-US"/>
        </w:rPr>
        <w:t xml:space="preserve"> acknowledging the significant investment Commonwealth and states already make in this area</w:t>
      </w:r>
      <w:r w:rsidRPr="00FC14FD">
        <w:rPr>
          <w:rFonts w:eastAsiaTheme="minorHAnsi" w:cstheme="minorBidi"/>
          <w:szCs w:val="24"/>
          <w:lang w:eastAsia="en-US"/>
        </w:rPr>
        <w:t xml:space="preserve">.  </w:t>
      </w:r>
    </w:p>
    <w:p w:rsidR="001905B8" w:rsidRPr="00FC14FD" w:rsidRDefault="001905B8" w:rsidP="001905B8">
      <w:pPr>
        <w:pStyle w:val="ListParagraph"/>
        <w:numPr>
          <w:ilvl w:val="0"/>
          <w:numId w:val="3"/>
        </w:numPr>
        <w:spacing w:before="40" w:line="276" w:lineRule="auto"/>
        <w:ind w:left="360" w:hanging="360"/>
        <w:rPr>
          <w:rFonts w:eastAsiaTheme="minorHAnsi" w:cstheme="minorBidi"/>
          <w:szCs w:val="24"/>
          <w:lang w:eastAsia="en-US"/>
        </w:rPr>
      </w:pPr>
      <w:r w:rsidRPr="00FC14FD">
        <w:rPr>
          <w:rFonts w:eastAsiaTheme="minorHAnsi" w:cstheme="minorBidi"/>
          <w:szCs w:val="24"/>
          <w:lang w:eastAsia="en-US"/>
        </w:rPr>
        <w:t xml:space="preserve">Initial work will focus on critical </w:t>
      </w:r>
      <w:r w:rsidR="006466F2">
        <w:rPr>
          <w:rFonts w:eastAsiaTheme="minorHAnsi" w:cstheme="minorBidi"/>
          <w:szCs w:val="24"/>
          <w:lang w:eastAsia="en-US"/>
        </w:rPr>
        <w:t xml:space="preserve">enabling </w:t>
      </w:r>
      <w:r w:rsidRPr="00FC14FD">
        <w:rPr>
          <w:rFonts w:eastAsiaTheme="minorHAnsi" w:cstheme="minorBidi"/>
          <w:szCs w:val="24"/>
          <w:lang w:eastAsia="en-US"/>
        </w:rPr>
        <w:t xml:space="preserve">infrastructure and governance arrangements required to support reforms, including any ICT, and data systems. Implementation will be staged.  </w:t>
      </w:r>
    </w:p>
    <w:p w:rsidR="001905B8" w:rsidRPr="00FC14FD" w:rsidRDefault="001905B8" w:rsidP="001905B8">
      <w:pPr>
        <w:pStyle w:val="ListParagraph"/>
        <w:numPr>
          <w:ilvl w:val="0"/>
          <w:numId w:val="3"/>
        </w:numPr>
        <w:spacing w:before="40" w:line="276" w:lineRule="auto"/>
        <w:ind w:left="360" w:hanging="360"/>
        <w:rPr>
          <w:rFonts w:eastAsiaTheme="minorHAnsi" w:cstheme="minorBidi"/>
          <w:szCs w:val="24"/>
          <w:lang w:eastAsia="en-US"/>
        </w:rPr>
      </w:pPr>
      <w:r w:rsidRPr="00FC14FD">
        <w:rPr>
          <w:rFonts w:eastAsiaTheme="minorHAnsi" w:cstheme="minorBidi"/>
          <w:szCs w:val="24"/>
          <w:lang w:eastAsia="en-US"/>
        </w:rPr>
        <w:t xml:space="preserve">The results of this first stage will be comprehensively evaluated and brought back to COAG, through the COAG Health Council, in 2018 for further consideration of a joint national approach to enhanced care coordination for patients with chronic and complex conditions, which may include collaborative, joint and or pooled funding arrangements.  </w:t>
      </w:r>
    </w:p>
    <w:p w:rsidR="001905B8" w:rsidRDefault="001905B8" w:rsidP="00B677BC">
      <w:pPr>
        <w:pStyle w:val="Heading2"/>
        <w:rPr>
          <w:rFonts w:eastAsiaTheme="majorEastAsia"/>
          <w:lang w:eastAsia="en-US"/>
        </w:rPr>
      </w:pPr>
      <w:r>
        <w:rPr>
          <w:rFonts w:eastAsiaTheme="majorEastAsia"/>
          <w:lang w:eastAsia="en-US"/>
        </w:rPr>
        <w:t xml:space="preserve">Pricing for quality and safety </w:t>
      </w:r>
    </w:p>
    <w:p w:rsidR="001905B8" w:rsidRPr="00FC14FD" w:rsidRDefault="001905B8" w:rsidP="001905B8">
      <w:pPr>
        <w:pStyle w:val="ListParagraph"/>
        <w:numPr>
          <w:ilvl w:val="0"/>
          <w:numId w:val="3"/>
        </w:numPr>
        <w:spacing w:before="40" w:line="276" w:lineRule="auto"/>
        <w:ind w:left="360" w:hanging="360"/>
        <w:rPr>
          <w:rFonts w:eastAsiaTheme="minorHAnsi" w:cstheme="minorBidi"/>
          <w:szCs w:val="24"/>
          <w:lang w:eastAsia="en-US"/>
        </w:rPr>
      </w:pPr>
      <w:r w:rsidRPr="00FC14FD">
        <w:rPr>
          <w:rFonts w:eastAsiaTheme="minorHAnsi" w:cstheme="minorBidi"/>
          <w:szCs w:val="24"/>
          <w:lang w:eastAsia="en-US"/>
        </w:rPr>
        <w:t>While most health care in Australia is associated with good clinical outcomes, preventable adverse events or complications continue to occur across the health system. By reducing hospital acquired complications, there is potential to not only improve patient safety, but also achieve efficiencies.</w:t>
      </w:r>
    </w:p>
    <w:p w:rsidR="001905B8" w:rsidRPr="00FC14FD" w:rsidRDefault="001905B8" w:rsidP="001905B8">
      <w:pPr>
        <w:pStyle w:val="ListParagraph"/>
        <w:numPr>
          <w:ilvl w:val="0"/>
          <w:numId w:val="3"/>
        </w:numPr>
        <w:spacing w:before="40" w:line="276" w:lineRule="auto"/>
        <w:ind w:left="360" w:hanging="360"/>
        <w:rPr>
          <w:rFonts w:eastAsiaTheme="minorHAnsi" w:cstheme="minorBidi"/>
          <w:szCs w:val="24"/>
          <w:lang w:eastAsia="en-US"/>
        </w:rPr>
      </w:pPr>
      <w:r w:rsidRPr="00FC14FD">
        <w:rPr>
          <w:rFonts w:eastAsiaTheme="minorHAnsi" w:cstheme="minorBidi"/>
          <w:szCs w:val="24"/>
          <w:lang w:eastAsia="en-US"/>
        </w:rPr>
        <w:t xml:space="preserve">The Parties, in conjunction with the Australian Commission on Safety and Quality in Health Care (ACSQHC) and the IHPA, will develop a </w:t>
      </w:r>
      <w:r w:rsidR="006466F2">
        <w:rPr>
          <w:rFonts w:eastAsiaTheme="minorHAnsi" w:cstheme="minorBidi"/>
          <w:szCs w:val="24"/>
          <w:lang w:eastAsia="en-US"/>
        </w:rPr>
        <w:t xml:space="preserve">comprehensive and risk-adjusted </w:t>
      </w:r>
      <w:r w:rsidRPr="00FC14FD">
        <w:rPr>
          <w:rFonts w:eastAsiaTheme="minorHAnsi" w:cstheme="minorBidi"/>
          <w:szCs w:val="24"/>
          <w:lang w:eastAsia="en-US"/>
        </w:rPr>
        <w:t>model to integrate quality and safety into hospital pricing</w:t>
      </w:r>
      <w:r w:rsidR="006466F2">
        <w:rPr>
          <w:rFonts w:eastAsiaTheme="minorHAnsi" w:cstheme="minorBidi"/>
          <w:szCs w:val="24"/>
          <w:lang w:eastAsia="en-US"/>
        </w:rPr>
        <w:t xml:space="preserve"> and funding</w:t>
      </w:r>
      <w:r w:rsidRPr="00FC14FD">
        <w:rPr>
          <w:rFonts w:eastAsiaTheme="minorHAnsi" w:cstheme="minorBidi"/>
          <w:szCs w:val="24"/>
          <w:lang w:eastAsia="en-US"/>
        </w:rPr>
        <w:t>.</w:t>
      </w:r>
    </w:p>
    <w:p w:rsidR="001905B8" w:rsidRDefault="001905B8" w:rsidP="001905B8">
      <w:pPr>
        <w:pStyle w:val="ListParagraph"/>
        <w:numPr>
          <w:ilvl w:val="1"/>
          <w:numId w:val="7"/>
        </w:numPr>
        <w:spacing w:before="40" w:line="276" w:lineRule="auto"/>
        <w:rPr>
          <w:rFonts w:eastAsiaTheme="minorHAnsi" w:cstheme="minorBidi"/>
          <w:szCs w:val="24"/>
          <w:lang w:eastAsia="en-US"/>
        </w:rPr>
      </w:pPr>
      <w:r w:rsidRPr="00FC14FD">
        <w:rPr>
          <w:rFonts w:eastAsiaTheme="minorHAnsi" w:cstheme="minorBidi"/>
          <w:szCs w:val="24"/>
          <w:lang w:eastAsia="en-US"/>
        </w:rPr>
        <w:t xml:space="preserve">The model will determine </w:t>
      </w:r>
      <w:r w:rsidR="008201E1">
        <w:rPr>
          <w:rFonts w:eastAsiaTheme="minorHAnsi" w:cstheme="minorBidi"/>
          <w:szCs w:val="24"/>
          <w:lang w:eastAsia="en-US"/>
        </w:rPr>
        <w:t xml:space="preserve">how funding and pricing can be used to improve patient outcomes and reduce the </w:t>
      </w:r>
      <w:r w:rsidRPr="00FC14FD">
        <w:rPr>
          <w:rFonts w:eastAsiaTheme="minorHAnsi" w:cstheme="minorBidi"/>
          <w:szCs w:val="24"/>
          <w:lang w:eastAsia="en-US"/>
        </w:rPr>
        <w:t>amount that should be paid for specified adverse events, ineffective interventions, or p</w:t>
      </w:r>
      <w:r>
        <w:rPr>
          <w:rFonts w:eastAsiaTheme="minorHAnsi" w:cstheme="minorBidi"/>
          <w:szCs w:val="24"/>
          <w:lang w:eastAsia="en-US"/>
        </w:rPr>
        <w:t xml:space="preserve">rocedures known to be harmful. </w:t>
      </w:r>
    </w:p>
    <w:p w:rsidR="001905B8" w:rsidRPr="00FC14FD" w:rsidRDefault="001905B8" w:rsidP="001905B8">
      <w:pPr>
        <w:pStyle w:val="ListParagraph"/>
        <w:numPr>
          <w:ilvl w:val="1"/>
          <w:numId w:val="7"/>
        </w:numPr>
        <w:spacing w:before="40" w:line="276" w:lineRule="auto"/>
        <w:rPr>
          <w:rFonts w:eastAsiaTheme="minorHAnsi" w:cstheme="minorBidi"/>
          <w:szCs w:val="24"/>
          <w:lang w:eastAsia="en-US"/>
        </w:rPr>
      </w:pPr>
      <w:r w:rsidRPr="00FC14FD">
        <w:rPr>
          <w:rFonts w:eastAsiaTheme="minorHAnsi" w:cstheme="minorBidi"/>
          <w:szCs w:val="24"/>
          <w:lang w:eastAsia="en-US"/>
        </w:rPr>
        <w:t>This could include an adjustment to the amount the Commonwealth contributes to public hospitals for a set of agreed hospital acquired conditions.</w:t>
      </w:r>
      <w:r w:rsidR="006466F2">
        <w:rPr>
          <w:rFonts w:eastAsiaTheme="minorHAnsi" w:cstheme="minorBidi"/>
          <w:szCs w:val="24"/>
          <w:lang w:eastAsia="en-US"/>
        </w:rPr>
        <w:t xml:space="preserve"> Any downward adjustment to an individual state would not be deducted from the available pool of funding under the </w:t>
      </w:r>
      <w:r w:rsidR="00025A9B">
        <w:rPr>
          <w:rFonts w:eastAsiaTheme="minorHAnsi" w:cstheme="minorBidi"/>
          <w:szCs w:val="24"/>
          <w:lang w:eastAsia="en-US"/>
        </w:rPr>
        <w:t xml:space="preserve">overall </w:t>
      </w:r>
      <w:r w:rsidR="006466F2">
        <w:rPr>
          <w:rFonts w:eastAsiaTheme="minorHAnsi" w:cstheme="minorBidi"/>
          <w:szCs w:val="24"/>
          <w:lang w:eastAsia="en-US"/>
        </w:rPr>
        <w:t>cap</w:t>
      </w:r>
      <w:r w:rsidR="00025A9B">
        <w:rPr>
          <w:rFonts w:eastAsiaTheme="minorHAnsi" w:cstheme="minorBidi"/>
          <w:szCs w:val="24"/>
          <w:lang w:eastAsia="en-US"/>
        </w:rPr>
        <w:t xml:space="preserve"> of 6.5 per cent</w:t>
      </w:r>
      <w:r w:rsidR="006466F2">
        <w:rPr>
          <w:rFonts w:eastAsiaTheme="minorHAnsi" w:cstheme="minorBidi"/>
          <w:szCs w:val="24"/>
          <w:lang w:eastAsia="en-US"/>
        </w:rPr>
        <w:t>.</w:t>
      </w:r>
    </w:p>
    <w:p w:rsidR="001905B8" w:rsidRPr="00FC14FD" w:rsidRDefault="001905B8" w:rsidP="001905B8">
      <w:pPr>
        <w:pStyle w:val="ListParagraph"/>
        <w:numPr>
          <w:ilvl w:val="0"/>
          <w:numId w:val="3"/>
        </w:numPr>
        <w:spacing w:before="40" w:line="276" w:lineRule="auto"/>
        <w:ind w:left="360" w:hanging="360"/>
        <w:rPr>
          <w:rFonts w:eastAsiaTheme="minorHAnsi" w:cstheme="minorBidi"/>
          <w:szCs w:val="24"/>
          <w:lang w:eastAsia="en-US"/>
        </w:rPr>
      </w:pPr>
      <w:r w:rsidRPr="00FC14FD">
        <w:rPr>
          <w:rFonts w:eastAsiaTheme="minorHAnsi" w:cstheme="minorBidi"/>
          <w:szCs w:val="24"/>
          <w:lang w:eastAsia="en-US"/>
        </w:rPr>
        <w:t>The Parties agree to develop the model for implementation by 1 July 2017.</w:t>
      </w:r>
      <w:r w:rsidR="006466F2">
        <w:rPr>
          <w:rFonts w:eastAsiaTheme="minorHAnsi" w:cstheme="minorBidi"/>
          <w:szCs w:val="24"/>
          <w:lang w:eastAsia="en-US"/>
        </w:rPr>
        <w:t xml:space="preserve"> </w:t>
      </w:r>
    </w:p>
    <w:p w:rsidR="001905B8" w:rsidRDefault="001905B8" w:rsidP="00B677BC">
      <w:pPr>
        <w:pStyle w:val="Heading2"/>
        <w:rPr>
          <w:rFonts w:eastAsiaTheme="majorEastAsia"/>
          <w:lang w:eastAsia="en-US"/>
        </w:rPr>
      </w:pPr>
      <w:r>
        <w:rPr>
          <w:rFonts w:eastAsiaTheme="majorEastAsia"/>
          <w:lang w:eastAsia="en-US"/>
        </w:rPr>
        <w:t>Reducing avoidable readmissions:</w:t>
      </w:r>
    </w:p>
    <w:p w:rsidR="001905B8" w:rsidRPr="007B5487" w:rsidRDefault="0000788D" w:rsidP="001905B8">
      <w:pPr>
        <w:pStyle w:val="ListParagraph"/>
        <w:numPr>
          <w:ilvl w:val="0"/>
          <w:numId w:val="3"/>
        </w:numPr>
        <w:spacing w:before="40" w:line="276" w:lineRule="auto"/>
        <w:ind w:left="360" w:hanging="360"/>
        <w:rPr>
          <w:rFonts w:eastAsiaTheme="minorHAnsi" w:cstheme="minorBidi"/>
          <w:szCs w:val="24"/>
          <w:lang w:eastAsia="en-US"/>
        </w:rPr>
      </w:pPr>
      <w:r w:rsidRPr="007B5487">
        <w:rPr>
          <w:rFonts w:eastAsiaTheme="minorHAnsi" w:cstheme="minorBidi"/>
          <w:szCs w:val="24"/>
          <w:lang w:eastAsia="en-US"/>
        </w:rPr>
        <w:t>The Parties agree to work together to reduce avoidable readmissions</w:t>
      </w:r>
      <w:r w:rsidRPr="007B5487" w:rsidDel="0000788D">
        <w:rPr>
          <w:rFonts w:eastAsiaTheme="minorHAnsi" w:cstheme="minorBidi"/>
          <w:szCs w:val="24"/>
          <w:lang w:eastAsia="en-US"/>
        </w:rPr>
        <w:t xml:space="preserve"> </w:t>
      </w:r>
      <w:r w:rsidR="001905B8" w:rsidRPr="007B5487">
        <w:rPr>
          <w:rFonts w:eastAsiaTheme="minorHAnsi" w:cstheme="minorBidi"/>
          <w:szCs w:val="24"/>
          <w:lang w:eastAsia="en-US"/>
        </w:rPr>
        <w:t xml:space="preserve">to hospital within 28 days of discharge, with a particular focus on </w:t>
      </w:r>
      <w:r w:rsidRPr="007B5487">
        <w:rPr>
          <w:rFonts w:eastAsiaTheme="minorHAnsi" w:cstheme="minorBidi"/>
          <w:szCs w:val="24"/>
          <w:lang w:eastAsia="en-US"/>
        </w:rPr>
        <w:t xml:space="preserve">avoidable </w:t>
      </w:r>
      <w:r w:rsidR="001905B8" w:rsidRPr="007B5487">
        <w:rPr>
          <w:rFonts w:eastAsiaTheme="minorHAnsi" w:cstheme="minorBidi"/>
          <w:szCs w:val="24"/>
          <w:lang w:eastAsia="en-US"/>
        </w:rPr>
        <w:t xml:space="preserve">readmissions within 5 days of discharge, for conditions arising from complications of the management of the original condition that were the reason for the patient’s original hospital stay. </w:t>
      </w:r>
    </w:p>
    <w:p w:rsidR="001905B8" w:rsidRPr="007B5487" w:rsidRDefault="001905B8" w:rsidP="001905B8">
      <w:pPr>
        <w:pStyle w:val="ListParagraph"/>
        <w:numPr>
          <w:ilvl w:val="0"/>
          <w:numId w:val="3"/>
        </w:numPr>
        <w:spacing w:before="40" w:line="276" w:lineRule="auto"/>
        <w:ind w:left="360" w:hanging="360"/>
        <w:rPr>
          <w:rFonts w:eastAsiaTheme="minorHAnsi" w:cstheme="minorBidi"/>
          <w:szCs w:val="24"/>
          <w:lang w:eastAsia="en-US"/>
        </w:rPr>
      </w:pPr>
      <w:r w:rsidRPr="007B5487">
        <w:rPr>
          <w:rFonts w:eastAsiaTheme="minorHAnsi" w:cstheme="minorBidi"/>
          <w:szCs w:val="24"/>
          <w:lang w:eastAsia="en-US"/>
        </w:rPr>
        <w:t xml:space="preserve">The Parties, in conjunction with the ACSQHC and the IHPA, will develop a </w:t>
      </w:r>
      <w:r w:rsidR="006466F2" w:rsidRPr="007B5487">
        <w:rPr>
          <w:rFonts w:eastAsiaTheme="minorHAnsi" w:cstheme="minorBidi"/>
          <w:szCs w:val="24"/>
          <w:lang w:eastAsia="en-US"/>
        </w:rPr>
        <w:t xml:space="preserve">comprehensive and risk-adjusted </w:t>
      </w:r>
      <w:r w:rsidRPr="007B5487">
        <w:rPr>
          <w:rFonts w:eastAsiaTheme="minorHAnsi" w:cstheme="minorBidi"/>
          <w:szCs w:val="24"/>
          <w:lang w:eastAsia="en-US"/>
        </w:rPr>
        <w:t xml:space="preserve">strategy and funding model that will adjust the funding to hospitals that exceed a predetermined </w:t>
      </w:r>
      <w:r w:rsidR="0000788D" w:rsidRPr="007B5487">
        <w:rPr>
          <w:rFonts w:eastAsiaTheme="minorHAnsi" w:cstheme="minorBidi"/>
          <w:szCs w:val="24"/>
          <w:lang w:eastAsia="en-US"/>
        </w:rPr>
        <w:t xml:space="preserve">avoidable </w:t>
      </w:r>
      <w:r w:rsidRPr="007B5487">
        <w:rPr>
          <w:rFonts w:eastAsiaTheme="minorHAnsi" w:cstheme="minorBidi"/>
          <w:szCs w:val="24"/>
          <w:lang w:eastAsia="en-US"/>
        </w:rPr>
        <w:t>readmission rate for agreed conditions and the circumstances in which they occur by 1 July 2017.</w:t>
      </w:r>
    </w:p>
    <w:p w:rsidR="00DC5767" w:rsidRPr="00994955" w:rsidRDefault="004D0B35" w:rsidP="00B677BC">
      <w:pPr>
        <w:pStyle w:val="Heading2"/>
        <w:rPr>
          <w:rFonts w:eastAsiaTheme="majorEastAsia"/>
          <w:lang w:eastAsia="en-US"/>
        </w:rPr>
      </w:pPr>
      <w:r>
        <w:rPr>
          <w:rFonts w:eastAsiaTheme="majorEastAsia"/>
          <w:lang w:eastAsia="en-US"/>
        </w:rPr>
        <w:lastRenderedPageBreak/>
        <w:t>Commonwealth reforms to primary care</w:t>
      </w:r>
    </w:p>
    <w:p w:rsidR="00D660F2" w:rsidRPr="007B5487" w:rsidRDefault="00D660F2" w:rsidP="00D660F2">
      <w:pPr>
        <w:pStyle w:val="ListParagraph"/>
        <w:numPr>
          <w:ilvl w:val="0"/>
          <w:numId w:val="3"/>
        </w:numPr>
        <w:spacing w:before="40" w:line="276" w:lineRule="auto"/>
        <w:ind w:left="360" w:hanging="360"/>
        <w:rPr>
          <w:rFonts w:eastAsiaTheme="minorHAnsi" w:cstheme="minorBidi"/>
          <w:szCs w:val="24"/>
          <w:lang w:eastAsia="en-US"/>
        </w:rPr>
      </w:pPr>
      <w:r w:rsidRPr="007B5487">
        <w:rPr>
          <w:rFonts w:eastAsiaTheme="minorHAnsi" w:cstheme="minorBidi"/>
          <w:szCs w:val="24"/>
          <w:lang w:eastAsia="en-US"/>
        </w:rPr>
        <w:t>The Commonwealth will continue to invest in programmes designed to minimise the impact of potentially preventable hospital admissions arising from shortcomings in  areas within its own direct policy control including:</w:t>
      </w:r>
    </w:p>
    <w:p w:rsidR="00D660F2" w:rsidRPr="00D660F2" w:rsidRDefault="007B5487" w:rsidP="00D660F2">
      <w:pPr>
        <w:pStyle w:val="ListParagraph"/>
        <w:numPr>
          <w:ilvl w:val="1"/>
          <w:numId w:val="9"/>
        </w:numPr>
        <w:spacing w:before="40" w:line="276" w:lineRule="auto"/>
        <w:rPr>
          <w:rFonts w:eastAsiaTheme="minorHAnsi" w:cstheme="minorBidi"/>
          <w:szCs w:val="24"/>
          <w:lang w:eastAsia="en-US"/>
        </w:rPr>
      </w:pPr>
      <w:r>
        <w:rPr>
          <w:rFonts w:eastAsiaTheme="minorHAnsi" w:cstheme="minorBidi"/>
          <w:szCs w:val="24"/>
          <w:lang w:eastAsia="en-US"/>
        </w:rPr>
        <w:t>i</w:t>
      </w:r>
      <w:r w:rsidR="00D660F2" w:rsidRPr="00D660F2">
        <w:rPr>
          <w:rFonts w:eastAsiaTheme="minorHAnsi" w:cstheme="minorBidi"/>
          <w:szCs w:val="24"/>
          <w:lang w:eastAsia="en-US"/>
        </w:rPr>
        <w:t>ntegrating the planning , co-ordination and commissioning of services at a regional level through PHNs, with  a specific focus on the interface between primary health care, and hospital services</w:t>
      </w:r>
      <w:r w:rsidR="00D660F2">
        <w:rPr>
          <w:rFonts w:eastAsiaTheme="minorHAnsi" w:cstheme="minorBidi"/>
          <w:szCs w:val="24"/>
          <w:lang w:eastAsia="en-US"/>
        </w:rPr>
        <w:t>;</w:t>
      </w:r>
      <w:r w:rsidR="00D660F2" w:rsidRPr="00D660F2">
        <w:rPr>
          <w:rFonts w:eastAsiaTheme="minorHAnsi" w:cstheme="minorBidi"/>
          <w:szCs w:val="24"/>
          <w:lang w:eastAsia="en-US"/>
        </w:rPr>
        <w:t xml:space="preserve"> </w:t>
      </w:r>
    </w:p>
    <w:p w:rsidR="00D660F2" w:rsidRPr="00D660F2" w:rsidRDefault="007B5487" w:rsidP="00D660F2">
      <w:pPr>
        <w:pStyle w:val="ListParagraph"/>
        <w:numPr>
          <w:ilvl w:val="1"/>
          <w:numId w:val="9"/>
        </w:numPr>
        <w:spacing w:before="40" w:line="276" w:lineRule="auto"/>
        <w:rPr>
          <w:rFonts w:eastAsiaTheme="minorHAnsi" w:cstheme="minorBidi"/>
          <w:szCs w:val="24"/>
          <w:lang w:eastAsia="en-US"/>
        </w:rPr>
      </w:pPr>
      <w:r>
        <w:rPr>
          <w:rFonts w:eastAsiaTheme="minorHAnsi" w:cstheme="minorBidi"/>
          <w:szCs w:val="24"/>
          <w:lang w:eastAsia="en-US"/>
        </w:rPr>
        <w:t>i</w:t>
      </w:r>
      <w:r w:rsidR="00D660F2" w:rsidRPr="00D660F2">
        <w:rPr>
          <w:rFonts w:eastAsiaTheme="minorHAnsi" w:cstheme="minorBidi"/>
          <w:szCs w:val="24"/>
          <w:lang w:eastAsia="en-US"/>
        </w:rPr>
        <w:t xml:space="preserve">nvestments in national implementation of  co-ordination of  care models for person with complex , chronic conditions, including Health Care Homes, and flexible funding model to better support persons with severe mental health conditions, consistent with the November 2015 response to the National Mental Health Commission Report </w:t>
      </w:r>
      <w:r w:rsidR="00D660F2">
        <w:rPr>
          <w:rFonts w:eastAsiaTheme="minorHAnsi" w:cstheme="minorBidi"/>
          <w:szCs w:val="24"/>
          <w:lang w:eastAsia="en-US"/>
        </w:rPr>
        <w:t xml:space="preserve">- </w:t>
      </w:r>
      <w:r w:rsidR="00D660F2">
        <w:rPr>
          <w:rStyle w:val="Emphasis"/>
          <w:lang w:val="en"/>
        </w:rPr>
        <w:t>Contributing Lives, Thriving Communities</w:t>
      </w:r>
      <w:r w:rsidR="00D660F2">
        <w:rPr>
          <w:rFonts w:eastAsiaTheme="minorHAnsi" w:cstheme="minorBidi"/>
          <w:szCs w:val="24"/>
          <w:lang w:eastAsia="en-US"/>
        </w:rPr>
        <w:t>;</w:t>
      </w:r>
    </w:p>
    <w:p w:rsidR="00D660F2" w:rsidRPr="00D660F2" w:rsidRDefault="007B5487" w:rsidP="00D660F2">
      <w:pPr>
        <w:pStyle w:val="ListParagraph"/>
        <w:numPr>
          <w:ilvl w:val="1"/>
          <w:numId w:val="9"/>
        </w:numPr>
        <w:spacing w:before="40" w:line="276" w:lineRule="auto"/>
        <w:rPr>
          <w:rFonts w:eastAsiaTheme="minorHAnsi" w:cstheme="minorBidi"/>
          <w:szCs w:val="24"/>
          <w:lang w:eastAsia="en-US"/>
        </w:rPr>
      </w:pPr>
      <w:r>
        <w:rPr>
          <w:rFonts w:eastAsiaTheme="minorHAnsi" w:cstheme="minorBidi"/>
          <w:szCs w:val="24"/>
          <w:lang w:eastAsia="en-US"/>
        </w:rPr>
        <w:t>a</w:t>
      </w:r>
      <w:r w:rsidR="00D660F2" w:rsidRPr="00D660F2">
        <w:rPr>
          <w:rFonts w:eastAsiaTheme="minorHAnsi" w:cstheme="minorBidi"/>
          <w:szCs w:val="24"/>
          <w:lang w:eastAsia="en-US"/>
        </w:rPr>
        <w:t>ccelerating national rollout of My Health Records with legislative change to enable opt out provisions, with ongoing patient safety and efficiency benefits</w:t>
      </w:r>
      <w:r w:rsidR="00D660F2">
        <w:rPr>
          <w:rFonts w:eastAsiaTheme="minorHAnsi" w:cstheme="minorBidi"/>
          <w:szCs w:val="24"/>
          <w:lang w:eastAsia="en-US"/>
        </w:rPr>
        <w:t xml:space="preserve">; </w:t>
      </w:r>
    </w:p>
    <w:p w:rsidR="001026EC" w:rsidRPr="002E4DFF" w:rsidRDefault="007B5487" w:rsidP="0061752C">
      <w:pPr>
        <w:pStyle w:val="ListParagraph"/>
        <w:numPr>
          <w:ilvl w:val="1"/>
          <w:numId w:val="9"/>
        </w:numPr>
        <w:spacing w:before="40" w:line="276" w:lineRule="auto"/>
        <w:rPr>
          <w:rFonts w:eastAsiaTheme="minorHAnsi" w:cstheme="minorBidi"/>
          <w:szCs w:val="24"/>
          <w:lang w:eastAsia="en-US"/>
        </w:rPr>
      </w:pPr>
      <w:r>
        <w:rPr>
          <w:rFonts w:eastAsiaTheme="minorHAnsi" w:cstheme="minorBidi"/>
          <w:szCs w:val="24"/>
          <w:lang w:eastAsia="en-US"/>
        </w:rPr>
        <w:t>i</w:t>
      </w:r>
      <w:r w:rsidR="00D660F2" w:rsidRPr="00D660F2">
        <w:rPr>
          <w:rFonts w:eastAsiaTheme="minorHAnsi" w:cstheme="minorBidi"/>
          <w:szCs w:val="24"/>
          <w:lang w:eastAsia="en-US"/>
        </w:rPr>
        <w:t>mplementation of the 6th Community Pharmacy Agreement to enhance primary health care management of medications and avoidance of errors</w:t>
      </w:r>
      <w:r w:rsidR="001026EC">
        <w:rPr>
          <w:rFonts w:eastAsiaTheme="minorHAnsi" w:cstheme="minorBidi"/>
          <w:szCs w:val="24"/>
          <w:lang w:eastAsia="en-US"/>
        </w:rPr>
        <w:t>; and</w:t>
      </w:r>
    </w:p>
    <w:p w:rsidR="00994955" w:rsidRPr="0061752C" w:rsidRDefault="00CD1BAB" w:rsidP="0061752C">
      <w:pPr>
        <w:pStyle w:val="ListParagraph"/>
        <w:numPr>
          <w:ilvl w:val="1"/>
          <w:numId w:val="9"/>
        </w:numPr>
        <w:spacing w:before="40" w:line="276" w:lineRule="auto"/>
        <w:rPr>
          <w:rFonts w:eastAsiaTheme="minorHAnsi" w:cstheme="minorBidi"/>
          <w:szCs w:val="24"/>
          <w:lang w:eastAsia="en-US"/>
        </w:rPr>
      </w:pPr>
      <w:proofErr w:type="gramStart"/>
      <w:r w:rsidRPr="0061752C">
        <w:rPr>
          <w:rFonts w:eastAsiaTheme="minorHAnsi" w:cstheme="minorBidi"/>
          <w:szCs w:val="24"/>
          <w:lang w:eastAsia="en-US"/>
        </w:rPr>
        <w:t>partnering</w:t>
      </w:r>
      <w:proofErr w:type="gramEnd"/>
      <w:r w:rsidRPr="0061752C">
        <w:rPr>
          <w:rFonts w:eastAsiaTheme="minorHAnsi" w:cstheme="minorBidi"/>
          <w:szCs w:val="24"/>
          <w:lang w:eastAsia="en-US"/>
        </w:rPr>
        <w:t xml:space="preserve"> with jurisdictions with significant responsibility for primary health care, for example, in remote and Indigenous communities. </w:t>
      </w:r>
    </w:p>
    <w:sectPr w:rsidR="00994955" w:rsidRPr="0061752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A83" w:rsidRDefault="00543A83" w:rsidP="00354DFE">
      <w:pPr>
        <w:spacing w:after="0"/>
      </w:pPr>
      <w:r>
        <w:separator/>
      </w:r>
    </w:p>
  </w:endnote>
  <w:endnote w:type="continuationSeparator" w:id="0">
    <w:p w:rsidR="00543A83" w:rsidRDefault="00543A83" w:rsidP="00354D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F54" w:rsidRDefault="00676F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767" w:rsidRPr="00676F54" w:rsidRDefault="00DC5767" w:rsidP="00676F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F54" w:rsidRDefault="00676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A83" w:rsidRDefault="00543A83" w:rsidP="00354DFE">
      <w:pPr>
        <w:spacing w:after="0"/>
      </w:pPr>
      <w:r>
        <w:separator/>
      </w:r>
    </w:p>
  </w:footnote>
  <w:footnote w:type="continuationSeparator" w:id="0">
    <w:p w:rsidR="00543A83" w:rsidRDefault="00543A83" w:rsidP="00354DF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F54" w:rsidRDefault="00676F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767" w:rsidRPr="00676F54" w:rsidRDefault="00DC5767" w:rsidP="00676F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F54" w:rsidRDefault="00676F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531"/>
    <w:multiLevelType w:val="hybridMultilevel"/>
    <w:tmpl w:val="A27CEF48"/>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15">
      <w:start w:val="1"/>
      <w:numFmt w:val="upperLetter"/>
      <w:lvlText w:val="%4."/>
      <w:lvlJc w:val="left"/>
      <w:pPr>
        <w:ind w:left="277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
    <w:nsid w:val="13B66787"/>
    <w:multiLevelType w:val="multilevel"/>
    <w:tmpl w:val="C83EA504"/>
    <w:lvl w:ilvl="0">
      <w:start w:val="1"/>
      <w:numFmt w:val="decimal"/>
      <w:lvlText w:val="%1."/>
      <w:lvlJc w:val="left"/>
      <w:pPr>
        <w:tabs>
          <w:tab w:val="num" w:pos="567"/>
        </w:tabs>
        <w:ind w:left="0" w:firstLine="0"/>
      </w:pPr>
      <w:rPr>
        <w:rFonts w:ascii="Verdana" w:hAnsi="Verdana" w:hint="default"/>
        <w:b w:val="0"/>
        <w:i w:val="0"/>
        <w:kern w:val="0"/>
        <w:sz w:val="22"/>
        <w:szCs w:val="24"/>
      </w:rPr>
    </w:lvl>
    <w:lvl w:ilvl="1">
      <w:start w:val="1"/>
      <w:numFmt w:val="lowerLetter"/>
      <w:lvlText w:val="%2."/>
      <w:lvlJc w:val="left"/>
      <w:pPr>
        <w:tabs>
          <w:tab w:val="num" w:pos="567"/>
        </w:tabs>
        <w:ind w:left="1134" w:hanging="567"/>
      </w:pPr>
      <w:rPr>
        <w:b w:val="0"/>
        <w:i w:val="0"/>
        <w:kern w:val="0"/>
        <w:sz w:val="22"/>
        <w:szCs w:val="24"/>
      </w:rPr>
    </w:lvl>
    <w:lvl w:ilvl="2">
      <w:start w:val="1"/>
      <w:numFmt w:val="lowerRoman"/>
      <w:lvlText w:val="(%3)"/>
      <w:lvlJc w:val="left"/>
      <w:pPr>
        <w:tabs>
          <w:tab w:val="num" w:pos="1134"/>
        </w:tabs>
        <w:ind w:left="1701" w:hanging="567"/>
      </w:pPr>
      <w:rPr>
        <w:rFonts w:ascii="Verdana" w:hAnsi="Verdana" w:hint="default"/>
        <w:b w:val="0"/>
        <w:i w:val="0"/>
        <w:sz w:val="22"/>
        <w:szCs w:val="24"/>
      </w:rPr>
    </w:lvl>
    <w:lvl w:ilvl="3">
      <w:start w:val="1"/>
      <w:numFmt w:val="upperLetter"/>
      <w:lvlText w:val="(%4)"/>
      <w:lvlJc w:val="left"/>
      <w:pPr>
        <w:tabs>
          <w:tab w:val="num" w:pos="567"/>
        </w:tabs>
        <w:ind w:left="2268" w:hanging="567"/>
      </w:pPr>
      <w:rPr>
        <w:rFonts w:ascii="Verdana" w:hAnsi="Verdana" w:hint="default"/>
        <w:b w:val="0"/>
        <w:i w:val="0"/>
        <w:kern w:val="0"/>
        <w:sz w:val="22"/>
        <w:szCs w:val="24"/>
      </w:rPr>
    </w:lvl>
    <w:lvl w:ilvl="4">
      <w:start w:val="1"/>
      <w:numFmt w:val="decimal"/>
      <w:lvlText w:val="(%5)"/>
      <w:lvlJc w:val="left"/>
      <w:pPr>
        <w:tabs>
          <w:tab w:val="num" w:pos="567"/>
        </w:tabs>
        <w:ind w:left="2835" w:hanging="567"/>
      </w:pPr>
      <w:rPr>
        <w:rFonts w:ascii="Verdana" w:hAnsi="Verdana" w:hint="default"/>
        <w:sz w:val="22"/>
      </w:rPr>
    </w:lvl>
    <w:lvl w:ilvl="5">
      <w:start w:val="1"/>
      <w:numFmt w:val="none"/>
      <w:lvlText w:val="."/>
      <w:lvlJc w:val="left"/>
      <w:pPr>
        <w:tabs>
          <w:tab w:val="num" w:pos="567"/>
        </w:tabs>
        <w:ind w:left="3402" w:hanging="567"/>
      </w:pPr>
      <w:rPr>
        <w:rFonts w:ascii="Verdana" w:hAnsi="Verdana" w:hint="default"/>
        <w:sz w:val="22"/>
      </w:rPr>
    </w:lvl>
    <w:lvl w:ilvl="6">
      <w:start w:val="1"/>
      <w:numFmt w:val="none"/>
      <w:lvlText w:val="."/>
      <w:lvlJc w:val="left"/>
      <w:pPr>
        <w:tabs>
          <w:tab w:val="num" w:pos="567"/>
        </w:tabs>
        <w:ind w:left="3969" w:hanging="567"/>
      </w:pPr>
      <w:rPr>
        <w:rFonts w:ascii="Verdana" w:hAnsi="Verdana" w:hint="default"/>
        <w:sz w:val="22"/>
      </w:rPr>
    </w:lvl>
    <w:lvl w:ilvl="7">
      <w:start w:val="1"/>
      <w:numFmt w:val="none"/>
      <w:lvlText w:val="."/>
      <w:lvlJc w:val="left"/>
      <w:pPr>
        <w:tabs>
          <w:tab w:val="num" w:pos="567"/>
        </w:tabs>
        <w:ind w:left="4536" w:hanging="567"/>
      </w:pPr>
      <w:rPr>
        <w:rFonts w:ascii="Verdana" w:hAnsi="Verdana" w:hint="default"/>
        <w:sz w:val="22"/>
      </w:rPr>
    </w:lvl>
    <w:lvl w:ilvl="8">
      <w:start w:val="1"/>
      <w:numFmt w:val="none"/>
      <w:lvlText w:val="."/>
      <w:lvlJc w:val="left"/>
      <w:pPr>
        <w:tabs>
          <w:tab w:val="num" w:pos="567"/>
        </w:tabs>
        <w:ind w:left="5103" w:hanging="567"/>
      </w:pPr>
      <w:rPr>
        <w:rFonts w:ascii="Verdana" w:hAnsi="Verdana"/>
        <w:strike w:val="0"/>
        <w:dstrike w:val="0"/>
        <w:sz w:val="22"/>
        <w:szCs w:val="24"/>
        <w:u w:val="none"/>
        <w:effect w:val="none"/>
        <w:vertAlign w:val="baseline"/>
      </w:rPr>
    </w:lvl>
  </w:abstractNum>
  <w:abstractNum w:abstractNumId="2">
    <w:nsid w:val="352460FC"/>
    <w:multiLevelType w:val="multilevel"/>
    <w:tmpl w:val="59906ADC"/>
    <w:styleLink w:val="CABNETListAtt"/>
    <w:lvl w:ilvl="0">
      <w:start w:val="1"/>
      <w:numFmt w:val="decimal"/>
      <w:lvlText w:val="%1."/>
      <w:lvlJc w:val="left"/>
      <w:pPr>
        <w:tabs>
          <w:tab w:val="num" w:pos="567"/>
        </w:tabs>
        <w:ind w:left="0" w:firstLine="0"/>
      </w:pPr>
      <w:rPr>
        <w:rFonts w:ascii="Verdana" w:hAnsi="Verdana" w:hint="default"/>
        <w:b w:val="0"/>
        <w:i w:val="0"/>
        <w:kern w:val="0"/>
        <w:sz w:val="22"/>
        <w:szCs w:val="24"/>
      </w:rPr>
    </w:lvl>
    <w:lvl w:ilvl="1">
      <w:start w:val="1"/>
      <w:numFmt w:val="lowerLetter"/>
      <w:lvlText w:val="%2."/>
      <w:lvlJc w:val="left"/>
      <w:pPr>
        <w:tabs>
          <w:tab w:val="num" w:pos="567"/>
        </w:tabs>
        <w:ind w:left="1134" w:hanging="567"/>
      </w:pPr>
      <w:rPr>
        <w:rFonts w:ascii="Times New Roman" w:eastAsia="Times New Roman" w:hAnsi="Times New Roman" w:cs="Times New Roman"/>
        <w:b w:val="0"/>
        <w:i w:val="0"/>
        <w:kern w:val="0"/>
        <w:sz w:val="22"/>
        <w:szCs w:val="24"/>
      </w:rPr>
    </w:lvl>
    <w:lvl w:ilvl="2">
      <w:start w:val="1"/>
      <w:numFmt w:val="lowerRoman"/>
      <w:lvlText w:val="(%3)"/>
      <w:lvlJc w:val="left"/>
      <w:pPr>
        <w:tabs>
          <w:tab w:val="num" w:pos="1134"/>
        </w:tabs>
        <w:ind w:left="1701" w:hanging="567"/>
      </w:pPr>
      <w:rPr>
        <w:rFonts w:ascii="Verdana" w:hAnsi="Verdana" w:hint="default"/>
        <w:b w:val="0"/>
        <w:i w:val="0"/>
        <w:sz w:val="22"/>
        <w:szCs w:val="24"/>
      </w:rPr>
    </w:lvl>
    <w:lvl w:ilvl="3">
      <w:start w:val="1"/>
      <w:numFmt w:val="upperLetter"/>
      <w:lvlText w:val="(%4)"/>
      <w:lvlJc w:val="left"/>
      <w:pPr>
        <w:tabs>
          <w:tab w:val="num" w:pos="567"/>
        </w:tabs>
        <w:ind w:left="2268" w:hanging="567"/>
      </w:pPr>
      <w:rPr>
        <w:rFonts w:ascii="Verdana" w:hAnsi="Verdana" w:hint="default"/>
        <w:b w:val="0"/>
        <w:i w:val="0"/>
        <w:kern w:val="0"/>
        <w:sz w:val="22"/>
        <w:szCs w:val="24"/>
      </w:rPr>
    </w:lvl>
    <w:lvl w:ilvl="4">
      <w:start w:val="1"/>
      <w:numFmt w:val="decimal"/>
      <w:lvlText w:val="(%5)"/>
      <w:lvlJc w:val="left"/>
      <w:pPr>
        <w:tabs>
          <w:tab w:val="num" w:pos="567"/>
        </w:tabs>
        <w:ind w:left="2835" w:hanging="567"/>
      </w:pPr>
      <w:rPr>
        <w:rFonts w:ascii="Verdana" w:hAnsi="Verdana" w:hint="default"/>
        <w:sz w:val="22"/>
      </w:rPr>
    </w:lvl>
    <w:lvl w:ilvl="5">
      <w:start w:val="1"/>
      <w:numFmt w:val="none"/>
      <w:lvlText w:val="."/>
      <w:lvlJc w:val="left"/>
      <w:pPr>
        <w:tabs>
          <w:tab w:val="num" w:pos="567"/>
        </w:tabs>
        <w:ind w:left="3402" w:hanging="567"/>
      </w:pPr>
      <w:rPr>
        <w:rFonts w:ascii="Verdana" w:hAnsi="Verdana" w:hint="default"/>
        <w:sz w:val="22"/>
      </w:rPr>
    </w:lvl>
    <w:lvl w:ilvl="6">
      <w:start w:val="1"/>
      <w:numFmt w:val="none"/>
      <w:lvlText w:val="."/>
      <w:lvlJc w:val="left"/>
      <w:pPr>
        <w:tabs>
          <w:tab w:val="num" w:pos="567"/>
        </w:tabs>
        <w:ind w:left="3969" w:hanging="567"/>
      </w:pPr>
      <w:rPr>
        <w:rFonts w:ascii="Verdana" w:hAnsi="Verdana" w:hint="default"/>
        <w:sz w:val="22"/>
      </w:rPr>
    </w:lvl>
    <w:lvl w:ilvl="7">
      <w:start w:val="1"/>
      <w:numFmt w:val="none"/>
      <w:lvlText w:val="."/>
      <w:lvlJc w:val="left"/>
      <w:pPr>
        <w:tabs>
          <w:tab w:val="num" w:pos="567"/>
        </w:tabs>
        <w:ind w:left="4536" w:hanging="567"/>
      </w:pPr>
      <w:rPr>
        <w:rFonts w:ascii="Verdana" w:hAnsi="Verdana" w:hint="default"/>
        <w:sz w:val="22"/>
      </w:rPr>
    </w:lvl>
    <w:lvl w:ilvl="8">
      <w:start w:val="1"/>
      <w:numFmt w:val="none"/>
      <w:lvlText w:val="."/>
      <w:lvlJc w:val="left"/>
      <w:pPr>
        <w:tabs>
          <w:tab w:val="num" w:pos="567"/>
        </w:tabs>
        <w:ind w:left="5103" w:hanging="567"/>
      </w:pPr>
      <w:rPr>
        <w:rFonts w:ascii="Verdana" w:hAnsi="Verdana"/>
        <w:strike w:val="0"/>
        <w:dstrike w:val="0"/>
        <w:sz w:val="22"/>
        <w:szCs w:val="24"/>
        <w:u w:val="none"/>
        <w:effect w:val="none"/>
        <w:vertAlign w:val="baseline"/>
      </w:rPr>
    </w:lvl>
  </w:abstractNum>
  <w:abstractNum w:abstractNumId="3">
    <w:nsid w:val="3C1B18EB"/>
    <w:multiLevelType w:val="multilevel"/>
    <w:tmpl w:val="38AA62BC"/>
    <w:lvl w:ilvl="0">
      <w:start w:val="1"/>
      <w:numFmt w:val="decimal"/>
      <w:lvlText w:val="%1."/>
      <w:lvlJc w:val="left"/>
      <w:pPr>
        <w:tabs>
          <w:tab w:val="num" w:pos="567"/>
        </w:tabs>
        <w:ind w:left="0" w:firstLine="0"/>
      </w:pPr>
      <w:rPr>
        <w:rFonts w:ascii="Verdana" w:hAnsi="Verdana" w:hint="default"/>
        <w:b w:val="0"/>
        <w:i w:val="0"/>
        <w:kern w:val="0"/>
        <w:sz w:val="22"/>
        <w:szCs w:val="24"/>
      </w:rPr>
    </w:lvl>
    <w:lvl w:ilvl="1">
      <w:start w:val="1"/>
      <w:numFmt w:val="lowerLetter"/>
      <w:lvlText w:val="%2."/>
      <w:lvlJc w:val="left"/>
      <w:pPr>
        <w:tabs>
          <w:tab w:val="num" w:pos="567"/>
        </w:tabs>
        <w:ind w:left="1134" w:hanging="567"/>
      </w:pPr>
      <w:rPr>
        <w:b w:val="0"/>
        <w:i w:val="0"/>
        <w:kern w:val="0"/>
        <w:sz w:val="22"/>
        <w:szCs w:val="24"/>
      </w:rPr>
    </w:lvl>
    <w:lvl w:ilvl="2">
      <w:start w:val="1"/>
      <w:numFmt w:val="lowerRoman"/>
      <w:lvlText w:val="(%3)"/>
      <w:lvlJc w:val="left"/>
      <w:pPr>
        <w:tabs>
          <w:tab w:val="num" w:pos="1134"/>
        </w:tabs>
        <w:ind w:left="1701" w:hanging="567"/>
      </w:pPr>
      <w:rPr>
        <w:rFonts w:ascii="Verdana" w:hAnsi="Verdana" w:hint="default"/>
        <w:b w:val="0"/>
        <w:i w:val="0"/>
        <w:sz w:val="22"/>
        <w:szCs w:val="24"/>
      </w:rPr>
    </w:lvl>
    <w:lvl w:ilvl="3">
      <w:start w:val="1"/>
      <w:numFmt w:val="upperLetter"/>
      <w:lvlText w:val="(%4)"/>
      <w:lvlJc w:val="left"/>
      <w:pPr>
        <w:tabs>
          <w:tab w:val="num" w:pos="567"/>
        </w:tabs>
        <w:ind w:left="2268" w:hanging="567"/>
      </w:pPr>
      <w:rPr>
        <w:rFonts w:ascii="Verdana" w:hAnsi="Verdana" w:hint="default"/>
        <w:b w:val="0"/>
        <w:i w:val="0"/>
        <w:kern w:val="0"/>
        <w:sz w:val="22"/>
        <w:szCs w:val="24"/>
      </w:rPr>
    </w:lvl>
    <w:lvl w:ilvl="4">
      <w:start w:val="1"/>
      <w:numFmt w:val="decimal"/>
      <w:lvlText w:val="(%5)"/>
      <w:lvlJc w:val="left"/>
      <w:pPr>
        <w:tabs>
          <w:tab w:val="num" w:pos="567"/>
        </w:tabs>
        <w:ind w:left="2835" w:hanging="567"/>
      </w:pPr>
      <w:rPr>
        <w:rFonts w:ascii="Verdana" w:hAnsi="Verdana" w:hint="default"/>
        <w:sz w:val="22"/>
      </w:rPr>
    </w:lvl>
    <w:lvl w:ilvl="5">
      <w:start w:val="1"/>
      <w:numFmt w:val="none"/>
      <w:lvlText w:val="."/>
      <w:lvlJc w:val="left"/>
      <w:pPr>
        <w:tabs>
          <w:tab w:val="num" w:pos="567"/>
        </w:tabs>
        <w:ind w:left="3402" w:hanging="567"/>
      </w:pPr>
      <w:rPr>
        <w:rFonts w:ascii="Verdana" w:hAnsi="Verdana" w:hint="default"/>
        <w:sz w:val="22"/>
      </w:rPr>
    </w:lvl>
    <w:lvl w:ilvl="6">
      <w:start w:val="1"/>
      <w:numFmt w:val="none"/>
      <w:lvlText w:val="."/>
      <w:lvlJc w:val="left"/>
      <w:pPr>
        <w:tabs>
          <w:tab w:val="num" w:pos="567"/>
        </w:tabs>
        <w:ind w:left="3969" w:hanging="567"/>
      </w:pPr>
      <w:rPr>
        <w:rFonts w:ascii="Verdana" w:hAnsi="Verdana" w:hint="default"/>
        <w:sz w:val="22"/>
      </w:rPr>
    </w:lvl>
    <w:lvl w:ilvl="7">
      <w:start w:val="1"/>
      <w:numFmt w:val="none"/>
      <w:lvlText w:val="."/>
      <w:lvlJc w:val="left"/>
      <w:pPr>
        <w:tabs>
          <w:tab w:val="num" w:pos="567"/>
        </w:tabs>
        <w:ind w:left="4536" w:hanging="567"/>
      </w:pPr>
      <w:rPr>
        <w:rFonts w:ascii="Verdana" w:hAnsi="Verdana" w:hint="default"/>
        <w:sz w:val="22"/>
      </w:rPr>
    </w:lvl>
    <w:lvl w:ilvl="8">
      <w:start w:val="1"/>
      <w:numFmt w:val="none"/>
      <w:lvlText w:val="."/>
      <w:lvlJc w:val="left"/>
      <w:pPr>
        <w:tabs>
          <w:tab w:val="num" w:pos="567"/>
        </w:tabs>
        <w:ind w:left="5103" w:hanging="567"/>
      </w:pPr>
      <w:rPr>
        <w:rFonts w:ascii="Verdana" w:hAnsi="Verdana"/>
        <w:strike w:val="0"/>
        <w:dstrike w:val="0"/>
        <w:sz w:val="22"/>
        <w:szCs w:val="24"/>
        <w:u w:val="none"/>
        <w:effect w:val="none"/>
        <w:vertAlign w:val="baseline"/>
      </w:rPr>
    </w:lvl>
  </w:abstractNum>
  <w:abstractNum w:abstractNumId="4">
    <w:nsid w:val="43EA394A"/>
    <w:multiLevelType w:val="multilevel"/>
    <w:tmpl w:val="381CDB7E"/>
    <w:lvl w:ilvl="0">
      <w:start w:val="1"/>
      <w:numFmt w:val="decimal"/>
      <w:lvlText w:val="%1."/>
      <w:lvlJc w:val="left"/>
      <w:pPr>
        <w:tabs>
          <w:tab w:val="num" w:pos="567"/>
        </w:tabs>
        <w:ind w:left="0" w:firstLine="0"/>
      </w:pPr>
      <w:rPr>
        <w:rFonts w:ascii="Verdana" w:hAnsi="Verdana" w:hint="default"/>
        <w:b w:val="0"/>
        <w:i w:val="0"/>
        <w:kern w:val="0"/>
        <w:sz w:val="22"/>
        <w:szCs w:val="24"/>
      </w:rPr>
    </w:lvl>
    <w:lvl w:ilvl="1">
      <w:start w:val="1"/>
      <w:numFmt w:val="lowerLetter"/>
      <w:lvlText w:val="%2."/>
      <w:lvlJc w:val="left"/>
      <w:pPr>
        <w:tabs>
          <w:tab w:val="num" w:pos="567"/>
        </w:tabs>
        <w:ind w:left="1134" w:hanging="567"/>
      </w:pPr>
      <w:rPr>
        <w:b w:val="0"/>
        <w:i w:val="0"/>
        <w:kern w:val="0"/>
        <w:sz w:val="22"/>
        <w:szCs w:val="24"/>
      </w:rPr>
    </w:lvl>
    <w:lvl w:ilvl="2">
      <w:start w:val="1"/>
      <w:numFmt w:val="lowerRoman"/>
      <w:lvlText w:val="(%3)"/>
      <w:lvlJc w:val="left"/>
      <w:pPr>
        <w:tabs>
          <w:tab w:val="num" w:pos="1134"/>
        </w:tabs>
        <w:ind w:left="1701" w:hanging="567"/>
      </w:pPr>
      <w:rPr>
        <w:rFonts w:ascii="Verdana" w:hAnsi="Verdana" w:hint="default"/>
        <w:b w:val="0"/>
        <w:i w:val="0"/>
        <w:sz w:val="22"/>
        <w:szCs w:val="24"/>
      </w:rPr>
    </w:lvl>
    <w:lvl w:ilvl="3">
      <w:start w:val="1"/>
      <w:numFmt w:val="upperLetter"/>
      <w:lvlText w:val="(%4)"/>
      <w:lvlJc w:val="left"/>
      <w:pPr>
        <w:tabs>
          <w:tab w:val="num" w:pos="567"/>
        </w:tabs>
        <w:ind w:left="2268" w:hanging="567"/>
      </w:pPr>
      <w:rPr>
        <w:rFonts w:ascii="Verdana" w:hAnsi="Verdana" w:hint="default"/>
        <w:b w:val="0"/>
        <w:i w:val="0"/>
        <w:kern w:val="0"/>
        <w:sz w:val="22"/>
        <w:szCs w:val="24"/>
      </w:rPr>
    </w:lvl>
    <w:lvl w:ilvl="4">
      <w:start w:val="1"/>
      <w:numFmt w:val="decimal"/>
      <w:lvlText w:val="(%5)"/>
      <w:lvlJc w:val="left"/>
      <w:pPr>
        <w:tabs>
          <w:tab w:val="num" w:pos="567"/>
        </w:tabs>
        <w:ind w:left="2835" w:hanging="567"/>
      </w:pPr>
      <w:rPr>
        <w:rFonts w:ascii="Verdana" w:hAnsi="Verdana" w:hint="default"/>
        <w:sz w:val="22"/>
      </w:rPr>
    </w:lvl>
    <w:lvl w:ilvl="5">
      <w:start w:val="1"/>
      <w:numFmt w:val="none"/>
      <w:lvlText w:val="."/>
      <w:lvlJc w:val="left"/>
      <w:pPr>
        <w:tabs>
          <w:tab w:val="num" w:pos="567"/>
        </w:tabs>
        <w:ind w:left="3402" w:hanging="567"/>
      </w:pPr>
      <w:rPr>
        <w:rFonts w:ascii="Verdana" w:hAnsi="Verdana" w:hint="default"/>
        <w:sz w:val="22"/>
      </w:rPr>
    </w:lvl>
    <w:lvl w:ilvl="6">
      <w:start w:val="1"/>
      <w:numFmt w:val="none"/>
      <w:lvlText w:val="."/>
      <w:lvlJc w:val="left"/>
      <w:pPr>
        <w:tabs>
          <w:tab w:val="num" w:pos="567"/>
        </w:tabs>
        <w:ind w:left="3969" w:hanging="567"/>
      </w:pPr>
      <w:rPr>
        <w:rFonts w:ascii="Verdana" w:hAnsi="Verdana" w:hint="default"/>
        <w:sz w:val="22"/>
      </w:rPr>
    </w:lvl>
    <w:lvl w:ilvl="7">
      <w:start w:val="1"/>
      <w:numFmt w:val="none"/>
      <w:lvlText w:val="."/>
      <w:lvlJc w:val="left"/>
      <w:pPr>
        <w:tabs>
          <w:tab w:val="num" w:pos="567"/>
        </w:tabs>
        <w:ind w:left="4536" w:hanging="567"/>
      </w:pPr>
      <w:rPr>
        <w:rFonts w:ascii="Verdana" w:hAnsi="Verdana" w:hint="default"/>
        <w:sz w:val="22"/>
      </w:rPr>
    </w:lvl>
    <w:lvl w:ilvl="8">
      <w:start w:val="1"/>
      <w:numFmt w:val="none"/>
      <w:lvlText w:val="."/>
      <w:lvlJc w:val="left"/>
      <w:pPr>
        <w:tabs>
          <w:tab w:val="num" w:pos="567"/>
        </w:tabs>
        <w:ind w:left="5103" w:hanging="567"/>
      </w:pPr>
      <w:rPr>
        <w:rFonts w:ascii="Verdana" w:hAnsi="Verdana"/>
        <w:strike w:val="0"/>
        <w:dstrike w:val="0"/>
        <w:sz w:val="22"/>
        <w:szCs w:val="24"/>
        <w:u w:val="none"/>
        <w:effect w:val="none"/>
        <w:vertAlign w:val="baseline"/>
      </w:rPr>
    </w:lvl>
  </w:abstractNum>
  <w:abstractNum w:abstractNumId="5">
    <w:nsid w:val="61925A4D"/>
    <w:multiLevelType w:val="multilevel"/>
    <w:tmpl w:val="59906ADC"/>
    <w:numStyleLink w:val="CABNETListAtt"/>
  </w:abstractNum>
  <w:abstractNum w:abstractNumId="6">
    <w:nsid w:val="63BC6FF3"/>
    <w:multiLevelType w:val="multilevel"/>
    <w:tmpl w:val="38AA62BC"/>
    <w:lvl w:ilvl="0">
      <w:start w:val="1"/>
      <w:numFmt w:val="decimal"/>
      <w:lvlText w:val="%1."/>
      <w:lvlJc w:val="left"/>
      <w:pPr>
        <w:tabs>
          <w:tab w:val="num" w:pos="567"/>
        </w:tabs>
        <w:ind w:left="0" w:firstLine="0"/>
      </w:pPr>
      <w:rPr>
        <w:rFonts w:ascii="Verdana" w:hAnsi="Verdana" w:hint="default"/>
        <w:b w:val="0"/>
        <w:i w:val="0"/>
        <w:kern w:val="0"/>
        <w:sz w:val="22"/>
        <w:szCs w:val="24"/>
      </w:rPr>
    </w:lvl>
    <w:lvl w:ilvl="1">
      <w:start w:val="1"/>
      <w:numFmt w:val="lowerLetter"/>
      <w:lvlText w:val="%2."/>
      <w:lvlJc w:val="left"/>
      <w:pPr>
        <w:tabs>
          <w:tab w:val="num" w:pos="567"/>
        </w:tabs>
        <w:ind w:left="1134" w:hanging="567"/>
      </w:pPr>
      <w:rPr>
        <w:b w:val="0"/>
        <w:i w:val="0"/>
        <w:kern w:val="0"/>
        <w:sz w:val="22"/>
        <w:szCs w:val="24"/>
      </w:rPr>
    </w:lvl>
    <w:lvl w:ilvl="2">
      <w:start w:val="1"/>
      <w:numFmt w:val="lowerRoman"/>
      <w:lvlText w:val="(%3)"/>
      <w:lvlJc w:val="left"/>
      <w:pPr>
        <w:tabs>
          <w:tab w:val="num" w:pos="1134"/>
        </w:tabs>
        <w:ind w:left="1701" w:hanging="567"/>
      </w:pPr>
      <w:rPr>
        <w:rFonts w:ascii="Verdana" w:hAnsi="Verdana" w:hint="default"/>
        <w:b w:val="0"/>
        <w:i w:val="0"/>
        <w:sz w:val="22"/>
        <w:szCs w:val="24"/>
      </w:rPr>
    </w:lvl>
    <w:lvl w:ilvl="3">
      <w:start w:val="1"/>
      <w:numFmt w:val="upperLetter"/>
      <w:lvlText w:val="(%4)"/>
      <w:lvlJc w:val="left"/>
      <w:pPr>
        <w:tabs>
          <w:tab w:val="num" w:pos="567"/>
        </w:tabs>
        <w:ind w:left="2268" w:hanging="567"/>
      </w:pPr>
      <w:rPr>
        <w:rFonts w:ascii="Verdana" w:hAnsi="Verdana" w:hint="default"/>
        <w:b w:val="0"/>
        <w:i w:val="0"/>
        <w:kern w:val="0"/>
        <w:sz w:val="22"/>
        <w:szCs w:val="24"/>
      </w:rPr>
    </w:lvl>
    <w:lvl w:ilvl="4">
      <w:start w:val="1"/>
      <w:numFmt w:val="decimal"/>
      <w:lvlText w:val="(%5)"/>
      <w:lvlJc w:val="left"/>
      <w:pPr>
        <w:tabs>
          <w:tab w:val="num" w:pos="567"/>
        </w:tabs>
        <w:ind w:left="2835" w:hanging="567"/>
      </w:pPr>
      <w:rPr>
        <w:rFonts w:ascii="Verdana" w:hAnsi="Verdana" w:hint="default"/>
        <w:sz w:val="22"/>
      </w:rPr>
    </w:lvl>
    <w:lvl w:ilvl="5">
      <w:start w:val="1"/>
      <w:numFmt w:val="none"/>
      <w:lvlText w:val="."/>
      <w:lvlJc w:val="left"/>
      <w:pPr>
        <w:tabs>
          <w:tab w:val="num" w:pos="567"/>
        </w:tabs>
        <w:ind w:left="3402" w:hanging="567"/>
      </w:pPr>
      <w:rPr>
        <w:rFonts w:ascii="Verdana" w:hAnsi="Verdana" w:hint="default"/>
        <w:sz w:val="22"/>
      </w:rPr>
    </w:lvl>
    <w:lvl w:ilvl="6">
      <w:start w:val="1"/>
      <w:numFmt w:val="none"/>
      <w:lvlText w:val="."/>
      <w:lvlJc w:val="left"/>
      <w:pPr>
        <w:tabs>
          <w:tab w:val="num" w:pos="567"/>
        </w:tabs>
        <w:ind w:left="3969" w:hanging="567"/>
      </w:pPr>
      <w:rPr>
        <w:rFonts w:ascii="Verdana" w:hAnsi="Verdana" w:hint="default"/>
        <w:sz w:val="22"/>
      </w:rPr>
    </w:lvl>
    <w:lvl w:ilvl="7">
      <w:start w:val="1"/>
      <w:numFmt w:val="none"/>
      <w:lvlText w:val="."/>
      <w:lvlJc w:val="left"/>
      <w:pPr>
        <w:tabs>
          <w:tab w:val="num" w:pos="567"/>
        </w:tabs>
        <w:ind w:left="4536" w:hanging="567"/>
      </w:pPr>
      <w:rPr>
        <w:rFonts w:ascii="Verdana" w:hAnsi="Verdana" w:hint="default"/>
        <w:sz w:val="22"/>
      </w:rPr>
    </w:lvl>
    <w:lvl w:ilvl="8">
      <w:start w:val="1"/>
      <w:numFmt w:val="none"/>
      <w:lvlText w:val="."/>
      <w:lvlJc w:val="left"/>
      <w:pPr>
        <w:tabs>
          <w:tab w:val="num" w:pos="567"/>
        </w:tabs>
        <w:ind w:left="5103" w:hanging="567"/>
      </w:pPr>
      <w:rPr>
        <w:rFonts w:ascii="Verdana" w:hAnsi="Verdana"/>
        <w:strike w:val="0"/>
        <w:dstrike w:val="0"/>
        <w:sz w:val="22"/>
        <w:szCs w:val="24"/>
        <w:u w:val="none"/>
        <w:effect w:val="none"/>
        <w:vertAlign w:val="baseline"/>
      </w:rPr>
    </w:lvl>
  </w:abstractNum>
  <w:abstractNum w:abstractNumId="7">
    <w:nsid w:val="6A951602"/>
    <w:multiLevelType w:val="hybridMultilevel"/>
    <w:tmpl w:val="8056FF20"/>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8">
    <w:nsid w:val="74A82CDF"/>
    <w:multiLevelType w:val="hybridMultilevel"/>
    <w:tmpl w:val="26608C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nsid w:val="79E6308A"/>
    <w:multiLevelType w:val="hybridMultilevel"/>
    <w:tmpl w:val="A27CEF48"/>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15">
      <w:start w:val="1"/>
      <w:numFmt w:val="upperLetter"/>
      <w:lvlText w:val="%4."/>
      <w:lvlJc w:val="left"/>
      <w:pPr>
        <w:ind w:left="277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 w:ilvl="0">
        <w:start w:val="1"/>
        <w:numFmt w:val="decimal"/>
        <w:lvlText w:val="%1."/>
        <w:lvlJc w:val="left"/>
        <w:pPr>
          <w:tabs>
            <w:tab w:val="num" w:pos="567"/>
          </w:tabs>
          <w:ind w:left="0" w:firstLine="0"/>
        </w:pPr>
        <w:rPr>
          <w:rFonts w:asciiTheme="minorHAnsi" w:hAnsiTheme="minorHAnsi" w:cstheme="minorHAnsi" w:hint="default"/>
          <w:b w:val="0"/>
          <w:i w:val="0"/>
          <w:kern w:val="0"/>
          <w:sz w:val="22"/>
          <w:szCs w:val="24"/>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2"/>
  </w:num>
  <w:num w:numId="5">
    <w:abstractNumId w:val="3"/>
  </w:num>
  <w:num w:numId="6">
    <w:abstractNumId w:val="4"/>
  </w:num>
  <w:num w:numId="7">
    <w:abstractNumId w:val="1"/>
  </w:num>
  <w:num w:numId="8">
    <w:abstractNumId w:val="8"/>
  </w:num>
  <w:num w:numId="9">
    <w:abstractNumId w:val="6"/>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5B8"/>
    <w:rsid w:val="0000577B"/>
    <w:rsid w:val="0000788D"/>
    <w:rsid w:val="000142FD"/>
    <w:rsid w:val="00021325"/>
    <w:rsid w:val="00022159"/>
    <w:rsid w:val="00025A9B"/>
    <w:rsid w:val="001026EC"/>
    <w:rsid w:val="00112211"/>
    <w:rsid w:val="00181398"/>
    <w:rsid w:val="001820BE"/>
    <w:rsid w:val="001905B8"/>
    <w:rsid w:val="00191C10"/>
    <w:rsid w:val="001C57DE"/>
    <w:rsid w:val="001F6369"/>
    <w:rsid w:val="00216B9F"/>
    <w:rsid w:val="00235255"/>
    <w:rsid w:val="002425EB"/>
    <w:rsid w:val="00252167"/>
    <w:rsid w:val="0028070D"/>
    <w:rsid w:val="002A46A6"/>
    <w:rsid w:val="002C6DAB"/>
    <w:rsid w:val="002E4DFF"/>
    <w:rsid w:val="0032178D"/>
    <w:rsid w:val="003446EA"/>
    <w:rsid w:val="00354DFE"/>
    <w:rsid w:val="003624AD"/>
    <w:rsid w:val="003B16AB"/>
    <w:rsid w:val="003B7C5E"/>
    <w:rsid w:val="003F6F09"/>
    <w:rsid w:val="004354B0"/>
    <w:rsid w:val="00446B90"/>
    <w:rsid w:val="00457F41"/>
    <w:rsid w:val="00486FBE"/>
    <w:rsid w:val="004C3272"/>
    <w:rsid w:val="004D0914"/>
    <w:rsid w:val="004D0B35"/>
    <w:rsid w:val="00520872"/>
    <w:rsid w:val="00543A83"/>
    <w:rsid w:val="0056757E"/>
    <w:rsid w:val="00594A3A"/>
    <w:rsid w:val="0061752C"/>
    <w:rsid w:val="006466F2"/>
    <w:rsid w:val="00673E8D"/>
    <w:rsid w:val="00676F54"/>
    <w:rsid w:val="0072320C"/>
    <w:rsid w:val="00724138"/>
    <w:rsid w:val="00797FA1"/>
    <w:rsid w:val="007B5487"/>
    <w:rsid w:val="007D4DCD"/>
    <w:rsid w:val="008201E1"/>
    <w:rsid w:val="008601AC"/>
    <w:rsid w:val="00867A66"/>
    <w:rsid w:val="008F04AF"/>
    <w:rsid w:val="009025FA"/>
    <w:rsid w:val="00954630"/>
    <w:rsid w:val="00962B73"/>
    <w:rsid w:val="00994955"/>
    <w:rsid w:val="00A56152"/>
    <w:rsid w:val="00A70618"/>
    <w:rsid w:val="00A97550"/>
    <w:rsid w:val="00AC1596"/>
    <w:rsid w:val="00B27ACB"/>
    <w:rsid w:val="00B64B56"/>
    <w:rsid w:val="00B677BC"/>
    <w:rsid w:val="00BC6083"/>
    <w:rsid w:val="00BD7690"/>
    <w:rsid w:val="00BF5F44"/>
    <w:rsid w:val="00C0387A"/>
    <w:rsid w:val="00C467B0"/>
    <w:rsid w:val="00CD1BAB"/>
    <w:rsid w:val="00D22547"/>
    <w:rsid w:val="00D660F2"/>
    <w:rsid w:val="00D83550"/>
    <w:rsid w:val="00DC5767"/>
    <w:rsid w:val="00DF18BD"/>
    <w:rsid w:val="00E27A37"/>
    <w:rsid w:val="00F40153"/>
    <w:rsid w:val="00F40AC4"/>
    <w:rsid w:val="00F64A70"/>
    <w:rsid w:val="00F66CA1"/>
    <w:rsid w:val="00F839FC"/>
    <w:rsid w:val="00F86760"/>
    <w:rsid w:val="00F970B5"/>
    <w:rsid w:val="00FC77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B8"/>
    <w:pPr>
      <w:spacing w:line="240" w:lineRule="auto"/>
    </w:pPr>
    <w:rPr>
      <w:rFonts w:eastAsia="Times New Roman" w:cs="Times New Roman"/>
      <w:sz w:val="24"/>
      <w:szCs w:val="20"/>
      <w:lang w:eastAsia="en-AU"/>
    </w:rPr>
  </w:style>
  <w:style w:type="paragraph" w:styleId="Heading1">
    <w:name w:val="heading 1"/>
    <w:basedOn w:val="Normal"/>
    <w:next w:val="Normal"/>
    <w:link w:val="Heading1Char"/>
    <w:qFormat/>
    <w:rsid w:val="001905B8"/>
    <w:pPr>
      <w:keepNext/>
      <w:outlineLvl w:val="0"/>
    </w:pPr>
    <w:rPr>
      <w:rFonts w:ascii="Calibri" w:hAnsi="Calibri"/>
      <w:b/>
      <w:szCs w:val="24"/>
    </w:rPr>
  </w:style>
  <w:style w:type="paragraph" w:styleId="Heading2">
    <w:name w:val="heading 2"/>
    <w:basedOn w:val="Heading1"/>
    <w:next w:val="Normal"/>
    <w:link w:val="Heading2Char"/>
    <w:uiPriority w:val="9"/>
    <w:unhideWhenUsed/>
    <w:qFormat/>
    <w:rsid w:val="00B677BC"/>
    <w:pPr>
      <w:spacing w:before="240" w:after="24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05B8"/>
    <w:rPr>
      <w:rFonts w:ascii="Calibri" w:eastAsia="Times New Roman" w:hAnsi="Calibri" w:cs="Times New Roman"/>
      <w:b/>
      <w:sz w:val="24"/>
      <w:szCs w:val="24"/>
      <w:lang w:eastAsia="en-AU"/>
    </w:rPr>
  </w:style>
  <w:style w:type="paragraph" w:styleId="ListParagraph">
    <w:name w:val="List Paragraph"/>
    <w:aliases w:val="List Paragraph1,Recommendation,List Paragraph11,Bullet point,List Paragraph111,L,F5 List Paragraph,Dot pt,CV text,Table text,Medium Grid 1 - Accent 21,Numbered Paragraph,List Paragraph2,NFP GP Bulleted List,FooterText,numbered,列出段,列,列出段落"/>
    <w:basedOn w:val="Normal"/>
    <w:link w:val="ListParagraphChar"/>
    <w:uiPriority w:val="34"/>
    <w:qFormat/>
    <w:rsid w:val="001905B8"/>
    <w:pPr>
      <w:ind w:left="720"/>
      <w:contextualSpacing/>
    </w:pPr>
  </w:style>
  <w:style w:type="character" w:customStyle="1" w:styleId="ListParagraphChar">
    <w:name w:val="List Paragraph Char"/>
    <w:aliases w:val="List Paragraph1 Char,Recommendation Char,List Paragraph11 Char,Bullet point Char,List Paragraph111 Char,L Char,F5 List Paragraph Char,Dot pt Char,CV text Char,Table text Char,Medium Grid 1 - Accent 21 Char,Numbered Paragraph Char"/>
    <w:basedOn w:val="DefaultParagraphFont"/>
    <w:link w:val="ListParagraph"/>
    <w:uiPriority w:val="34"/>
    <w:qFormat/>
    <w:locked/>
    <w:rsid w:val="001905B8"/>
    <w:rPr>
      <w:rFonts w:eastAsia="Times New Roman" w:cs="Times New Roman"/>
      <w:sz w:val="24"/>
      <w:szCs w:val="20"/>
      <w:lang w:eastAsia="en-AU"/>
    </w:rPr>
  </w:style>
  <w:style w:type="paragraph" w:styleId="Title">
    <w:name w:val="Title"/>
    <w:basedOn w:val="Normal"/>
    <w:next w:val="Normal"/>
    <w:link w:val="TitleChar"/>
    <w:uiPriority w:val="10"/>
    <w:qFormat/>
    <w:rsid w:val="001905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1905B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905B8"/>
    <w:pPr>
      <w:spacing w:line="276" w:lineRule="auto"/>
    </w:pPr>
    <w:rPr>
      <w:rFonts w:asciiTheme="majorHAnsi" w:eastAsiaTheme="majorEastAsia" w:hAnsiTheme="majorHAnsi" w:cstheme="majorBidi"/>
      <w:i/>
      <w:iCs/>
      <w:color w:val="4F81BD" w:themeColor="accent1"/>
      <w:spacing w:val="15"/>
      <w:szCs w:val="24"/>
      <w:lang w:eastAsia="en-US"/>
    </w:rPr>
  </w:style>
  <w:style w:type="character" w:customStyle="1" w:styleId="SubtitleChar">
    <w:name w:val="Subtitle Char"/>
    <w:basedOn w:val="DefaultParagraphFont"/>
    <w:link w:val="Subtitle"/>
    <w:uiPriority w:val="11"/>
    <w:rsid w:val="001905B8"/>
    <w:rPr>
      <w:rFonts w:asciiTheme="majorHAnsi" w:eastAsiaTheme="majorEastAsia" w:hAnsiTheme="majorHAnsi" w:cstheme="majorBidi"/>
      <w:i/>
      <w:iCs/>
      <w:color w:val="4F81BD" w:themeColor="accent1"/>
      <w:spacing w:val="15"/>
      <w:sz w:val="24"/>
      <w:szCs w:val="24"/>
    </w:rPr>
  </w:style>
  <w:style w:type="paragraph" w:customStyle="1" w:styleId="SingleParagraph">
    <w:name w:val="Single Paragraph"/>
    <w:basedOn w:val="Normal"/>
    <w:rsid w:val="001905B8"/>
    <w:pPr>
      <w:spacing w:after="0" w:line="260" w:lineRule="exact"/>
      <w:jc w:val="both"/>
    </w:pPr>
    <w:rPr>
      <w:rFonts w:ascii="Corbel" w:hAnsi="Corbel"/>
      <w:color w:val="000000"/>
      <w:sz w:val="23"/>
    </w:rPr>
  </w:style>
  <w:style w:type="character" w:customStyle="1" w:styleId="AlphaParagraphCharChar">
    <w:name w:val="Alpha Paragraph Char Char"/>
    <w:link w:val="AlphaParagraph"/>
    <w:locked/>
    <w:rsid w:val="001905B8"/>
    <w:rPr>
      <w:rFonts w:ascii="Corbel" w:hAnsi="Corbel"/>
      <w:color w:val="000000"/>
      <w:sz w:val="23"/>
    </w:rPr>
  </w:style>
  <w:style w:type="paragraph" w:customStyle="1" w:styleId="AlphaParagraph">
    <w:name w:val="Alpha Paragraph"/>
    <w:basedOn w:val="Normal"/>
    <w:link w:val="AlphaParagraphCharChar"/>
    <w:rsid w:val="001905B8"/>
    <w:pPr>
      <w:tabs>
        <w:tab w:val="num" w:pos="0"/>
        <w:tab w:val="num" w:pos="567"/>
        <w:tab w:val="num" w:pos="1134"/>
      </w:tabs>
      <w:spacing w:after="240" w:line="260" w:lineRule="exact"/>
      <w:ind w:left="567" w:hanging="567"/>
      <w:jc w:val="both"/>
    </w:pPr>
    <w:rPr>
      <w:rFonts w:ascii="Corbel" w:eastAsiaTheme="minorHAnsi" w:hAnsi="Corbel" w:cstheme="minorBidi"/>
      <w:color w:val="000000"/>
      <w:sz w:val="23"/>
      <w:szCs w:val="22"/>
      <w:lang w:eastAsia="en-US"/>
    </w:rPr>
  </w:style>
  <w:style w:type="paragraph" w:customStyle="1" w:styleId="Signed">
    <w:name w:val="Signed"/>
    <w:basedOn w:val="Normal"/>
    <w:rsid w:val="001905B8"/>
    <w:pPr>
      <w:spacing w:after="120"/>
      <w:jc w:val="both"/>
    </w:pPr>
    <w:rPr>
      <w:rFonts w:ascii="Book Antiqua" w:hAnsi="Book Antiqua"/>
      <w:bCs/>
      <w:i/>
      <w:color w:val="000000"/>
      <w:sz w:val="22"/>
    </w:rPr>
  </w:style>
  <w:style w:type="paragraph" w:customStyle="1" w:styleId="Position">
    <w:name w:val="Position"/>
    <w:basedOn w:val="Normal"/>
    <w:rsid w:val="001905B8"/>
    <w:pPr>
      <w:spacing w:after="120" w:line="260" w:lineRule="exact"/>
      <w:jc w:val="both"/>
    </w:pPr>
    <w:rPr>
      <w:rFonts w:ascii="Corbel" w:hAnsi="Corbel"/>
      <w:bCs/>
      <w:color w:val="000000"/>
      <w:sz w:val="20"/>
    </w:rPr>
  </w:style>
  <w:style w:type="paragraph" w:customStyle="1" w:styleId="LineForSignature">
    <w:name w:val="LineForSignature"/>
    <w:basedOn w:val="Normal"/>
    <w:rsid w:val="001905B8"/>
    <w:pPr>
      <w:tabs>
        <w:tab w:val="left" w:leader="underscore" w:pos="3686"/>
      </w:tabs>
      <w:spacing w:before="360" w:after="60" w:line="260" w:lineRule="exact"/>
      <w:jc w:val="both"/>
    </w:pPr>
    <w:rPr>
      <w:rFonts w:ascii="Book Antiqua" w:hAnsi="Book Antiqua"/>
      <w:color w:val="C0C0C0"/>
      <w:sz w:val="23"/>
      <w:lang w:val="en-GB"/>
    </w:rPr>
  </w:style>
  <w:style w:type="character" w:customStyle="1" w:styleId="Bold">
    <w:name w:val="Bold"/>
    <w:rsid w:val="001905B8"/>
    <w:rPr>
      <w:b/>
      <w:bCs w:val="0"/>
    </w:rPr>
  </w:style>
  <w:style w:type="character" w:customStyle="1" w:styleId="SignedBold">
    <w:name w:val="SignedBold"/>
    <w:rsid w:val="001905B8"/>
    <w:rPr>
      <w:b/>
      <w:bCs w:val="0"/>
      <w:i/>
      <w:iCs w:val="0"/>
    </w:rPr>
  </w:style>
  <w:style w:type="numbering" w:customStyle="1" w:styleId="CABNETListAtt">
    <w:name w:val="CABNET List Att"/>
    <w:rsid w:val="001905B8"/>
    <w:pPr>
      <w:numPr>
        <w:numId w:val="4"/>
      </w:numPr>
    </w:pPr>
  </w:style>
  <w:style w:type="character" w:styleId="CommentReference">
    <w:name w:val="annotation reference"/>
    <w:basedOn w:val="DefaultParagraphFont"/>
    <w:uiPriority w:val="99"/>
    <w:semiHidden/>
    <w:unhideWhenUsed/>
    <w:rsid w:val="001905B8"/>
    <w:rPr>
      <w:sz w:val="16"/>
      <w:szCs w:val="16"/>
    </w:rPr>
  </w:style>
  <w:style w:type="paragraph" w:styleId="CommentText">
    <w:name w:val="annotation text"/>
    <w:basedOn w:val="Normal"/>
    <w:link w:val="CommentTextChar"/>
    <w:uiPriority w:val="99"/>
    <w:semiHidden/>
    <w:unhideWhenUsed/>
    <w:rsid w:val="001905B8"/>
    <w:rPr>
      <w:sz w:val="20"/>
    </w:rPr>
  </w:style>
  <w:style w:type="character" w:customStyle="1" w:styleId="CommentTextChar">
    <w:name w:val="Comment Text Char"/>
    <w:basedOn w:val="DefaultParagraphFont"/>
    <w:link w:val="CommentText"/>
    <w:uiPriority w:val="99"/>
    <w:semiHidden/>
    <w:rsid w:val="001905B8"/>
    <w:rPr>
      <w:rFonts w:eastAsia="Times New Roman" w:cs="Times New Roman"/>
      <w:sz w:val="20"/>
      <w:szCs w:val="20"/>
      <w:lang w:eastAsia="en-AU"/>
    </w:rPr>
  </w:style>
  <w:style w:type="paragraph" w:styleId="BalloonText">
    <w:name w:val="Balloon Text"/>
    <w:basedOn w:val="Normal"/>
    <w:link w:val="BalloonTextChar"/>
    <w:uiPriority w:val="99"/>
    <w:semiHidden/>
    <w:unhideWhenUsed/>
    <w:rsid w:val="001905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5B8"/>
    <w:rPr>
      <w:rFonts w:ascii="Tahoma" w:eastAsia="Times New Roman" w:hAnsi="Tahoma" w:cs="Tahoma"/>
      <w:sz w:val="16"/>
      <w:szCs w:val="16"/>
      <w:lang w:eastAsia="en-AU"/>
    </w:rPr>
  </w:style>
  <w:style w:type="paragraph" w:styleId="CommentSubject">
    <w:name w:val="annotation subject"/>
    <w:basedOn w:val="CommentText"/>
    <w:next w:val="CommentText"/>
    <w:link w:val="CommentSubjectChar"/>
    <w:uiPriority w:val="99"/>
    <w:semiHidden/>
    <w:unhideWhenUsed/>
    <w:rsid w:val="001905B8"/>
    <w:rPr>
      <w:b/>
      <w:bCs/>
    </w:rPr>
  </w:style>
  <w:style w:type="character" w:customStyle="1" w:styleId="CommentSubjectChar">
    <w:name w:val="Comment Subject Char"/>
    <w:basedOn w:val="CommentTextChar"/>
    <w:link w:val="CommentSubject"/>
    <w:uiPriority w:val="99"/>
    <w:semiHidden/>
    <w:rsid w:val="001905B8"/>
    <w:rPr>
      <w:rFonts w:eastAsia="Times New Roman" w:cs="Times New Roman"/>
      <w:b/>
      <w:bCs/>
      <w:sz w:val="20"/>
      <w:szCs w:val="20"/>
      <w:lang w:eastAsia="en-AU"/>
    </w:rPr>
  </w:style>
  <w:style w:type="paragraph" w:styleId="Header">
    <w:name w:val="header"/>
    <w:basedOn w:val="Normal"/>
    <w:link w:val="HeaderChar"/>
    <w:uiPriority w:val="99"/>
    <w:unhideWhenUsed/>
    <w:rsid w:val="00354DFE"/>
    <w:pPr>
      <w:tabs>
        <w:tab w:val="center" w:pos="4513"/>
        <w:tab w:val="right" w:pos="9026"/>
      </w:tabs>
      <w:spacing w:after="0"/>
    </w:pPr>
  </w:style>
  <w:style w:type="character" w:customStyle="1" w:styleId="HeaderChar">
    <w:name w:val="Header Char"/>
    <w:basedOn w:val="DefaultParagraphFont"/>
    <w:link w:val="Header"/>
    <w:uiPriority w:val="99"/>
    <w:rsid w:val="00354DFE"/>
    <w:rPr>
      <w:rFonts w:eastAsia="Times New Roman" w:cs="Times New Roman"/>
      <w:sz w:val="24"/>
      <w:szCs w:val="20"/>
      <w:lang w:eastAsia="en-AU"/>
    </w:rPr>
  </w:style>
  <w:style w:type="paragraph" w:styleId="Footer">
    <w:name w:val="footer"/>
    <w:basedOn w:val="Normal"/>
    <w:link w:val="FooterChar"/>
    <w:uiPriority w:val="99"/>
    <w:unhideWhenUsed/>
    <w:rsid w:val="00354DFE"/>
    <w:pPr>
      <w:tabs>
        <w:tab w:val="center" w:pos="4513"/>
        <w:tab w:val="right" w:pos="9026"/>
      </w:tabs>
      <w:spacing w:after="0"/>
    </w:pPr>
  </w:style>
  <w:style w:type="character" w:customStyle="1" w:styleId="FooterChar">
    <w:name w:val="Footer Char"/>
    <w:basedOn w:val="DefaultParagraphFont"/>
    <w:link w:val="Footer"/>
    <w:uiPriority w:val="99"/>
    <w:rsid w:val="00354DFE"/>
    <w:rPr>
      <w:rFonts w:eastAsia="Times New Roman" w:cs="Times New Roman"/>
      <w:sz w:val="24"/>
      <w:szCs w:val="20"/>
      <w:lang w:eastAsia="en-AU"/>
    </w:rPr>
  </w:style>
  <w:style w:type="paragraph" w:customStyle="1" w:styleId="Default">
    <w:name w:val="Default"/>
    <w:rsid w:val="00D660F2"/>
    <w:pPr>
      <w:autoSpaceDE w:val="0"/>
      <w:autoSpaceDN w:val="0"/>
      <w:adjustRightInd w:val="0"/>
      <w:spacing w:after="0" w:line="240" w:lineRule="auto"/>
    </w:pPr>
    <w:rPr>
      <w:rFonts w:ascii="Calibri" w:hAnsi="Calibri" w:cs="Calibri"/>
      <w:color w:val="000000"/>
      <w:sz w:val="24"/>
      <w:szCs w:val="24"/>
    </w:rPr>
  </w:style>
  <w:style w:type="character" w:styleId="IntenseReference">
    <w:name w:val="Intense Reference"/>
    <w:basedOn w:val="DefaultParagraphFont"/>
    <w:uiPriority w:val="32"/>
    <w:qFormat/>
    <w:rsid w:val="00D660F2"/>
    <w:rPr>
      <w:b/>
      <w:bCs/>
      <w:i/>
      <w:iCs w:val="0"/>
      <w:smallCaps/>
      <w:strike w:val="0"/>
      <w:dstrike w:val="0"/>
      <w:color w:val="C0504D" w:themeColor="accent2"/>
      <w:spacing w:val="5"/>
      <w:u w:val="none"/>
      <w:effect w:val="none"/>
    </w:rPr>
  </w:style>
  <w:style w:type="character" w:styleId="Emphasis">
    <w:name w:val="Emphasis"/>
    <w:basedOn w:val="DefaultParagraphFont"/>
    <w:uiPriority w:val="20"/>
    <w:qFormat/>
    <w:rsid w:val="00D660F2"/>
    <w:rPr>
      <w:i/>
      <w:iCs/>
    </w:rPr>
  </w:style>
  <w:style w:type="character" w:customStyle="1" w:styleId="Heading2Char">
    <w:name w:val="Heading 2 Char"/>
    <w:basedOn w:val="DefaultParagraphFont"/>
    <w:link w:val="Heading2"/>
    <w:uiPriority w:val="9"/>
    <w:rsid w:val="00B677BC"/>
    <w:rPr>
      <w:rFonts w:ascii="Calibri" w:eastAsia="Times New Roman" w:hAnsi="Calibri" w:cs="Times New Roman"/>
      <w:b/>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B8"/>
    <w:pPr>
      <w:spacing w:line="240" w:lineRule="auto"/>
    </w:pPr>
    <w:rPr>
      <w:rFonts w:eastAsia="Times New Roman" w:cs="Times New Roman"/>
      <w:sz w:val="24"/>
      <w:szCs w:val="20"/>
      <w:lang w:eastAsia="en-AU"/>
    </w:rPr>
  </w:style>
  <w:style w:type="paragraph" w:styleId="Heading1">
    <w:name w:val="heading 1"/>
    <w:basedOn w:val="Normal"/>
    <w:next w:val="Normal"/>
    <w:link w:val="Heading1Char"/>
    <w:qFormat/>
    <w:rsid w:val="001905B8"/>
    <w:pPr>
      <w:keepNext/>
      <w:outlineLvl w:val="0"/>
    </w:pPr>
    <w:rPr>
      <w:rFonts w:ascii="Calibri" w:hAnsi="Calibri"/>
      <w:b/>
      <w:szCs w:val="24"/>
    </w:rPr>
  </w:style>
  <w:style w:type="paragraph" w:styleId="Heading2">
    <w:name w:val="heading 2"/>
    <w:basedOn w:val="Heading1"/>
    <w:next w:val="Normal"/>
    <w:link w:val="Heading2Char"/>
    <w:uiPriority w:val="9"/>
    <w:unhideWhenUsed/>
    <w:qFormat/>
    <w:rsid w:val="00B677BC"/>
    <w:pPr>
      <w:spacing w:before="240" w:after="24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05B8"/>
    <w:rPr>
      <w:rFonts w:ascii="Calibri" w:eastAsia="Times New Roman" w:hAnsi="Calibri" w:cs="Times New Roman"/>
      <w:b/>
      <w:sz w:val="24"/>
      <w:szCs w:val="24"/>
      <w:lang w:eastAsia="en-AU"/>
    </w:rPr>
  </w:style>
  <w:style w:type="paragraph" w:styleId="ListParagraph">
    <w:name w:val="List Paragraph"/>
    <w:aliases w:val="List Paragraph1,Recommendation,List Paragraph11,Bullet point,List Paragraph111,L,F5 List Paragraph,Dot pt,CV text,Table text,Medium Grid 1 - Accent 21,Numbered Paragraph,List Paragraph2,NFP GP Bulleted List,FooterText,numbered,列出段,列,列出段落"/>
    <w:basedOn w:val="Normal"/>
    <w:link w:val="ListParagraphChar"/>
    <w:uiPriority w:val="34"/>
    <w:qFormat/>
    <w:rsid w:val="001905B8"/>
    <w:pPr>
      <w:ind w:left="720"/>
      <w:contextualSpacing/>
    </w:pPr>
  </w:style>
  <w:style w:type="character" w:customStyle="1" w:styleId="ListParagraphChar">
    <w:name w:val="List Paragraph Char"/>
    <w:aliases w:val="List Paragraph1 Char,Recommendation Char,List Paragraph11 Char,Bullet point Char,List Paragraph111 Char,L Char,F5 List Paragraph Char,Dot pt Char,CV text Char,Table text Char,Medium Grid 1 - Accent 21 Char,Numbered Paragraph Char"/>
    <w:basedOn w:val="DefaultParagraphFont"/>
    <w:link w:val="ListParagraph"/>
    <w:uiPriority w:val="34"/>
    <w:qFormat/>
    <w:locked/>
    <w:rsid w:val="001905B8"/>
    <w:rPr>
      <w:rFonts w:eastAsia="Times New Roman" w:cs="Times New Roman"/>
      <w:sz w:val="24"/>
      <w:szCs w:val="20"/>
      <w:lang w:eastAsia="en-AU"/>
    </w:rPr>
  </w:style>
  <w:style w:type="paragraph" w:styleId="Title">
    <w:name w:val="Title"/>
    <w:basedOn w:val="Normal"/>
    <w:next w:val="Normal"/>
    <w:link w:val="TitleChar"/>
    <w:uiPriority w:val="10"/>
    <w:qFormat/>
    <w:rsid w:val="001905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1905B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905B8"/>
    <w:pPr>
      <w:spacing w:line="276" w:lineRule="auto"/>
    </w:pPr>
    <w:rPr>
      <w:rFonts w:asciiTheme="majorHAnsi" w:eastAsiaTheme="majorEastAsia" w:hAnsiTheme="majorHAnsi" w:cstheme="majorBidi"/>
      <w:i/>
      <w:iCs/>
      <w:color w:val="4F81BD" w:themeColor="accent1"/>
      <w:spacing w:val="15"/>
      <w:szCs w:val="24"/>
      <w:lang w:eastAsia="en-US"/>
    </w:rPr>
  </w:style>
  <w:style w:type="character" w:customStyle="1" w:styleId="SubtitleChar">
    <w:name w:val="Subtitle Char"/>
    <w:basedOn w:val="DefaultParagraphFont"/>
    <w:link w:val="Subtitle"/>
    <w:uiPriority w:val="11"/>
    <w:rsid w:val="001905B8"/>
    <w:rPr>
      <w:rFonts w:asciiTheme="majorHAnsi" w:eastAsiaTheme="majorEastAsia" w:hAnsiTheme="majorHAnsi" w:cstheme="majorBidi"/>
      <w:i/>
      <w:iCs/>
      <w:color w:val="4F81BD" w:themeColor="accent1"/>
      <w:spacing w:val="15"/>
      <w:sz w:val="24"/>
      <w:szCs w:val="24"/>
    </w:rPr>
  </w:style>
  <w:style w:type="paragraph" w:customStyle="1" w:styleId="SingleParagraph">
    <w:name w:val="Single Paragraph"/>
    <w:basedOn w:val="Normal"/>
    <w:rsid w:val="001905B8"/>
    <w:pPr>
      <w:spacing w:after="0" w:line="260" w:lineRule="exact"/>
      <w:jc w:val="both"/>
    </w:pPr>
    <w:rPr>
      <w:rFonts w:ascii="Corbel" w:hAnsi="Corbel"/>
      <w:color w:val="000000"/>
      <w:sz w:val="23"/>
    </w:rPr>
  </w:style>
  <w:style w:type="character" w:customStyle="1" w:styleId="AlphaParagraphCharChar">
    <w:name w:val="Alpha Paragraph Char Char"/>
    <w:link w:val="AlphaParagraph"/>
    <w:locked/>
    <w:rsid w:val="001905B8"/>
    <w:rPr>
      <w:rFonts w:ascii="Corbel" w:hAnsi="Corbel"/>
      <w:color w:val="000000"/>
      <w:sz w:val="23"/>
    </w:rPr>
  </w:style>
  <w:style w:type="paragraph" w:customStyle="1" w:styleId="AlphaParagraph">
    <w:name w:val="Alpha Paragraph"/>
    <w:basedOn w:val="Normal"/>
    <w:link w:val="AlphaParagraphCharChar"/>
    <w:rsid w:val="001905B8"/>
    <w:pPr>
      <w:tabs>
        <w:tab w:val="num" w:pos="0"/>
        <w:tab w:val="num" w:pos="567"/>
        <w:tab w:val="num" w:pos="1134"/>
      </w:tabs>
      <w:spacing w:after="240" w:line="260" w:lineRule="exact"/>
      <w:ind w:left="567" w:hanging="567"/>
      <w:jc w:val="both"/>
    </w:pPr>
    <w:rPr>
      <w:rFonts w:ascii="Corbel" w:eastAsiaTheme="minorHAnsi" w:hAnsi="Corbel" w:cstheme="minorBidi"/>
      <w:color w:val="000000"/>
      <w:sz w:val="23"/>
      <w:szCs w:val="22"/>
      <w:lang w:eastAsia="en-US"/>
    </w:rPr>
  </w:style>
  <w:style w:type="paragraph" w:customStyle="1" w:styleId="Signed">
    <w:name w:val="Signed"/>
    <w:basedOn w:val="Normal"/>
    <w:rsid w:val="001905B8"/>
    <w:pPr>
      <w:spacing w:after="120"/>
      <w:jc w:val="both"/>
    </w:pPr>
    <w:rPr>
      <w:rFonts w:ascii="Book Antiqua" w:hAnsi="Book Antiqua"/>
      <w:bCs/>
      <w:i/>
      <w:color w:val="000000"/>
      <w:sz w:val="22"/>
    </w:rPr>
  </w:style>
  <w:style w:type="paragraph" w:customStyle="1" w:styleId="Position">
    <w:name w:val="Position"/>
    <w:basedOn w:val="Normal"/>
    <w:rsid w:val="001905B8"/>
    <w:pPr>
      <w:spacing w:after="120" w:line="260" w:lineRule="exact"/>
      <w:jc w:val="both"/>
    </w:pPr>
    <w:rPr>
      <w:rFonts w:ascii="Corbel" w:hAnsi="Corbel"/>
      <w:bCs/>
      <w:color w:val="000000"/>
      <w:sz w:val="20"/>
    </w:rPr>
  </w:style>
  <w:style w:type="paragraph" w:customStyle="1" w:styleId="LineForSignature">
    <w:name w:val="LineForSignature"/>
    <w:basedOn w:val="Normal"/>
    <w:rsid w:val="001905B8"/>
    <w:pPr>
      <w:tabs>
        <w:tab w:val="left" w:leader="underscore" w:pos="3686"/>
      </w:tabs>
      <w:spacing w:before="360" w:after="60" w:line="260" w:lineRule="exact"/>
      <w:jc w:val="both"/>
    </w:pPr>
    <w:rPr>
      <w:rFonts w:ascii="Book Antiqua" w:hAnsi="Book Antiqua"/>
      <w:color w:val="C0C0C0"/>
      <w:sz w:val="23"/>
      <w:lang w:val="en-GB"/>
    </w:rPr>
  </w:style>
  <w:style w:type="character" w:customStyle="1" w:styleId="Bold">
    <w:name w:val="Bold"/>
    <w:rsid w:val="001905B8"/>
    <w:rPr>
      <w:b/>
      <w:bCs w:val="0"/>
    </w:rPr>
  </w:style>
  <w:style w:type="character" w:customStyle="1" w:styleId="SignedBold">
    <w:name w:val="SignedBold"/>
    <w:rsid w:val="001905B8"/>
    <w:rPr>
      <w:b/>
      <w:bCs w:val="0"/>
      <w:i/>
      <w:iCs w:val="0"/>
    </w:rPr>
  </w:style>
  <w:style w:type="numbering" w:customStyle="1" w:styleId="CABNETListAtt">
    <w:name w:val="CABNET List Att"/>
    <w:rsid w:val="001905B8"/>
    <w:pPr>
      <w:numPr>
        <w:numId w:val="4"/>
      </w:numPr>
    </w:pPr>
  </w:style>
  <w:style w:type="character" w:styleId="CommentReference">
    <w:name w:val="annotation reference"/>
    <w:basedOn w:val="DefaultParagraphFont"/>
    <w:uiPriority w:val="99"/>
    <w:semiHidden/>
    <w:unhideWhenUsed/>
    <w:rsid w:val="001905B8"/>
    <w:rPr>
      <w:sz w:val="16"/>
      <w:szCs w:val="16"/>
    </w:rPr>
  </w:style>
  <w:style w:type="paragraph" w:styleId="CommentText">
    <w:name w:val="annotation text"/>
    <w:basedOn w:val="Normal"/>
    <w:link w:val="CommentTextChar"/>
    <w:uiPriority w:val="99"/>
    <w:semiHidden/>
    <w:unhideWhenUsed/>
    <w:rsid w:val="001905B8"/>
    <w:rPr>
      <w:sz w:val="20"/>
    </w:rPr>
  </w:style>
  <w:style w:type="character" w:customStyle="1" w:styleId="CommentTextChar">
    <w:name w:val="Comment Text Char"/>
    <w:basedOn w:val="DefaultParagraphFont"/>
    <w:link w:val="CommentText"/>
    <w:uiPriority w:val="99"/>
    <w:semiHidden/>
    <w:rsid w:val="001905B8"/>
    <w:rPr>
      <w:rFonts w:eastAsia="Times New Roman" w:cs="Times New Roman"/>
      <w:sz w:val="20"/>
      <w:szCs w:val="20"/>
      <w:lang w:eastAsia="en-AU"/>
    </w:rPr>
  </w:style>
  <w:style w:type="paragraph" w:styleId="BalloonText">
    <w:name w:val="Balloon Text"/>
    <w:basedOn w:val="Normal"/>
    <w:link w:val="BalloonTextChar"/>
    <w:uiPriority w:val="99"/>
    <w:semiHidden/>
    <w:unhideWhenUsed/>
    <w:rsid w:val="001905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5B8"/>
    <w:rPr>
      <w:rFonts w:ascii="Tahoma" w:eastAsia="Times New Roman" w:hAnsi="Tahoma" w:cs="Tahoma"/>
      <w:sz w:val="16"/>
      <w:szCs w:val="16"/>
      <w:lang w:eastAsia="en-AU"/>
    </w:rPr>
  </w:style>
  <w:style w:type="paragraph" w:styleId="CommentSubject">
    <w:name w:val="annotation subject"/>
    <w:basedOn w:val="CommentText"/>
    <w:next w:val="CommentText"/>
    <w:link w:val="CommentSubjectChar"/>
    <w:uiPriority w:val="99"/>
    <w:semiHidden/>
    <w:unhideWhenUsed/>
    <w:rsid w:val="001905B8"/>
    <w:rPr>
      <w:b/>
      <w:bCs/>
    </w:rPr>
  </w:style>
  <w:style w:type="character" w:customStyle="1" w:styleId="CommentSubjectChar">
    <w:name w:val="Comment Subject Char"/>
    <w:basedOn w:val="CommentTextChar"/>
    <w:link w:val="CommentSubject"/>
    <w:uiPriority w:val="99"/>
    <w:semiHidden/>
    <w:rsid w:val="001905B8"/>
    <w:rPr>
      <w:rFonts w:eastAsia="Times New Roman" w:cs="Times New Roman"/>
      <w:b/>
      <w:bCs/>
      <w:sz w:val="20"/>
      <w:szCs w:val="20"/>
      <w:lang w:eastAsia="en-AU"/>
    </w:rPr>
  </w:style>
  <w:style w:type="paragraph" w:styleId="Header">
    <w:name w:val="header"/>
    <w:basedOn w:val="Normal"/>
    <w:link w:val="HeaderChar"/>
    <w:uiPriority w:val="99"/>
    <w:unhideWhenUsed/>
    <w:rsid w:val="00354DFE"/>
    <w:pPr>
      <w:tabs>
        <w:tab w:val="center" w:pos="4513"/>
        <w:tab w:val="right" w:pos="9026"/>
      </w:tabs>
      <w:spacing w:after="0"/>
    </w:pPr>
  </w:style>
  <w:style w:type="character" w:customStyle="1" w:styleId="HeaderChar">
    <w:name w:val="Header Char"/>
    <w:basedOn w:val="DefaultParagraphFont"/>
    <w:link w:val="Header"/>
    <w:uiPriority w:val="99"/>
    <w:rsid w:val="00354DFE"/>
    <w:rPr>
      <w:rFonts w:eastAsia="Times New Roman" w:cs="Times New Roman"/>
      <w:sz w:val="24"/>
      <w:szCs w:val="20"/>
      <w:lang w:eastAsia="en-AU"/>
    </w:rPr>
  </w:style>
  <w:style w:type="paragraph" w:styleId="Footer">
    <w:name w:val="footer"/>
    <w:basedOn w:val="Normal"/>
    <w:link w:val="FooterChar"/>
    <w:uiPriority w:val="99"/>
    <w:unhideWhenUsed/>
    <w:rsid w:val="00354DFE"/>
    <w:pPr>
      <w:tabs>
        <w:tab w:val="center" w:pos="4513"/>
        <w:tab w:val="right" w:pos="9026"/>
      </w:tabs>
      <w:spacing w:after="0"/>
    </w:pPr>
  </w:style>
  <w:style w:type="character" w:customStyle="1" w:styleId="FooterChar">
    <w:name w:val="Footer Char"/>
    <w:basedOn w:val="DefaultParagraphFont"/>
    <w:link w:val="Footer"/>
    <w:uiPriority w:val="99"/>
    <w:rsid w:val="00354DFE"/>
    <w:rPr>
      <w:rFonts w:eastAsia="Times New Roman" w:cs="Times New Roman"/>
      <w:sz w:val="24"/>
      <w:szCs w:val="20"/>
      <w:lang w:eastAsia="en-AU"/>
    </w:rPr>
  </w:style>
  <w:style w:type="paragraph" w:customStyle="1" w:styleId="Default">
    <w:name w:val="Default"/>
    <w:rsid w:val="00D660F2"/>
    <w:pPr>
      <w:autoSpaceDE w:val="0"/>
      <w:autoSpaceDN w:val="0"/>
      <w:adjustRightInd w:val="0"/>
      <w:spacing w:after="0" w:line="240" w:lineRule="auto"/>
    </w:pPr>
    <w:rPr>
      <w:rFonts w:ascii="Calibri" w:hAnsi="Calibri" w:cs="Calibri"/>
      <w:color w:val="000000"/>
      <w:sz w:val="24"/>
      <w:szCs w:val="24"/>
    </w:rPr>
  </w:style>
  <w:style w:type="character" w:styleId="IntenseReference">
    <w:name w:val="Intense Reference"/>
    <w:basedOn w:val="DefaultParagraphFont"/>
    <w:uiPriority w:val="32"/>
    <w:qFormat/>
    <w:rsid w:val="00D660F2"/>
    <w:rPr>
      <w:b/>
      <w:bCs/>
      <w:i/>
      <w:iCs w:val="0"/>
      <w:smallCaps/>
      <w:strike w:val="0"/>
      <w:dstrike w:val="0"/>
      <w:color w:val="C0504D" w:themeColor="accent2"/>
      <w:spacing w:val="5"/>
      <w:u w:val="none"/>
      <w:effect w:val="none"/>
    </w:rPr>
  </w:style>
  <w:style w:type="character" w:styleId="Emphasis">
    <w:name w:val="Emphasis"/>
    <w:basedOn w:val="DefaultParagraphFont"/>
    <w:uiPriority w:val="20"/>
    <w:qFormat/>
    <w:rsid w:val="00D660F2"/>
    <w:rPr>
      <w:i/>
      <w:iCs/>
    </w:rPr>
  </w:style>
  <w:style w:type="character" w:customStyle="1" w:styleId="Heading2Char">
    <w:name w:val="Heading 2 Char"/>
    <w:basedOn w:val="DefaultParagraphFont"/>
    <w:link w:val="Heading2"/>
    <w:uiPriority w:val="9"/>
    <w:rsid w:val="00B677BC"/>
    <w:rPr>
      <w:rFonts w:ascii="Calibri" w:eastAsia="Times New Roman" w:hAnsi="Calibri" w:cs="Times New Roman"/>
      <w:b/>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69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ECD0EA-DA30-4012-8CF7-C650E9CAF491}"/>
</file>

<file path=customXml/itemProps2.xml><?xml version="1.0" encoding="utf-8"?>
<ds:datastoreItem xmlns:ds="http://schemas.openxmlformats.org/officeDocument/2006/customXml" ds:itemID="{64226E29-B41F-48CF-96A8-578CDD31A946}"/>
</file>

<file path=customXml/itemProps3.xml><?xml version="1.0" encoding="utf-8"?>
<ds:datastoreItem xmlns:ds="http://schemas.openxmlformats.org/officeDocument/2006/customXml" ds:itemID="{2988EB0A-83C3-4689-87FF-B8FD410E8B04}"/>
</file>

<file path=docProps/app.xml><?xml version="1.0" encoding="utf-8"?>
<Properties xmlns="http://schemas.openxmlformats.org/officeDocument/2006/extended-properties" xmlns:vt="http://schemas.openxmlformats.org/officeDocument/2006/docPropsVTypes">
  <Template>B91E3D3</Template>
  <TotalTime>0</TotalTime>
  <Pages>10</Pages>
  <Words>2648</Words>
  <Characters>15496</Characters>
  <Application>Microsoft Office Word</Application>
  <DocSecurity>4</DocSecurity>
  <Lines>254</Lines>
  <Paragraphs>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2016-04-01T03:01:00Z</dcterms:created>
  <dcterms:modified xsi:type="dcterms:W3CDTF">2016-04-01T03:01:00Z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