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56" w:rsidRPr="00AD3309" w:rsidRDefault="00221F56" w:rsidP="00F300FD">
      <w:pPr>
        <w:rPr>
          <w:b/>
          <w:sz w:val="28"/>
        </w:rPr>
      </w:pPr>
      <w:r w:rsidRPr="00AD3309">
        <w:rPr>
          <w:b/>
          <w:sz w:val="28"/>
        </w:rPr>
        <w:t>Subaward Agreements:</w:t>
      </w:r>
    </w:p>
    <w:p w:rsidR="00221F56" w:rsidRDefault="00D83D1F" w:rsidP="00221F56">
      <w:r>
        <w:t>A Subaward A</w:t>
      </w:r>
      <w:r w:rsidR="00221F56">
        <w:t xml:space="preserve">greement (also referred to as sub-contract, transfer of funds, sub-grant agreement, </w:t>
      </w:r>
      <w:proofErr w:type="gramStart"/>
      <w:r w:rsidR="00221F56">
        <w:t>inter</w:t>
      </w:r>
      <w:proofErr w:type="gramEnd"/>
      <w:r w:rsidR="00221F56">
        <w:t>-institutional agreement) is a legally-binding agreement which provides funds to another entity</w:t>
      </w:r>
      <w:r w:rsidR="0023359B">
        <w:t xml:space="preserve"> (“Subrecipient”)</w:t>
      </w:r>
      <w:r w:rsidR="00221F56">
        <w:t xml:space="preserve"> for the purposes of carrying out a portion of the scope of the work describ</w:t>
      </w:r>
      <w:r w:rsidR="0023359B">
        <w:t>ed in the proposal/contract. A subaward a</w:t>
      </w:r>
      <w:r w:rsidR="00221F56">
        <w:t xml:space="preserve">greement binds all parties to the originating sponsor’s requirements, regarding: financial administration (account management, record keeping, use of research funds, reporting, etc.), responsible conduct of research (ethics, research integrity, etc.), as well as intellectual property, governance, ownership of equipment, etc. </w:t>
      </w:r>
    </w:p>
    <w:p w:rsidR="00D24873" w:rsidRDefault="00D24873" w:rsidP="00F300FD">
      <w:pPr>
        <w:rPr>
          <w:i/>
        </w:rPr>
      </w:pPr>
      <w:r>
        <w:t xml:space="preserve">To issue any research funds to another entity in support of a project, a </w:t>
      </w:r>
      <w:r w:rsidR="0023359B">
        <w:t>s</w:t>
      </w:r>
      <w:r>
        <w:t xml:space="preserve">ubaward </w:t>
      </w:r>
      <w:r w:rsidR="0023359B">
        <w:t>a</w:t>
      </w:r>
      <w:r>
        <w:t xml:space="preserve">greement is required prior to McGill’s Financial Services processing any payment request. </w:t>
      </w:r>
      <w:r w:rsidRPr="00D24873">
        <w:rPr>
          <w:i/>
        </w:rPr>
        <w:t xml:space="preserve">McGill will not pay </w:t>
      </w:r>
      <w:r>
        <w:rPr>
          <w:i/>
        </w:rPr>
        <w:t xml:space="preserve">or issue </w:t>
      </w:r>
      <w:r w:rsidRPr="00D24873">
        <w:rPr>
          <w:i/>
        </w:rPr>
        <w:t xml:space="preserve">an invoice without a subaward agreement in place. </w:t>
      </w:r>
    </w:p>
    <w:p w:rsidR="00D24873" w:rsidRPr="00AD3309" w:rsidRDefault="00221F56" w:rsidP="00F300FD">
      <w:pPr>
        <w:rPr>
          <w:b/>
          <w:sz w:val="28"/>
          <w:u w:val="single"/>
        </w:rPr>
      </w:pPr>
      <w:r w:rsidRPr="00AD3309">
        <w:rPr>
          <w:b/>
          <w:sz w:val="28"/>
          <w:u w:val="single"/>
        </w:rPr>
        <w:t xml:space="preserve">Payment Mechanisms for Subawards: </w:t>
      </w:r>
    </w:p>
    <w:p w:rsidR="00D83D1F" w:rsidRDefault="00221F56" w:rsidP="00221F56">
      <w:r w:rsidRPr="00AA350B">
        <w:rPr>
          <w:u w:val="single"/>
        </w:rPr>
        <w:t>Accountable Advance:</w:t>
      </w:r>
      <w:r>
        <w:t xml:space="preserve"> </w:t>
      </w:r>
      <w:r w:rsidRPr="00221F56">
        <w:t>Money is issued in advance of expenditures (usually u</w:t>
      </w:r>
      <w:r>
        <w:t xml:space="preserve">pon signature of the agreement). </w:t>
      </w:r>
      <w:r w:rsidR="0023359B">
        <w:t>Subrecipient</w:t>
      </w:r>
      <w:r w:rsidRPr="00221F56">
        <w:t xml:space="preserve"> provides financial statements, reconciling expenses against the funding pr</w:t>
      </w:r>
      <w:r>
        <w:t xml:space="preserve">ovided. </w:t>
      </w:r>
      <w:r w:rsidRPr="00221F56">
        <w:t>U</w:t>
      </w:r>
      <w:r w:rsidR="0023359B">
        <w:t>nspent funds at the end of the p</w:t>
      </w:r>
      <w:r w:rsidRPr="00221F56">
        <w:t>eriod of</w:t>
      </w:r>
      <w:r w:rsidR="0023359B">
        <w:t xml:space="preserve"> p</w:t>
      </w:r>
      <w:r w:rsidRPr="00221F56">
        <w:t>erformance must be returned</w:t>
      </w:r>
      <w:r>
        <w:t xml:space="preserve">. Most common for </w:t>
      </w:r>
      <w:r w:rsidRPr="00221F56">
        <w:t>Tri-Agency &amp; FRQ grants</w:t>
      </w:r>
      <w:r>
        <w:t xml:space="preserve">. </w:t>
      </w:r>
      <w:r w:rsidR="00D83D1F">
        <w:t xml:space="preserve">Upon receipt of fully executed agreement, McGill’s Financial Services issues a payment request, issuing the payment to the </w:t>
      </w:r>
      <w:r w:rsidR="0023359B">
        <w:t>subrecipient</w:t>
      </w:r>
      <w:r w:rsidR="00D83D1F">
        <w:t xml:space="preserve">. </w:t>
      </w:r>
    </w:p>
    <w:p w:rsidR="00221F56" w:rsidRDefault="00221F56" w:rsidP="00221F56">
      <w:r w:rsidRPr="00AA350B">
        <w:rPr>
          <w:u w:val="single"/>
        </w:rPr>
        <w:t>Cost-reimbursement:</w:t>
      </w:r>
      <w:r>
        <w:t xml:space="preserve"> </w:t>
      </w:r>
      <w:r w:rsidR="0023359B">
        <w:t>Subrecipient</w:t>
      </w:r>
      <w:r w:rsidRPr="00221F56">
        <w:t xml:space="preserve"> advances </w:t>
      </w:r>
      <w:r w:rsidR="00D83D1F">
        <w:t>spending power</w:t>
      </w:r>
      <w:r w:rsidRPr="00221F56">
        <w:t xml:space="preserve"> </w:t>
      </w:r>
      <w:r w:rsidR="0023359B">
        <w:t>consistent with the no-to-exceed amount noted in the legally binding subaward agreement.</w:t>
      </w:r>
      <w:r>
        <w:t xml:space="preserve"> </w:t>
      </w:r>
      <w:r w:rsidR="0023359B">
        <w:t>Subrecipient</w:t>
      </w:r>
      <w:r w:rsidRPr="00221F56">
        <w:t xml:space="preserve"> incurs</w:t>
      </w:r>
      <w:r>
        <w:t xml:space="preserve"> expenses in advance of payment. </w:t>
      </w:r>
      <w:r w:rsidRPr="00221F56">
        <w:t>Claims sent to prime institution reporting on actual expenditures incurred</w:t>
      </w:r>
      <w:r w:rsidR="00D83D1F">
        <w:t xml:space="preserve">. </w:t>
      </w:r>
      <w:r w:rsidRPr="00221F56">
        <w:t>Prime institution issues paymen</w:t>
      </w:r>
      <w:r w:rsidR="00D83D1F">
        <w:t xml:space="preserve">ts based on real costs incurred. </w:t>
      </w:r>
      <w:r w:rsidRPr="00221F56">
        <w:t>Common for non-Tri-</w:t>
      </w:r>
      <w:r w:rsidRPr="00221F56">
        <w:lastRenderedPageBreak/>
        <w:t>Agency funding (US Federal, etc.)</w:t>
      </w:r>
      <w:r w:rsidR="00D83D1F">
        <w:t xml:space="preserve">. Payments will be made upon receipt of invoices from the </w:t>
      </w:r>
      <w:r w:rsidR="0023359B">
        <w:t>subrecipient</w:t>
      </w:r>
      <w:r w:rsidR="00D83D1F">
        <w:t xml:space="preserve">. </w:t>
      </w:r>
    </w:p>
    <w:p w:rsidR="00221F56" w:rsidRPr="00AD3309" w:rsidRDefault="00D83D1F" w:rsidP="00221F56">
      <w:pPr>
        <w:rPr>
          <w:b/>
          <w:sz w:val="28"/>
          <w:u w:val="single"/>
        </w:rPr>
      </w:pPr>
      <w:r w:rsidRPr="00AD3309">
        <w:rPr>
          <w:b/>
          <w:sz w:val="28"/>
          <w:u w:val="single"/>
        </w:rPr>
        <w:t xml:space="preserve">Process to Request a Subaward Agreement: </w:t>
      </w:r>
    </w:p>
    <w:p w:rsidR="0023359B" w:rsidRDefault="00D83D1F" w:rsidP="00221F56">
      <w:r>
        <w:t xml:space="preserve">To request a </w:t>
      </w:r>
      <w:r w:rsidR="0023359B">
        <w:t>s</w:t>
      </w:r>
      <w:r>
        <w:t>ubaward, the Fund Financial Manager must write to the appropriate office below, confirming the Fund number to be used, th</w:t>
      </w:r>
      <w:r w:rsidR="0023359B">
        <w:t>e amount to be issued, the subrecipient</w:t>
      </w:r>
      <w:r>
        <w:t xml:space="preserve"> institution, the investigator who will be responsible for the</w:t>
      </w:r>
      <w:r w:rsidR="0023359B">
        <w:t xml:space="preserve"> work at the subrecipient site, and the scope of work (brief description of activities to be supported as part of subaward agreement). </w:t>
      </w:r>
    </w:p>
    <w:p w:rsidR="00AE1E0D" w:rsidRPr="00AD3309" w:rsidRDefault="00AE1E0D" w:rsidP="00221F56">
      <w:pPr>
        <w:rPr>
          <w:b/>
          <w:sz w:val="28"/>
          <w:u w:val="single"/>
        </w:rPr>
      </w:pPr>
      <w:r w:rsidRPr="00AD3309">
        <w:rPr>
          <w:b/>
          <w:sz w:val="28"/>
          <w:u w:val="single"/>
        </w:rPr>
        <w:t xml:space="preserve">Who to Contact? 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335"/>
        <w:gridCol w:w="5940"/>
        <w:gridCol w:w="2520"/>
      </w:tblGrid>
      <w:tr w:rsidR="00AE1E0D" w:rsidTr="00AD3309">
        <w:tc>
          <w:tcPr>
            <w:tcW w:w="2335" w:type="dxa"/>
          </w:tcPr>
          <w:p w:rsidR="00AE1E0D" w:rsidRPr="00AA350B" w:rsidRDefault="00AE1E0D" w:rsidP="00221F56">
            <w:pPr>
              <w:rPr>
                <w:b/>
              </w:rPr>
            </w:pPr>
            <w:r w:rsidRPr="00AA350B">
              <w:rPr>
                <w:b/>
              </w:rPr>
              <w:t>McGill Central Unit</w:t>
            </w:r>
          </w:p>
        </w:tc>
        <w:tc>
          <w:tcPr>
            <w:tcW w:w="5940" w:type="dxa"/>
          </w:tcPr>
          <w:p w:rsidR="00AE1E0D" w:rsidRPr="00AA350B" w:rsidRDefault="00AA350B" w:rsidP="00AA350B">
            <w:pPr>
              <w:rPr>
                <w:b/>
              </w:rPr>
            </w:pPr>
            <w:r w:rsidRPr="00AA350B">
              <w:rPr>
                <w:b/>
              </w:rPr>
              <w:t xml:space="preserve"> </w:t>
            </w:r>
            <w:r>
              <w:rPr>
                <w:b/>
              </w:rPr>
              <w:t xml:space="preserve">Responsibilities </w:t>
            </w:r>
          </w:p>
        </w:tc>
        <w:tc>
          <w:tcPr>
            <w:tcW w:w="2520" w:type="dxa"/>
          </w:tcPr>
          <w:p w:rsidR="00AE1E0D" w:rsidRPr="00AA350B" w:rsidRDefault="00AE1E0D" w:rsidP="00AA350B">
            <w:pPr>
              <w:rPr>
                <w:b/>
              </w:rPr>
            </w:pPr>
            <w:r w:rsidRPr="00AA350B">
              <w:rPr>
                <w:b/>
              </w:rPr>
              <w:t xml:space="preserve">Who to contact? </w:t>
            </w:r>
          </w:p>
        </w:tc>
      </w:tr>
      <w:tr w:rsidR="00AE1E0D" w:rsidTr="00AD3309">
        <w:tc>
          <w:tcPr>
            <w:tcW w:w="2335" w:type="dxa"/>
          </w:tcPr>
          <w:p w:rsidR="00AE1E0D" w:rsidRDefault="00AE1E0D" w:rsidP="00221F56">
            <w:r>
              <w:t xml:space="preserve">Research Financial Management Services (RFMS) </w:t>
            </w:r>
          </w:p>
        </w:tc>
        <w:tc>
          <w:tcPr>
            <w:tcW w:w="5940" w:type="dxa"/>
          </w:tcPr>
          <w:p w:rsidR="00AE1E0D" w:rsidRDefault="00AE1E0D" w:rsidP="00AD3309">
            <w:pPr>
              <w:pStyle w:val="ListParagraph"/>
              <w:numPr>
                <w:ilvl w:val="0"/>
                <w:numId w:val="4"/>
              </w:numPr>
              <w:ind w:left="360"/>
            </w:pPr>
            <w:r w:rsidRPr="00AE1E0D">
              <w:t>Issuance of agr</w:t>
            </w:r>
            <w:r w:rsidR="00AA350B">
              <w:t xml:space="preserve">eement to </w:t>
            </w:r>
            <w:r w:rsidRPr="00AD3309">
              <w:rPr>
                <w:lang w:val="en-US"/>
              </w:rPr>
              <w:t>NSERC Eligible Institutions</w:t>
            </w:r>
            <w:r w:rsidR="00AA350B" w:rsidRPr="00AD3309">
              <w:rPr>
                <w:lang w:val="en-US"/>
              </w:rPr>
              <w:t>,</w:t>
            </w:r>
            <w:r w:rsidR="00AA350B">
              <w:t xml:space="preserve"> </w:t>
            </w:r>
            <w:r w:rsidRPr="00AD3309">
              <w:rPr>
                <w:lang w:val="en-US"/>
              </w:rPr>
              <w:t>SSHRC Eligible Institutions</w:t>
            </w:r>
            <w:r w:rsidR="00AA350B">
              <w:t>,</w:t>
            </w:r>
            <w:r w:rsidRPr="00AD3309">
              <w:rPr>
                <w:lang w:val="en-US"/>
              </w:rPr>
              <w:t>CIHR  Eligible Institutions</w:t>
            </w:r>
            <w:r w:rsidR="00AA350B">
              <w:t xml:space="preserve">, and Quebec institutions on FRQNT, FRQSC, and FRQS awards. </w:t>
            </w:r>
          </w:p>
        </w:tc>
        <w:tc>
          <w:tcPr>
            <w:tcW w:w="2520" w:type="dxa"/>
          </w:tcPr>
          <w:p w:rsidR="00AE1E0D" w:rsidRPr="00AE1E0D" w:rsidRDefault="002142D0" w:rsidP="00AA350B">
            <w:r>
              <w:t>Send email</w:t>
            </w:r>
            <w:r w:rsidR="00AA350B">
              <w:t xml:space="preserve"> to </w:t>
            </w:r>
            <w:r w:rsidR="00AE1E0D">
              <w:t xml:space="preserve">RFMS Financial Administrator responsible for the Fund </w:t>
            </w:r>
          </w:p>
        </w:tc>
      </w:tr>
      <w:tr w:rsidR="00AE1E0D" w:rsidTr="00AD3309">
        <w:tc>
          <w:tcPr>
            <w:tcW w:w="2335" w:type="dxa"/>
          </w:tcPr>
          <w:p w:rsidR="00AE1E0D" w:rsidRDefault="00AE1E0D" w:rsidP="00221F56">
            <w:r>
              <w:t>Office of Sponsored Research</w:t>
            </w:r>
            <w:r w:rsidR="002142D0">
              <w:t xml:space="preserve"> (OSR)</w:t>
            </w:r>
            <w:r>
              <w:t xml:space="preserve">: </w:t>
            </w:r>
          </w:p>
        </w:tc>
        <w:tc>
          <w:tcPr>
            <w:tcW w:w="5940" w:type="dxa"/>
          </w:tcPr>
          <w:p w:rsidR="00AE1E0D" w:rsidRPr="00AE1E0D" w:rsidRDefault="00AE1E0D" w:rsidP="00AE1E0D">
            <w:pPr>
              <w:pStyle w:val="ListParagraph"/>
              <w:numPr>
                <w:ilvl w:val="0"/>
                <w:numId w:val="3"/>
              </w:numPr>
            </w:pPr>
            <w:r w:rsidRPr="00AE1E0D">
              <w:t xml:space="preserve">Issuance of agreements to ineligible institutions on Tri-Agency grants </w:t>
            </w:r>
          </w:p>
          <w:p w:rsidR="00AE1E0D" w:rsidRDefault="00AE1E0D" w:rsidP="00AE1E0D">
            <w:pPr>
              <w:pStyle w:val="ListParagraph"/>
              <w:numPr>
                <w:ilvl w:val="0"/>
                <w:numId w:val="3"/>
              </w:numPr>
            </w:pPr>
            <w:r w:rsidRPr="00AE1E0D">
              <w:t>Issuance of agreements on other research funds</w:t>
            </w:r>
          </w:p>
        </w:tc>
        <w:tc>
          <w:tcPr>
            <w:tcW w:w="2520" w:type="dxa"/>
          </w:tcPr>
          <w:p w:rsidR="00AE1E0D" w:rsidRPr="00AE1E0D" w:rsidRDefault="002142D0" w:rsidP="002142D0">
            <w:r>
              <w:t>Send</w:t>
            </w:r>
            <w:r w:rsidR="00AA350B">
              <w:t xml:space="preserve"> email to: </w:t>
            </w:r>
            <w:hyperlink r:id="rId7" w:history="1">
              <w:r w:rsidR="00AE1E0D" w:rsidRPr="0013667A">
                <w:rPr>
                  <w:rStyle w:val="Hyperlink"/>
                </w:rPr>
                <w:t>Awards.osr@mcgill.ca</w:t>
              </w:r>
            </w:hyperlink>
            <w:r w:rsidR="00AE1E0D">
              <w:t xml:space="preserve"> </w:t>
            </w:r>
          </w:p>
        </w:tc>
      </w:tr>
    </w:tbl>
    <w:p w:rsidR="00AD3309" w:rsidRDefault="00AD3309" w:rsidP="00AD3309">
      <w:pPr>
        <w:spacing w:after="0" w:line="240" w:lineRule="auto"/>
      </w:pPr>
      <w:r>
        <w:t>Eligible Institutions links:</w:t>
      </w:r>
    </w:p>
    <w:p w:rsidR="00CE1621" w:rsidRDefault="00AD3309" w:rsidP="00AD3309">
      <w:pPr>
        <w:spacing w:after="0" w:line="240" w:lineRule="auto"/>
        <w:rPr>
          <w:sz w:val="18"/>
        </w:rPr>
      </w:pPr>
      <w:r>
        <w:t xml:space="preserve">NSERC - </w:t>
      </w:r>
      <w:hyperlink r:id="rId8" w:history="1">
        <w:r w:rsidR="00CE1621" w:rsidRPr="00CE1621">
          <w:rPr>
            <w:rStyle w:val="Hyperlink"/>
            <w:sz w:val="16"/>
          </w:rPr>
          <w:t>http://www.nserc-crsng.gc.ca/NSERC-CRSNG/Eligibility-Admissibilite/ListEligibleInstitutions-ListEtablissementsAdmissible_eng.asp</w:t>
        </w:r>
      </w:hyperlink>
    </w:p>
    <w:p w:rsidR="00AD3309" w:rsidRDefault="00AD3309" w:rsidP="00AD3309">
      <w:pPr>
        <w:spacing w:after="0" w:line="240" w:lineRule="auto"/>
      </w:pPr>
      <w:r>
        <w:t xml:space="preserve">SSHRC - </w:t>
      </w:r>
      <w:hyperlink r:id="rId9" w:history="1">
        <w:r w:rsidR="00CE1621" w:rsidRPr="00CE1621">
          <w:rPr>
            <w:rStyle w:val="Hyperlink"/>
            <w:sz w:val="16"/>
          </w:rPr>
          <w:t>http://www.sshrc-crsh.gc.ca/about-au_sujet/policies-politiques/statements-enonces/list_eligible_institutions-liste_etablissements-admissibles-eng.aspx</w:t>
        </w:r>
      </w:hyperlink>
      <w:r w:rsidR="00CE1621" w:rsidRPr="00CE1621">
        <w:rPr>
          <w:sz w:val="16"/>
        </w:rPr>
        <w:t xml:space="preserve"> </w:t>
      </w:r>
    </w:p>
    <w:p w:rsidR="00AD3309" w:rsidRDefault="00AD3309" w:rsidP="00AD3309">
      <w:pPr>
        <w:spacing w:after="0" w:line="240" w:lineRule="auto"/>
        <w:rPr>
          <w:sz w:val="16"/>
          <w:lang w:val="fr-CA"/>
        </w:rPr>
      </w:pPr>
      <w:r w:rsidRPr="00AD3309">
        <w:rPr>
          <w:lang w:val="fr-CA"/>
        </w:rPr>
        <w:t xml:space="preserve">CIHR - </w:t>
      </w:r>
      <w:hyperlink r:id="rId10" w:history="1">
        <w:r w:rsidR="00CE1621" w:rsidRPr="00CE1621">
          <w:rPr>
            <w:rStyle w:val="Hyperlink"/>
            <w:sz w:val="16"/>
            <w:lang w:val="fr-CA"/>
          </w:rPr>
          <w:t>http://www.cihr-irsc.gc.ca/e/36374.html</w:t>
        </w:r>
      </w:hyperlink>
      <w:r w:rsidR="00CE1621" w:rsidRPr="00CE1621">
        <w:rPr>
          <w:sz w:val="16"/>
          <w:lang w:val="fr-CA"/>
        </w:rPr>
        <w:t xml:space="preserve"> </w:t>
      </w:r>
    </w:p>
    <w:p w:rsidR="00AD3309" w:rsidRPr="00AD3309" w:rsidRDefault="00AD3309" w:rsidP="00AD3309">
      <w:pPr>
        <w:spacing w:after="0" w:line="240" w:lineRule="auto"/>
        <w:rPr>
          <w:lang w:val="fr-CA"/>
        </w:rPr>
      </w:pPr>
    </w:p>
    <w:p w:rsidR="00F300FD" w:rsidRDefault="00E221CC" w:rsidP="00F300FD">
      <w:r>
        <w:t xml:space="preserve">To learn more about </w:t>
      </w:r>
      <w:r w:rsidR="0023359B">
        <w:t xml:space="preserve">subaward agreements, </w:t>
      </w:r>
      <w:r>
        <w:t xml:space="preserve">consult </w:t>
      </w:r>
      <w:r w:rsidR="0023359B">
        <w:t xml:space="preserve">the Research Administration Network </w:t>
      </w:r>
      <w:r>
        <w:t xml:space="preserve">session on Inter-institutional agreements: </w:t>
      </w:r>
      <w:hyperlink r:id="rId11" w:history="1">
        <w:r w:rsidRPr="00C4481A">
          <w:rPr>
            <w:rStyle w:val="Hyperlink"/>
          </w:rPr>
          <w:t>https://www.mcgill.ca/research/ran/members/prev</w:t>
        </w:r>
        <w:bookmarkStart w:id="0" w:name="_GoBack"/>
        <w:bookmarkEnd w:id="0"/>
        <w:r w:rsidRPr="00C4481A">
          <w:rPr>
            <w:rStyle w:val="Hyperlink"/>
          </w:rPr>
          <w:t>ious-ran-sessions/2014-ran-sessions</w:t>
        </w:r>
      </w:hyperlink>
    </w:p>
    <w:p w:rsidR="00F300FD" w:rsidRDefault="00F300FD" w:rsidP="00F300FD"/>
    <w:sectPr w:rsidR="00F300FD" w:rsidSect="00AD3309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309" w:rsidRDefault="00AD3309" w:rsidP="00AD3309">
      <w:pPr>
        <w:spacing w:after="0" w:line="240" w:lineRule="auto"/>
      </w:pPr>
      <w:r>
        <w:separator/>
      </w:r>
    </w:p>
  </w:endnote>
  <w:endnote w:type="continuationSeparator" w:id="0">
    <w:p w:rsidR="00AD3309" w:rsidRDefault="00AD3309" w:rsidP="00AD3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309" w:rsidRPr="00AD3309" w:rsidRDefault="00AD3309" w:rsidP="00AD3309">
    <w:pPr>
      <w:pStyle w:val="Footer"/>
      <w:tabs>
        <w:tab w:val="clear" w:pos="9360"/>
        <w:tab w:val="right" w:pos="10710"/>
      </w:tabs>
      <w:rPr>
        <w:lang w:val="en-US"/>
      </w:rPr>
    </w:pPr>
    <w:r>
      <w:rPr>
        <w:lang w:val="en-US"/>
      </w:rPr>
      <w:t>Prepared by Awards Management, Office of Sponsored Research, McGill University</w:t>
    </w:r>
    <w:r>
      <w:rPr>
        <w:lang w:val="en-US"/>
      </w:rPr>
      <w:tab/>
      <w:t>July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309" w:rsidRDefault="00AD3309" w:rsidP="00AD3309">
      <w:pPr>
        <w:spacing w:after="0" w:line="240" w:lineRule="auto"/>
      </w:pPr>
      <w:r>
        <w:separator/>
      </w:r>
    </w:p>
  </w:footnote>
  <w:footnote w:type="continuationSeparator" w:id="0">
    <w:p w:rsidR="00AD3309" w:rsidRDefault="00AD3309" w:rsidP="00AD3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2D5"/>
    <w:multiLevelType w:val="hybridMultilevel"/>
    <w:tmpl w:val="31AE33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B3210"/>
    <w:multiLevelType w:val="hybridMultilevel"/>
    <w:tmpl w:val="B156D4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E80073"/>
    <w:multiLevelType w:val="hybridMultilevel"/>
    <w:tmpl w:val="CD223A50"/>
    <w:lvl w:ilvl="0" w:tplc="74A42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AC0774">
      <w:start w:val="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20BEC2">
      <w:start w:val="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BA9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8A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61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CCA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728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A6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3E84BEB"/>
    <w:multiLevelType w:val="hybridMultilevel"/>
    <w:tmpl w:val="71C06B8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10"/>
    <w:rsid w:val="00191355"/>
    <w:rsid w:val="001D4CCF"/>
    <w:rsid w:val="002142D0"/>
    <w:rsid w:val="00221F56"/>
    <w:rsid w:val="0023359B"/>
    <w:rsid w:val="003C0ED3"/>
    <w:rsid w:val="00714A39"/>
    <w:rsid w:val="00AA350B"/>
    <w:rsid w:val="00AD3309"/>
    <w:rsid w:val="00AE1E0D"/>
    <w:rsid w:val="00B1278B"/>
    <w:rsid w:val="00B15110"/>
    <w:rsid w:val="00CE1621"/>
    <w:rsid w:val="00D24873"/>
    <w:rsid w:val="00D83D1F"/>
    <w:rsid w:val="00E221CC"/>
    <w:rsid w:val="00E97A0E"/>
    <w:rsid w:val="00F3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08C95-EDA5-4F4F-A3D3-AA0BFF37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D1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83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35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59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3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309"/>
  </w:style>
  <w:style w:type="paragraph" w:styleId="Footer">
    <w:name w:val="footer"/>
    <w:basedOn w:val="Normal"/>
    <w:link w:val="FooterChar"/>
    <w:uiPriority w:val="99"/>
    <w:unhideWhenUsed/>
    <w:rsid w:val="00AD3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309"/>
  </w:style>
  <w:style w:type="character" w:styleId="FollowedHyperlink">
    <w:name w:val="FollowedHyperlink"/>
    <w:basedOn w:val="DefaultParagraphFont"/>
    <w:uiPriority w:val="99"/>
    <w:semiHidden/>
    <w:unhideWhenUsed/>
    <w:rsid w:val="001D4C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01338">
          <w:marLeft w:val="547"/>
          <w:marRight w:val="0"/>
          <w:marTop w:val="9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8752">
          <w:marLeft w:val="100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00">
          <w:marLeft w:val="158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7745">
          <w:marLeft w:val="158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6778">
          <w:marLeft w:val="158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2258">
          <w:marLeft w:val="100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792">
          <w:marLeft w:val="158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38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64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30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4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1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5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03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4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24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serc-crsng.gc.ca/NSERC-CRSNG/Eligibility-Admissibilite/ListEligibleInstitutions-ListEtablissementsAdmissible_eng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wards.osr@mcgill.ca" TargetMode="Externa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cgill.ca/research/ran/members/previous-ran-sessions/2014-ran-sessions" TargetMode="Externa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yperlink" Target="http://www.cihr-irsc.gc.ca/e/3637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shrc-crsh.gc.ca/about-au_sujet/policies-politiques/statements-enonces/list_eligible_institutions-liste_etablissements-admissibles-eng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826BA2-81DF-4673-9043-BAB3E1FFCD96}"/>
</file>

<file path=customXml/itemProps2.xml><?xml version="1.0" encoding="utf-8"?>
<ds:datastoreItem xmlns:ds="http://schemas.openxmlformats.org/officeDocument/2006/customXml" ds:itemID="{BB6A8FFC-BB7D-4FC1-A91E-37BF14CC3D77}"/>
</file>

<file path=customXml/itemProps3.xml><?xml version="1.0" encoding="utf-8"?>
<ds:datastoreItem xmlns:ds="http://schemas.openxmlformats.org/officeDocument/2006/customXml" ds:itemID="{8A6ECC5F-56A4-4CEE-9C52-E55522D9FF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Larin, Ms.</dc:creator>
  <cp:keywords/>
  <dc:description/>
  <cp:lastModifiedBy>Salimah Janmohamed</cp:lastModifiedBy>
  <cp:revision>3</cp:revision>
  <cp:lastPrinted>2014-12-23T16:40:00Z</cp:lastPrinted>
  <dcterms:created xsi:type="dcterms:W3CDTF">2014-12-23T16:48:00Z</dcterms:created>
  <dcterms:modified xsi:type="dcterms:W3CDTF">2014-12-23T16:49:00Z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  <property fmtid="{D5CDD505-2E9C-101B-9397-08002B2CF9AE}" pid="3" name="ContentTypeId">
    <vt:lpwstr>0x010100753FE2BD86E76B4DAA5BD0ECE9CA712D</vt:lpwstr>
  </property>
</Properties>
</file>