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0E3" w:rsidRPr="0076674B" w:rsidRDefault="00DF30E3">
      <w:pPr>
        <w:pStyle w:val="NormalWeb"/>
        <w:spacing w:before="0" w:beforeAutospacing="0" w:after="0" w:afterAutospacing="0"/>
        <w:rPr>
          <w:sz w:val="22"/>
          <w:szCs w:val="22"/>
        </w:rPr>
      </w:pPr>
      <w:bookmarkStart w:id="0" w:name="_GoBack"/>
      <w:bookmarkEnd w:id="0"/>
    </w:p>
    <w:tbl>
      <w:tblPr>
        <w:tblW w:w="5000" w:type="pct"/>
        <w:tblCellSpacing w:w="0" w:type="dxa"/>
        <w:tblCellMar>
          <w:left w:w="0" w:type="dxa"/>
          <w:right w:w="0" w:type="dxa"/>
        </w:tblCellMar>
        <w:tblLook w:val="04A0"/>
      </w:tblPr>
      <w:tblGrid>
        <w:gridCol w:w="8640"/>
      </w:tblGrid>
      <w:tr w:rsidR="00DF30E3" w:rsidRPr="0076674B">
        <w:trPr>
          <w:tblCellSpacing w:w="0" w:type="dxa"/>
        </w:trPr>
        <w:tc>
          <w:tcPr>
            <w:tcW w:w="0" w:type="auto"/>
            <w:vAlign w:val="center"/>
            <w:hideMark/>
          </w:tcPr>
          <w:p w:rsidR="00DF30E3" w:rsidRPr="0076674B" w:rsidRDefault="00DF30E3">
            <w:pPr>
              <w:rPr>
                <w:rFonts w:eastAsia="Times New Roman"/>
                <w:sz w:val="22"/>
                <w:szCs w:val="22"/>
              </w:rPr>
            </w:pPr>
          </w:p>
        </w:tc>
      </w:tr>
    </w:tbl>
    <w:p w:rsidR="00DF30E3" w:rsidRPr="0076674B" w:rsidRDefault="00ED6DDA">
      <w:pPr>
        <w:pStyle w:val="NormalWeb"/>
        <w:spacing w:before="0" w:beforeAutospacing="0" w:after="0" w:afterAutospacing="0"/>
        <w:rPr>
          <w:sz w:val="22"/>
          <w:szCs w:val="22"/>
        </w:rPr>
      </w:pPr>
      <w:r w:rsidRPr="0076674B">
        <w:rPr>
          <w:sz w:val="22"/>
          <w:szCs w:val="22"/>
        </w:rPr>
        <w:t> </w:t>
      </w:r>
    </w:p>
    <w:p w:rsidR="00DF30E3" w:rsidRPr="0076674B" w:rsidRDefault="00ED6DDA">
      <w:pPr>
        <w:pStyle w:val="NormalWeb"/>
        <w:spacing w:before="0" w:beforeAutospacing="0" w:after="0" w:afterAutospacing="0"/>
        <w:jc w:val="center"/>
        <w:rPr>
          <w:sz w:val="22"/>
          <w:szCs w:val="22"/>
        </w:rPr>
      </w:pPr>
      <w:r w:rsidRPr="0076674B">
        <w:rPr>
          <w:sz w:val="22"/>
          <w:szCs w:val="22"/>
        </w:rPr>
        <w:t>AMENDMENT NUMBER TWENTY-ONE</w:t>
      </w:r>
    </w:p>
    <w:p w:rsidR="00DF30E3" w:rsidRPr="0076674B" w:rsidRDefault="00ED6DDA">
      <w:pPr>
        <w:pStyle w:val="NormalWeb"/>
        <w:spacing w:before="0" w:beforeAutospacing="0" w:after="0" w:afterAutospacing="0"/>
        <w:jc w:val="center"/>
        <w:rPr>
          <w:sz w:val="22"/>
          <w:szCs w:val="22"/>
        </w:rPr>
      </w:pPr>
      <w:proofErr w:type="gramStart"/>
      <w:r w:rsidRPr="0076674B">
        <w:rPr>
          <w:sz w:val="22"/>
          <w:szCs w:val="22"/>
        </w:rPr>
        <w:t>to</w:t>
      </w:r>
      <w:proofErr w:type="gramEnd"/>
      <w:r w:rsidRPr="0076674B">
        <w:rPr>
          <w:sz w:val="22"/>
          <w:szCs w:val="22"/>
        </w:rPr>
        <w:t xml:space="preserve"> the</w:t>
      </w:r>
    </w:p>
    <w:p w:rsidR="00DF30E3" w:rsidRPr="0076674B" w:rsidRDefault="00ED6DDA">
      <w:pPr>
        <w:pStyle w:val="NormalWeb"/>
        <w:spacing w:before="0" w:beforeAutospacing="0" w:after="0" w:afterAutospacing="0"/>
        <w:jc w:val="center"/>
        <w:rPr>
          <w:sz w:val="22"/>
          <w:szCs w:val="22"/>
        </w:rPr>
      </w:pPr>
      <w:r w:rsidRPr="0076674B">
        <w:rPr>
          <w:sz w:val="22"/>
          <w:szCs w:val="22"/>
        </w:rPr>
        <w:t>MASTER REPURCHASE AGREEMENT</w:t>
      </w:r>
    </w:p>
    <w:p w:rsidR="00DF30E3" w:rsidRPr="0076674B" w:rsidRDefault="00ED6DDA">
      <w:pPr>
        <w:pStyle w:val="NormalWeb"/>
        <w:spacing w:before="0" w:beforeAutospacing="0" w:after="0" w:afterAutospacing="0"/>
        <w:jc w:val="center"/>
        <w:rPr>
          <w:sz w:val="22"/>
          <w:szCs w:val="22"/>
        </w:rPr>
      </w:pPr>
      <w:r w:rsidRPr="0076674B">
        <w:rPr>
          <w:sz w:val="22"/>
          <w:szCs w:val="22"/>
        </w:rPr>
        <w:t>Dated as of December 9, 2010,</w:t>
      </w:r>
    </w:p>
    <w:p w:rsidR="00DF30E3" w:rsidRPr="0076674B" w:rsidRDefault="00ED6DDA">
      <w:pPr>
        <w:pStyle w:val="NormalWeb"/>
        <w:spacing w:before="0" w:beforeAutospacing="0" w:after="0" w:afterAutospacing="0"/>
        <w:jc w:val="center"/>
        <w:rPr>
          <w:sz w:val="22"/>
          <w:szCs w:val="22"/>
        </w:rPr>
      </w:pPr>
      <w:proofErr w:type="gramStart"/>
      <w:r w:rsidRPr="0076674B">
        <w:rPr>
          <w:sz w:val="22"/>
          <w:szCs w:val="22"/>
        </w:rPr>
        <w:t>among</w:t>
      </w:r>
      <w:proofErr w:type="gramEnd"/>
    </w:p>
    <w:p w:rsidR="00DF30E3" w:rsidRPr="0076674B" w:rsidRDefault="00ED6DDA">
      <w:pPr>
        <w:pStyle w:val="NormalWeb"/>
        <w:spacing w:before="0" w:beforeAutospacing="0" w:after="0" w:afterAutospacing="0"/>
        <w:jc w:val="center"/>
        <w:rPr>
          <w:sz w:val="22"/>
          <w:szCs w:val="22"/>
        </w:rPr>
      </w:pPr>
      <w:r w:rsidRPr="0076674B">
        <w:rPr>
          <w:sz w:val="22"/>
          <w:szCs w:val="22"/>
        </w:rPr>
        <w:t>PENNYMAC CORP., PENNYMAC HOLDINGS, LLC and PENNYMAC LOAN SERVICES, LLC</w:t>
      </w:r>
    </w:p>
    <w:p w:rsidR="00DF30E3" w:rsidRPr="0076674B" w:rsidRDefault="00ED6DDA">
      <w:pPr>
        <w:pStyle w:val="NormalWeb"/>
        <w:spacing w:before="0" w:beforeAutospacing="0" w:after="0" w:afterAutospacing="0"/>
        <w:jc w:val="center"/>
        <w:rPr>
          <w:sz w:val="22"/>
          <w:szCs w:val="22"/>
        </w:rPr>
      </w:pPr>
      <w:proofErr w:type="gramStart"/>
      <w:r w:rsidRPr="0076674B">
        <w:rPr>
          <w:sz w:val="22"/>
          <w:szCs w:val="22"/>
        </w:rPr>
        <w:t>and</w:t>
      </w:r>
      <w:proofErr w:type="gramEnd"/>
    </w:p>
    <w:p w:rsidR="00DF30E3" w:rsidRPr="0076674B" w:rsidRDefault="00ED6DDA">
      <w:pPr>
        <w:pStyle w:val="NormalWeb"/>
        <w:spacing w:before="0" w:beforeAutospacing="0" w:after="0" w:afterAutospacing="0"/>
        <w:jc w:val="center"/>
        <w:rPr>
          <w:sz w:val="22"/>
          <w:szCs w:val="22"/>
        </w:rPr>
      </w:pPr>
      <w:r w:rsidRPr="0076674B">
        <w:rPr>
          <w:sz w:val="22"/>
          <w:szCs w:val="22"/>
        </w:rPr>
        <w:t>CITIBANK, N.A.</w:t>
      </w:r>
    </w:p>
    <w:p w:rsidR="00DF30E3" w:rsidRPr="0076674B" w:rsidRDefault="00ED6DDA">
      <w:pPr>
        <w:pStyle w:val="NormalWeb"/>
        <w:spacing w:before="0" w:beforeAutospacing="0" w:after="0" w:afterAutospacing="0"/>
        <w:jc w:val="center"/>
        <w:rPr>
          <w:sz w:val="22"/>
          <w:szCs w:val="22"/>
        </w:rPr>
      </w:pPr>
      <w:r w:rsidRPr="0076674B">
        <w:rPr>
          <w:sz w:val="22"/>
          <w:szCs w:val="22"/>
        </w:rPr>
        <w:t> </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t>This AMENDMENT NUMBER TWENTY-ONE (this “</w:t>
      </w:r>
      <w:r w:rsidRPr="0076674B">
        <w:rPr>
          <w:sz w:val="22"/>
          <w:szCs w:val="22"/>
          <w:u w:val="single"/>
        </w:rPr>
        <w:t xml:space="preserve">Amendment Number </w:t>
      </w:r>
      <w:r w:rsidRPr="0076674B">
        <w:rPr>
          <w:sz w:val="22"/>
          <w:szCs w:val="22"/>
          <w:u w:val="single"/>
        </w:rPr>
        <w:t>Twenty-One</w:t>
      </w:r>
      <w:r w:rsidRPr="0076674B">
        <w:rPr>
          <w:sz w:val="22"/>
          <w:szCs w:val="22"/>
        </w:rPr>
        <w:t>”) is made this 22nd day of October, 2015 among PENNYMAC CORP. and PENNYMAC HOLDINGS, LLC f/k/a PENNYMAC MORTGAGE INVESTMENT TRUST HOLDINGS I, LLC (each, a “</w:t>
      </w:r>
      <w:r w:rsidRPr="0076674B">
        <w:rPr>
          <w:sz w:val="22"/>
          <w:szCs w:val="22"/>
          <w:u w:val="single"/>
        </w:rPr>
        <w:t>Seller</w:t>
      </w:r>
      <w:r w:rsidRPr="0076674B">
        <w:rPr>
          <w:sz w:val="22"/>
          <w:szCs w:val="22"/>
        </w:rPr>
        <w:t>” and jointly and severally, the “</w:t>
      </w:r>
      <w:r w:rsidRPr="0076674B">
        <w:rPr>
          <w:sz w:val="22"/>
          <w:szCs w:val="22"/>
          <w:u w:val="single"/>
        </w:rPr>
        <w:t>Seller</w:t>
      </w:r>
      <w:r w:rsidRPr="0076674B">
        <w:rPr>
          <w:sz w:val="22"/>
          <w:szCs w:val="22"/>
        </w:rPr>
        <w:t>” or “</w:t>
      </w:r>
      <w:r w:rsidRPr="0076674B">
        <w:rPr>
          <w:sz w:val="22"/>
          <w:szCs w:val="22"/>
          <w:u w:val="single"/>
        </w:rPr>
        <w:t>Sellers</w:t>
      </w:r>
      <w:r w:rsidRPr="0076674B">
        <w:rPr>
          <w:sz w:val="22"/>
          <w:szCs w:val="22"/>
        </w:rPr>
        <w:t>”), PENNYMAC LOAN SERVICES, LL</w:t>
      </w:r>
      <w:r w:rsidRPr="0076674B">
        <w:rPr>
          <w:sz w:val="22"/>
          <w:szCs w:val="22"/>
        </w:rPr>
        <w:t>C (“</w:t>
      </w:r>
      <w:r w:rsidRPr="0076674B">
        <w:rPr>
          <w:sz w:val="22"/>
          <w:szCs w:val="22"/>
          <w:u w:val="single"/>
        </w:rPr>
        <w:t>Servicer</w:t>
      </w:r>
      <w:r w:rsidRPr="0076674B">
        <w:rPr>
          <w:sz w:val="22"/>
          <w:szCs w:val="22"/>
        </w:rPr>
        <w:t>”) and CITIBANK, N.A. (“</w:t>
      </w:r>
      <w:r w:rsidRPr="0076674B">
        <w:rPr>
          <w:sz w:val="22"/>
          <w:szCs w:val="22"/>
          <w:u w:val="single"/>
        </w:rPr>
        <w:t>Buyer</w:t>
      </w:r>
      <w:r w:rsidRPr="0076674B">
        <w:rPr>
          <w:sz w:val="22"/>
          <w:szCs w:val="22"/>
        </w:rPr>
        <w:t>”), to the Master Repurchase Agreement, dated as of December 9, 2010, among Sellers, Servicer and Buyer, as such agreement may be amended from time to time (the “</w:t>
      </w:r>
      <w:r w:rsidRPr="0076674B">
        <w:rPr>
          <w:sz w:val="22"/>
          <w:szCs w:val="22"/>
          <w:u w:val="single"/>
        </w:rPr>
        <w:t>Agreement</w:t>
      </w:r>
      <w:r w:rsidRPr="0076674B">
        <w:rPr>
          <w:sz w:val="22"/>
          <w:szCs w:val="22"/>
        </w:rPr>
        <w:t>”). Capitalized terms used but not otherwise</w:t>
      </w:r>
      <w:r w:rsidRPr="0076674B">
        <w:rPr>
          <w:sz w:val="22"/>
          <w:szCs w:val="22"/>
        </w:rPr>
        <w:t xml:space="preserve"> defined herein shall have the meanings assigned to such terms in the Agreement.</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t> </w:t>
      </w:r>
    </w:p>
    <w:p w:rsidR="00DF30E3" w:rsidRPr="0076674B" w:rsidRDefault="00ED6DDA">
      <w:pPr>
        <w:pStyle w:val="NormalWeb"/>
        <w:spacing w:before="0" w:beforeAutospacing="0" w:after="0" w:afterAutospacing="0"/>
        <w:jc w:val="center"/>
        <w:rPr>
          <w:sz w:val="22"/>
          <w:szCs w:val="22"/>
        </w:rPr>
      </w:pPr>
      <w:r w:rsidRPr="0076674B">
        <w:rPr>
          <w:sz w:val="22"/>
          <w:szCs w:val="22"/>
          <w:u w:val="single"/>
        </w:rPr>
        <w:t>RECITALS</w:t>
      </w:r>
    </w:p>
    <w:p w:rsidR="00DF30E3" w:rsidRPr="0076674B" w:rsidRDefault="00ED6DDA">
      <w:pPr>
        <w:pStyle w:val="NormalWeb"/>
        <w:spacing w:before="0" w:beforeAutospacing="0" w:after="0" w:afterAutospacing="0"/>
        <w:jc w:val="center"/>
        <w:rPr>
          <w:sz w:val="22"/>
          <w:szCs w:val="22"/>
        </w:rPr>
      </w:pPr>
      <w:r w:rsidRPr="0076674B">
        <w:rPr>
          <w:sz w:val="22"/>
          <w:szCs w:val="22"/>
        </w:rPr>
        <w:t> </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t>WHEREAS, Sellers have requested to renew the term of the Agreement and that Buyer agree to amend the Agreement as more specifically set forth herein; and</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t> </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t>WHEREAS, as of the date hereof, each Seller and Servicer represents to Buyer that the Seller Parties are in full compliance with all of the terms and conditions of the Agreement and each other Program Document and no Default or Event of Default has occurre</w:t>
      </w:r>
      <w:r w:rsidRPr="0076674B">
        <w:rPr>
          <w:sz w:val="22"/>
          <w:szCs w:val="22"/>
        </w:rPr>
        <w:t>d and is continuing under the Agreement or any other Program Document.</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t> </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t>NOW THEREFORE, for good and valuable consideration, the receipt and sufficiency of which are hereby acknowledged, and for the mutual covenants herein contained, the parties hereto her</w:t>
      </w:r>
      <w:r w:rsidRPr="0076674B">
        <w:rPr>
          <w:sz w:val="22"/>
          <w:szCs w:val="22"/>
        </w:rPr>
        <w:t>eby agree as follows:</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t> </w:t>
      </w:r>
    </w:p>
    <w:p w:rsidR="00DF30E3" w:rsidRPr="0076674B" w:rsidRDefault="00ED6DDA">
      <w:pPr>
        <w:pStyle w:val="NormalWeb"/>
        <w:spacing w:before="0" w:beforeAutospacing="0" w:after="0" w:afterAutospacing="0"/>
        <w:ind w:firstLine="1320"/>
        <w:rPr>
          <w:sz w:val="22"/>
          <w:szCs w:val="22"/>
        </w:rPr>
      </w:pPr>
      <w:proofErr w:type="gramStart"/>
      <w:r w:rsidRPr="0076674B">
        <w:rPr>
          <w:sz w:val="22"/>
          <w:szCs w:val="22"/>
        </w:rPr>
        <w:t>SECTION 1.</w:t>
      </w:r>
      <w:proofErr w:type="gramEnd"/>
      <w:r w:rsidRPr="0076674B">
        <w:rPr>
          <w:sz w:val="22"/>
          <w:szCs w:val="22"/>
        </w:rPr>
        <w:t>          </w:t>
      </w:r>
      <w:proofErr w:type="gramStart"/>
      <w:r w:rsidRPr="0076674B">
        <w:rPr>
          <w:sz w:val="22"/>
          <w:szCs w:val="22"/>
          <w:u w:val="single"/>
        </w:rPr>
        <w:t>Amendment</w:t>
      </w:r>
      <w:r w:rsidRPr="0076674B">
        <w:rPr>
          <w:sz w:val="22"/>
          <w:szCs w:val="22"/>
        </w:rPr>
        <w:t>.</w:t>
      </w:r>
      <w:proofErr w:type="gramEnd"/>
      <w:r w:rsidRPr="0076674B">
        <w:rPr>
          <w:sz w:val="22"/>
          <w:szCs w:val="22"/>
        </w:rPr>
        <w:t xml:space="preserve"> Effective as of October 22, 2015 (the "</w:t>
      </w:r>
      <w:r w:rsidRPr="0076674B">
        <w:rPr>
          <w:sz w:val="22"/>
          <w:szCs w:val="22"/>
          <w:u w:val="single"/>
        </w:rPr>
        <w:t>Amendment Effective Date</w:t>
      </w:r>
      <w:r w:rsidRPr="0076674B">
        <w:rPr>
          <w:sz w:val="22"/>
          <w:szCs w:val="22"/>
        </w:rPr>
        <w:t>"):</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t> </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t>(a)           Section 2 of the Agreement is hereby amended by deleting the definitions of "Committed Amount" and "Liquidity" in thei</w:t>
      </w:r>
      <w:r w:rsidRPr="0076674B">
        <w:rPr>
          <w:sz w:val="22"/>
          <w:szCs w:val="22"/>
        </w:rPr>
        <w:t>r entirety and replacing them as follows:</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t> </w:t>
      </w:r>
    </w:p>
    <w:p w:rsidR="00DF30E3" w:rsidRPr="0076674B" w:rsidRDefault="00ED6DDA">
      <w:pPr>
        <w:pStyle w:val="NormalWeb"/>
        <w:spacing w:before="0" w:beforeAutospacing="0" w:after="0" w:afterAutospacing="0"/>
        <w:ind w:left="720" w:firstLine="720"/>
        <w:jc w:val="both"/>
        <w:rPr>
          <w:sz w:val="22"/>
          <w:szCs w:val="22"/>
        </w:rPr>
      </w:pPr>
      <w:r w:rsidRPr="0076674B">
        <w:rPr>
          <w:sz w:val="22"/>
          <w:szCs w:val="22"/>
        </w:rPr>
        <w:t>“</w:t>
      </w:r>
      <w:r w:rsidRPr="0076674B">
        <w:rPr>
          <w:sz w:val="22"/>
          <w:szCs w:val="22"/>
          <w:u w:val="single"/>
        </w:rPr>
        <w:t>Committed Amount</w:t>
      </w:r>
      <w:r w:rsidRPr="0076674B">
        <w:rPr>
          <w:sz w:val="22"/>
          <w:szCs w:val="22"/>
        </w:rPr>
        <w:t>” shall mean an amount equal to (</w:t>
      </w:r>
      <w:proofErr w:type="spellStart"/>
      <w:r w:rsidRPr="0076674B">
        <w:rPr>
          <w:sz w:val="22"/>
          <w:szCs w:val="22"/>
        </w:rPr>
        <w:t>i</w:t>
      </w:r>
      <w:proofErr w:type="spellEnd"/>
      <w:r w:rsidRPr="0076674B">
        <w:rPr>
          <w:sz w:val="22"/>
          <w:szCs w:val="22"/>
        </w:rPr>
        <w:t xml:space="preserve">) $925,000,000; reduced by (ii) the aggregate outstanding Purchase Price (as such term is defined in the PMAC Agency Repurchase Agreement) of all Loans (as such </w:t>
      </w:r>
      <w:r w:rsidRPr="0076674B">
        <w:rPr>
          <w:sz w:val="22"/>
          <w:szCs w:val="22"/>
        </w:rPr>
        <w:t>term is defined in the PMAC Agency Repurchase Agreement) then subject to outstanding Transactions (as such term is defined in the PMAC Agency Repurchase Agreement) under the PMAC Agency Repurchase Agreement."</w:t>
      </w:r>
    </w:p>
    <w:p w:rsidR="00DF30E3" w:rsidRPr="0076674B" w:rsidRDefault="00ED6DDA">
      <w:pPr>
        <w:pStyle w:val="NormalWeb"/>
        <w:spacing w:before="0" w:beforeAutospacing="0" w:after="0" w:afterAutospacing="0"/>
        <w:ind w:left="720" w:firstLine="720"/>
        <w:jc w:val="both"/>
        <w:rPr>
          <w:sz w:val="22"/>
          <w:szCs w:val="22"/>
        </w:rPr>
      </w:pPr>
      <w:r w:rsidRPr="0076674B">
        <w:rPr>
          <w:sz w:val="22"/>
          <w:szCs w:val="22"/>
        </w:rPr>
        <w:t> </w:t>
      </w:r>
    </w:p>
    <w:p w:rsidR="00DF30E3" w:rsidRPr="0076674B" w:rsidRDefault="00ED6DDA" w:rsidP="00B54182">
      <w:pPr>
        <w:pStyle w:val="NormalWeb"/>
        <w:spacing w:before="0" w:beforeAutospacing="0" w:after="0" w:afterAutospacing="0"/>
        <w:ind w:left="720" w:firstLine="720"/>
        <w:jc w:val="both"/>
        <w:rPr>
          <w:sz w:val="22"/>
          <w:szCs w:val="22"/>
        </w:rPr>
      </w:pPr>
      <w:r w:rsidRPr="0076674B">
        <w:rPr>
          <w:sz w:val="22"/>
          <w:szCs w:val="22"/>
        </w:rPr>
        <w:t>“</w:t>
      </w:r>
      <w:r w:rsidRPr="0076674B">
        <w:rPr>
          <w:sz w:val="22"/>
          <w:szCs w:val="22"/>
          <w:u w:val="single"/>
        </w:rPr>
        <w:t>Liquidity</w:t>
      </w:r>
      <w:r w:rsidRPr="0076674B">
        <w:rPr>
          <w:sz w:val="22"/>
          <w:szCs w:val="22"/>
        </w:rPr>
        <w:t>” means with respect to any Person,</w:t>
      </w:r>
      <w:r w:rsidRPr="0076674B">
        <w:rPr>
          <w:sz w:val="22"/>
          <w:szCs w:val="22"/>
        </w:rPr>
        <w:t xml:space="preserve"> the sum of (</w:t>
      </w:r>
      <w:proofErr w:type="spellStart"/>
      <w:r w:rsidRPr="0076674B">
        <w:rPr>
          <w:sz w:val="22"/>
          <w:szCs w:val="22"/>
        </w:rPr>
        <w:t>i</w:t>
      </w:r>
      <w:proofErr w:type="spellEnd"/>
      <w:r w:rsidRPr="0076674B">
        <w:rPr>
          <w:sz w:val="22"/>
          <w:szCs w:val="22"/>
        </w:rPr>
        <w:t xml:space="preserve">) its unrestricted cash, plus (ii) its unrestricted Cash Equivalents. For the avoidance of doubt, such unrestricted cash shall not include any cash collateral of such Person in respect of letter of credit </w:t>
      </w:r>
      <w:r w:rsidRPr="0076674B">
        <w:rPr>
          <w:sz w:val="22"/>
          <w:szCs w:val="22"/>
        </w:rPr>
        <w:lastRenderedPageBreak/>
        <w:t>obligations of such Person, and to th</w:t>
      </w:r>
      <w:r w:rsidRPr="0076674B">
        <w:rPr>
          <w:sz w:val="22"/>
          <w:szCs w:val="22"/>
        </w:rPr>
        <w:t>e extent a letter of credit obligation of such Person is only partially cash collateralized, only that portion of the letter of credit that represents cash collateral shall be excluded from the definition of Liquidity hereunder.</w:t>
      </w:r>
    </w:p>
    <w:p w:rsidR="00DF30E3" w:rsidRPr="0076674B" w:rsidRDefault="00ED6DDA">
      <w:pPr>
        <w:pStyle w:val="NormalWeb"/>
        <w:spacing w:before="0" w:beforeAutospacing="0" w:after="0" w:afterAutospacing="0"/>
        <w:rPr>
          <w:sz w:val="22"/>
          <w:szCs w:val="22"/>
        </w:rPr>
      </w:pPr>
      <w:r w:rsidRPr="0076674B">
        <w:rPr>
          <w:sz w:val="22"/>
          <w:szCs w:val="22"/>
        </w:rPr>
        <w:t> </w:t>
      </w:r>
    </w:p>
    <w:p w:rsidR="00DF30E3" w:rsidRPr="0076674B" w:rsidRDefault="00ED6DDA">
      <w:pPr>
        <w:pStyle w:val="NormalWeb"/>
        <w:spacing w:before="0" w:beforeAutospacing="0" w:after="0" w:afterAutospacing="0"/>
        <w:ind w:firstLine="880"/>
        <w:jc w:val="both"/>
        <w:rPr>
          <w:sz w:val="22"/>
          <w:szCs w:val="22"/>
        </w:rPr>
      </w:pPr>
      <w:r w:rsidRPr="0076674B">
        <w:rPr>
          <w:sz w:val="22"/>
          <w:szCs w:val="22"/>
        </w:rPr>
        <w:t xml:space="preserve">(b)           </w:t>
      </w:r>
      <w:r w:rsidRPr="0076674B">
        <w:rPr>
          <w:sz w:val="22"/>
          <w:szCs w:val="22"/>
        </w:rPr>
        <w:t>Section 2 of the Agreement is hereby amended by deleting the definition of "Termination Date" in its entirety and replacing it as follows:</w:t>
      </w:r>
    </w:p>
    <w:p w:rsidR="00DF30E3" w:rsidRPr="0076674B" w:rsidRDefault="00ED6DDA">
      <w:pPr>
        <w:pStyle w:val="NormalWeb"/>
        <w:spacing w:before="0" w:beforeAutospacing="0" w:after="0" w:afterAutospacing="0"/>
        <w:ind w:firstLine="880"/>
        <w:rPr>
          <w:sz w:val="22"/>
          <w:szCs w:val="22"/>
        </w:rPr>
      </w:pPr>
      <w:r w:rsidRPr="0076674B">
        <w:rPr>
          <w:sz w:val="22"/>
          <w:szCs w:val="22"/>
        </w:rPr>
        <w:t> </w:t>
      </w:r>
    </w:p>
    <w:tbl>
      <w:tblPr>
        <w:tblW w:w="5000" w:type="pct"/>
        <w:tblCellSpacing w:w="0" w:type="dxa"/>
        <w:tblCellMar>
          <w:left w:w="0" w:type="dxa"/>
          <w:right w:w="0" w:type="dxa"/>
        </w:tblCellMar>
        <w:tblLook w:val="04A0"/>
      </w:tblPr>
      <w:tblGrid>
        <w:gridCol w:w="6"/>
        <w:gridCol w:w="720"/>
        <w:gridCol w:w="7914"/>
      </w:tblGrid>
      <w:tr w:rsidR="00DF30E3" w:rsidRPr="0076674B">
        <w:trPr>
          <w:tblCellSpacing w:w="0" w:type="dxa"/>
        </w:trPr>
        <w:tc>
          <w:tcPr>
            <w:tcW w:w="6" w:type="dxa"/>
            <w:hideMark/>
          </w:tcPr>
          <w:p w:rsidR="00DF30E3" w:rsidRPr="0076674B" w:rsidRDefault="00DF30E3">
            <w:pPr>
              <w:rPr>
                <w:rFonts w:eastAsia="Times New Roman"/>
                <w:sz w:val="22"/>
                <w:szCs w:val="22"/>
              </w:rPr>
            </w:pPr>
          </w:p>
        </w:tc>
        <w:tc>
          <w:tcPr>
            <w:tcW w:w="720" w:type="dxa"/>
            <w:hideMark/>
          </w:tcPr>
          <w:p w:rsidR="00DF30E3" w:rsidRPr="0076674B" w:rsidRDefault="00DF30E3">
            <w:pPr>
              <w:rPr>
                <w:rFonts w:eastAsia="Times New Roman"/>
                <w:sz w:val="22"/>
                <w:szCs w:val="22"/>
              </w:rPr>
            </w:pPr>
          </w:p>
        </w:tc>
        <w:tc>
          <w:tcPr>
            <w:tcW w:w="0" w:type="auto"/>
            <w:hideMark/>
          </w:tcPr>
          <w:p w:rsidR="00DF30E3" w:rsidRPr="0076674B" w:rsidRDefault="00ED6DDA">
            <w:pPr>
              <w:jc w:val="both"/>
              <w:rPr>
                <w:rFonts w:eastAsia="Times New Roman"/>
                <w:sz w:val="22"/>
                <w:szCs w:val="22"/>
              </w:rPr>
            </w:pPr>
            <w:r w:rsidRPr="0076674B">
              <w:rPr>
                <w:rFonts w:eastAsia="Times New Roman"/>
                <w:sz w:val="22"/>
                <w:szCs w:val="22"/>
              </w:rPr>
              <w:t>“</w:t>
            </w:r>
            <w:r w:rsidRPr="0076674B">
              <w:rPr>
                <w:rFonts w:eastAsia="Times New Roman"/>
                <w:sz w:val="22"/>
                <w:szCs w:val="22"/>
                <w:u w:val="single"/>
              </w:rPr>
              <w:t>Termination Date</w:t>
            </w:r>
            <w:r w:rsidRPr="0076674B">
              <w:rPr>
                <w:rFonts w:eastAsia="Times New Roman"/>
                <w:sz w:val="22"/>
                <w:szCs w:val="22"/>
              </w:rPr>
              <w:t>” shall mean October 20, 2016 or such earlier date on which this Agreement shall terminate in ac</w:t>
            </w:r>
            <w:r w:rsidRPr="0076674B">
              <w:rPr>
                <w:rFonts w:eastAsia="Times New Roman"/>
                <w:sz w:val="22"/>
                <w:szCs w:val="22"/>
              </w:rPr>
              <w:t>cordance with the provisions hereof or by operation of law.”</w:t>
            </w:r>
          </w:p>
        </w:tc>
      </w:tr>
    </w:tbl>
    <w:p w:rsidR="00DF30E3" w:rsidRPr="0076674B" w:rsidRDefault="00ED6DDA">
      <w:pPr>
        <w:pStyle w:val="NormalWeb"/>
        <w:spacing w:before="0" w:beforeAutospacing="0" w:after="0" w:afterAutospacing="0"/>
        <w:rPr>
          <w:sz w:val="22"/>
          <w:szCs w:val="22"/>
        </w:rPr>
      </w:pPr>
      <w:r w:rsidRPr="0076674B">
        <w:rPr>
          <w:sz w:val="22"/>
          <w:szCs w:val="22"/>
        </w:rPr>
        <w:t> </w:t>
      </w:r>
    </w:p>
    <w:p w:rsidR="00DF30E3" w:rsidRPr="0076674B" w:rsidRDefault="00ED6DDA">
      <w:pPr>
        <w:pStyle w:val="NormalWeb"/>
        <w:spacing w:before="0" w:beforeAutospacing="0" w:after="0" w:afterAutospacing="0"/>
        <w:ind w:firstLine="880"/>
        <w:jc w:val="both"/>
        <w:rPr>
          <w:sz w:val="22"/>
          <w:szCs w:val="22"/>
        </w:rPr>
      </w:pPr>
      <w:r w:rsidRPr="0076674B">
        <w:rPr>
          <w:sz w:val="22"/>
          <w:szCs w:val="22"/>
        </w:rPr>
        <w:t>(c)           Section 2 of the Agreement is hereby amended by adding the definitions of "</w:t>
      </w:r>
      <w:proofErr w:type="spellStart"/>
      <w:r w:rsidRPr="0076674B">
        <w:rPr>
          <w:sz w:val="22"/>
          <w:szCs w:val="22"/>
        </w:rPr>
        <w:t>Citi</w:t>
      </w:r>
      <w:proofErr w:type="spellEnd"/>
      <w:r w:rsidRPr="0076674B">
        <w:rPr>
          <w:sz w:val="22"/>
          <w:szCs w:val="22"/>
        </w:rPr>
        <w:t xml:space="preserve"> Repurchase Facility", “Servicer Credit Event" and “Servicer Termination Event” in the appropriate </w:t>
      </w:r>
      <w:r w:rsidRPr="0076674B">
        <w:rPr>
          <w:sz w:val="22"/>
          <w:szCs w:val="22"/>
        </w:rPr>
        <w:t>alphabetical order as follows:</w:t>
      </w:r>
    </w:p>
    <w:p w:rsidR="00DF30E3" w:rsidRPr="0076674B" w:rsidRDefault="00ED6DDA">
      <w:pPr>
        <w:pStyle w:val="NormalWeb"/>
        <w:spacing w:before="0" w:beforeAutospacing="0" w:after="0" w:afterAutospacing="0"/>
        <w:ind w:firstLine="880"/>
        <w:rPr>
          <w:sz w:val="22"/>
          <w:szCs w:val="22"/>
        </w:rPr>
      </w:pPr>
      <w:r w:rsidRPr="0076674B">
        <w:rPr>
          <w:sz w:val="22"/>
          <w:szCs w:val="22"/>
        </w:rPr>
        <w:t> </w:t>
      </w:r>
    </w:p>
    <w:p w:rsidR="00DF30E3" w:rsidRPr="0076674B" w:rsidRDefault="00ED6DDA">
      <w:pPr>
        <w:pStyle w:val="NormalWeb"/>
        <w:spacing w:before="0" w:beforeAutospacing="0" w:after="0" w:afterAutospacing="0"/>
        <w:ind w:left="720" w:firstLine="720"/>
        <w:jc w:val="both"/>
        <w:rPr>
          <w:sz w:val="22"/>
          <w:szCs w:val="22"/>
        </w:rPr>
      </w:pPr>
      <w:r w:rsidRPr="0076674B">
        <w:rPr>
          <w:sz w:val="22"/>
          <w:szCs w:val="22"/>
        </w:rPr>
        <w:t>“</w:t>
      </w:r>
      <w:proofErr w:type="spellStart"/>
      <w:r w:rsidRPr="0076674B">
        <w:rPr>
          <w:sz w:val="22"/>
          <w:szCs w:val="22"/>
          <w:u w:val="single"/>
        </w:rPr>
        <w:t>Citi</w:t>
      </w:r>
      <w:proofErr w:type="spellEnd"/>
      <w:r w:rsidRPr="0076674B">
        <w:rPr>
          <w:sz w:val="22"/>
          <w:szCs w:val="22"/>
          <w:u w:val="single"/>
        </w:rPr>
        <w:t xml:space="preserve"> Repurchase Facility</w:t>
      </w:r>
      <w:r w:rsidRPr="0076674B">
        <w:rPr>
          <w:sz w:val="22"/>
          <w:szCs w:val="22"/>
        </w:rPr>
        <w:t>” shall mean each of (</w:t>
      </w:r>
      <w:proofErr w:type="spellStart"/>
      <w:r w:rsidRPr="0076674B">
        <w:rPr>
          <w:sz w:val="22"/>
          <w:szCs w:val="22"/>
        </w:rPr>
        <w:t>i</w:t>
      </w:r>
      <w:proofErr w:type="spellEnd"/>
      <w:r w:rsidRPr="0076674B">
        <w:rPr>
          <w:sz w:val="22"/>
          <w:szCs w:val="22"/>
        </w:rPr>
        <w:t xml:space="preserve">) that Master Repurchase Agreement dated as of May 24, 2012, as amended ("PMAC Agency Repurchase Agreement"), among </w:t>
      </w:r>
      <w:proofErr w:type="spellStart"/>
      <w:r w:rsidRPr="0076674B">
        <w:rPr>
          <w:sz w:val="22"/>
          <w:szCs w:val="22"/>
        </w:rPr>
        <w:t>PennyMac</w:t>
      </w:r>
      <w:proofErr w:type="spellEnd"/>
      <w:r w:rsidRPr="0076674B">
        <w:rPr>
          <w:sz w:val="22"/>
          <w:szCs w:val="22"/>
        </w:rPr>
        <w:t xml:space="preserve"> Corp., as seller, </w:t>
      </w:r>
      <w:proofErr w:type="spellStart"/>
      <w:r w:rsidRPr="0076674B">
        <w:rPr>
          <w:sz w:val="22"/>
          <w:szCs w:val="22"/>
        </w:rPr>
        <w:t>PennyMac</w:t>
      </w:r>
      <w:proofErr w:type="spellEnd"/>
      <w:r w:rsidRPr="0076674B">
        <w:rPr>
          <w:sz w:val="22"/>
          <w:szCs w:val="22"/>
        </w:rPr>
        <w:t xml:space="preserve"> Loan Services, LLC, as </w:t>
      </w:r>
      <w:r w:rsidRPr="0076674B">
        <w:rPr>
          <w:sz w:val="22"/>
          <w:szCs w:val="22"/>
        </w:rPr>
        <w:t xml:space="preserve">servicer and Citibank, N.A., as buyer and any other Program Document as such term is defined in the PMAC Agency Repurchase Agreement and (ii) that Loan and Security Agreement dated as of March 31, 2015 ("MSR Loan Agreement"), as amended, among </w:t>
      </w:r>
      <w:proofErr w:type="spellStart"/>
      <w:r w:rsidRPr="0076674B">
        <w:rPr>
          <w:sz w:val="22"/>
          <w:szCs w:val="22"/>
        </w:rPr>
        <w:t>PennyMac</w:t>
      </w:r>
      <w:proofErr w:type="spellEnd"/>
      <w:r w:rsidRPr="0076674B">
        <w:rPr>
          <w:sz w:val="22"/>
          <w:szCs w:val="22"/>
        </w:rPr>
        <w:t xml:space="preserve"> Cor</w:t>
      </w:r>
      <w:r w:rsidRPr="0076674B">
        <w:rPr>
          <w:sz w:val="22"/>
          <w:szCs w:val="22"/>
        </w:rPr>
        <w:t>p., as borrower, and Citibank, N.A., as lender, and any other Facility Document as such term is defined in the MSR Loan Agreement.</w:t>
      </w:r>
    </w:p>
    <w:p w:rsidR="00DF30E3" w:rsidRPr="0076674B" w:rsidRDefault="00ED6DDA">
      <w:pPr>
        <w:pStyle w:val="NormalWeb"/>
        <w:spacing w:before="0" w:beforeAutospacing="0" w:after="0" w:afterAutospacing="0"/>
        <w:ind w:left="720" w:firstLine="720"/>
        <w:jc w:val="both"/>
        <w:rPr>
          <w:sz w:val="22"/>
          <w:szCs w:val="22"/>
        </w:rPr>
      </w:pPr>
      <w:r w:rsidRPr="0076674B">
        <w:rPr>
          <w:sz w:val="22"/>
          <w:szCs w:val="22"/>
        </w:rPr>
        <w:t> </w:t>
      </w:r>
    </w:p>
    <w:p w:rsidR="00DF30E3" w:rsidRPr="0076674B" w:rsidRDefault="00ED6DDA">
      <w:pPr>
        <w:pStyle w:val="NormalWeb"/>
        <w:spacing w:before="0" w:beforeAutospacing="0" w:after="0" w:afterAutospacing="0"/>
        <w:ind w:left="720" w:firstLine="720"/>
        <w:jc w:val="both"/>
        <w:rPr>
          <w:sz w:val="22"/>
          <w:szCs w:val="22"/>
        </w:rPr>
      </w:pPr>
      <w:r w:rsidRPr="0076674B">
        <w:rPr>
          <w:sz w:val="22"/>
          <w:szCs w:val="22"/>
        </w:rPr>
        <w:t>“</w:t>
      </w:r>
      <w:r w:rsidRPr="0076674B">
        <w:rPr>
          <w:sz w:val="22"/>
          <w:szCs w:val="22"/>
          <w:u w:val="single"/>
        </w:rPr>
        <w:t>Repurchase Party</w:t>
      </w:r>
      <w:r w:rsidRPr="0076674B">
        <w:rPr>
          <w:sz w:val="22"/>
          <w:szCs w:val="22"/>
        </w:rPr>
        <w:t xml:space="preserve">” shall mean any of </w:t>
      </w:r>
      <w:proofErr w:type="spellStart"/>
      <w:r w:rsidRPr="0076674B">
        <w:rPr>
          <w:sz w:val="22"/>
          <w:szCs w:val="22"/>
        </w:rPr>
        <w:t>PennyMac</w:t>
      </w:r>
      <w:proofErr w:type="spellEnd"/>
      <w:r w:rsidRPr="0076674B">
        <w:rPr>
          <w:sz w:val="22"/>
          <w:szCs w:val="22"/>
        </w:rPr>
        <w:t xml:space="preserve"> Corp., </w:t>
      </w:r>
      <w:proofErr w:type="spellStart"/>
      <w:r w:rsidRPr="0076674B">
        <w:rPr>
          <w:sz w:val="22"/>
          <w:szCs w:val="22"/>
        </w:rPr>
        <w:t>PennyMac</w:t>
      </w:r>
      <w:proofErr w:type="spellEnd"/>
      <w:r w:rsidRPr="0076674B">
        <w:rPr>
          <w:sz w:val="22"/>
          <w:szCs w:val="22"/>
        </w:rPr>
        <w:t xml:space="preserve"> Holdings, LLC or </w:t>
      </w:r>
      <w:proofErr w:type="spellStart"/>
      <w:r w:rsidRPr="0076674B">
        <w:rPr>
          <w:sz w:val="22"/>
          <w:szCs w:val="22"/>
        </w:rPr>
        <w:t>PennyMac</w:t>
      </w:r>
      <w:proofErr w:type="spellEnd"/>
      <w:r w:rsidRPr="0076674B">
        <w:rPr>
          <w:sz w:val="22"/>
          <w:szCs w:val="22"/>
        </w:rPr>
        <w:t xml:space="preserve"> Mortgage Investment Trust.</w:t>
      </w:r>
    </w:p>
    <w:p w:rsidR="00DF30E3" w:rsidRPr="0076674B" w:rsidRDefault="00ED6DDA">
      <w:pPr>
        <w:pStyle w:val="NormalWeb"/>
        <w:spacing w:before="0" w:beforeAutospacing="0" w:after="0" w:afterAutospacing="0"/>
        <w:ind w:left="720" w:firstLine="720"/>
        <w:jc w:val="both"/>
        <w:rPr>
          <w:sz w:val="22"/>
          <w:szCs w:val="22"/>
        </w:rPr>
      </w:pPr>
      <w:r w:rsidRPr="0076674B">
        <w:rPr>
          <w:sz w:val="22"/>
          <w:szCs w:val="22"/>
        </w:rPr>
        <w:t> </w:t>
      </w:r>
    </w:p>
    <w:p w:rsidR="00DF30E3" w:rsidRPr="0076674B" w:rsidRDefault="00ED6DDA">
      <w:pPr>
        <w:pStyle w:val="NormalWeb"/>
        <w:spacing w:before="0" w:beforeAutospacing="0" w:after="0" w:afterAutospacing="0"/>
        <w:ind w:left="720" w:firstLine="720"/>
        <w:jc w:val="both"/>
        <w:rPr>
          <w:sz w:val="22"/>
          <w:szCs w:val="22"/>
        </w:rPr>
      </w:pPr>
      <w:r w:rsidRPr="0076674B">
        <w:rPr>
          <w:sz w:val="22"/>
          <w:szCs w:val="22"/>
        </w:rPr>
        <w:t>"</w:t>
      </w:r>
      <w:r w:rsidRPr="0076674B">
        <w:rPr>
          <w:sz w:val="22"/>
          <w:szCs w:val="22"/>
          <w:u w:val="single"/>
        </w:rPr>
        <w:t>Servi</w:t>
      </w:r>
      <w:r w:rsidRPr="0076674B">
        <w:rPr>
          <w:sz w:val="22"/>
          <w:szCs w:val="22"/>
          <w:u w:val="single"/>
        </w:rPr>
        <w:t>cer Credit Event</w:t>
      </w:r>
      <w:r w:rsidRPr="0076674B">
        <w:rPr>
          <w:sz w:val="22"/>
          <w:szCs w:val="22"/>
        </w:rPr>
        <w:t xml:space="preserve">" means Servicer or any </w:t>
      </w:r>
      <w:proofErr w:type="spellStart"/>
      <w:r w:rsidRPr="0076674B">
        <w:rPr>
          <w:sz w:val="22"/>
          <w:szCs w:val="22"/>
        </w:rPr>
        <w:t>Subservicer</w:t>
      </w:r>
      <w:proofErr w:type="spellEnd"/>
      <w:r w:rsidRPr="0076674B">
        <w:rPr>
          <w:sz w:val="22"/>
          <w:szCs w:val="22"/>
        </w:rPr>
        <w:t xml:space="preserve"> shall default under, or fail to perform as required under, or shall otherwise breach the terms of any repurchase agreement (including without limitation any </w:t>
      </w:r>
      <w:proofErr w:type="spellStart"/>
      <w:r w:rsidRPr="0076674B">
        <w:rPr>
          <w:sz w:val="22"/>
          <w:szCs w:val="22"/>
        </w:rPr>
        <w:t>Citi</w:t>
      </w:r>
      <w:proofErr w:type="spellEnd"/>
      <w:r w:rsidRPr="0076674B">
        <w:rPr>
          <w:sz w:val="22"/>
          <w:szCs w:val="22"/>
        </w:rPr>
        <w:t xml:space="preserve"> Repurchase Facility), loan and security ag</w:t>
      </w:r>
      <w:r w:rsidRPr="0076674B">
        <w:rPr>
          <w:sz w:val="22"/>
          <w:szCs w:val="22"/>
        </w:rPr>
        <w:t xml:space="preserve">reement, MSFTA/derivatives agreement, or similar credit facility or agreement for borrowed funds between Servicer on the one hand, and Buyer or any of Buyer's Affiliates on the other; </w:t>
      </w:r>
      <w:r w:rsidRPr="0076674B">
        <w:rPr>
          <w:sz w:val="22"/>
          <w:szCs w:val="22"/>
          <w:u w:val="single"/>
        </w:rPr>
        <w:t>provided</w:t>
      </w:r>
      <w:r w:rsidRPr="0076674B">
        <w:rPr>
          <w:sz w:val="22"/>
          <w:szCs w:val="22"/>
        </w:rPr>
        <w:t xml:space="preserve">, a Servicer Termination Event shall also constitute a Servicer </w:t>
      </w:r>
      <w:r w:rsidRPr="0076674B">
        <w:rPr>
          <w:sz w:val="22"/>
          <w:szCs w:val="22"/>
        </w:rPr>
        <w:t>Credit Event.</w:t>
      </w:r>
    </w:p>
    <w:p w:rsidR="00DF30E3" w:rsidRPr="0076674B" w:rsidRDefault="00ED6DDA">
      <w:pPr>
        <w:pStyle w:val="NormalWeb"/>
        <w:spacing w:before="0" w:beforeAutospacing="0" w:after="0" w:afterAutospacing="0"/>
        <w:ind w:left="720" w:firstLine="720"/>
        <w:jc w:val="both"/>
        <w:rPr>
          <w:sz w:val="22"/>
          <w:szCs w:val="22"/>
        </w:rPr>
      </w:pPr>
      <w:r w:rsidRPr="0076674B">
        <w:rPr>
          <w:sz w:val="22"/>
          <w:szCs w:val="22"/>
        </w:rPr>
        <w:t> </w:t>
      </w:r>
    </w:p>
    <w:p w:rsidR="00DF30E3" w:rsidRPr="0076674B" w:rsidRDefault="00ED6DDA">
      <w:pPr>
        <w:pStyle w:val="NormalWeb"/>
        <w:spacing w:before="0" w:beforeAutospacing="0" w:after="0" w:afterAutospacing="0"/>
        <w:ind w:left="720" w:firstLine="720"/>
        <w:jc w:val="both"/>
        <w:rPr>
          <w:sz w:val="22"/>
          <w:szCs w:val="22"/>
        </w:rPr>
      </w:pPr>
      <w:r w:rsidRPr="0076674B">
        <w:rPr>
          <w:sz w:val="22"/>
          <w:szCs w:val="22"/>
        </w:rPr>
        <w:t>"</w:t>
      </w:r>
      <w:r w:rsidRPr="0076674B">
        <w:rPr>
          <w:sz w:val="22"/>
          <w:szCs w:val="22"/>
          <w:u w:val="single"/>
        </w:rPr>
        <w:t>Servicer Termination Event</w:t>
      </w:r>
      <w:r w:rsidRPr="0076674B">
        <w:rPr>
          <w:sz w:val="22"/>
          <w:szCs w:val="22"/>
        </w:rPr>
        <w:t>" means (</w:t>
      </w:r>
      <w:proofErr w:type="spellStart"/>
      <w:r w:rsidRPr="0076674B">
        <w:rPr>
          <w:sz w:val="22"/>
          <w:szCs w:val="22"/>
        </w:rPr>
        <w:t>i</w:t>
      </w:r>
      <w:proofErr w:type="spellEnd"/>
      <w:r w:rsidRPr="0076674B">
        <w:rPr>
          <w:sz w:val="22"/>
          <w:szCs w:val="22"/>
        </w:rPr>
        <w:t xml:space="preserve">) an event that entitles the Seller to terminate the Servicer or </w:t>
      </w:r>
      <w:proofErr w:type="spellStart"/>
      <w:r w:rsidRPr="0076674B">
        <w:rPr>
          <w:sz w:val="22"/>
          <w:szCs w:val="22"/>
        </w:rPr>
        <w:t>Subservicer</w:t>
      </w:r>
      <w:proofErr w:type="spellEnd"/>
      <w:r w:rsidRPr="0076674B">
        <w:rPr>
          <w:sz w:val="22"/>
          <w:szCs w:val="22"/>
        </w:rPr>
        <w:t xml:space="preserve"> for cause under the related Servicing Agreement, or (ii) the occurrence of any of the following:</w:t>
      </w:r>
    </w:p>
    <w:p w:rsidR="00DF30E3" w:rsidRPr="0076674B" w:rsidRDefault="00ED6DDA">
      <w:pPr>
        <w:pStyle w:val="NormalWeb"/>
        <w:spacing w:before="0" w:beforeAutospacing="0" w:after="0" w:afterAutospacing="0"/>
        <w:ind w:left="720" w:firstLine="720"/>
        <w:rPr>
          <w:sz w:val="22"/>
          <w:szCs w:val="22"/>
        </w:rPr>
      </w:pPr>
      <w:r w:rsidRPr="0076674B">
        <w:rPr>
          <w:sz w:val="22"/>
          <w:szCs w:val="22"/>
        </w:rPr>
        <w:t> </w:t>
      </w:r>
    </w:p>
    <w:p w:rsidR="00DF30E3" w:rsidRPr="0076674B" w:rsidRDefault="00ED6DDA">
      <w:pPr>
        <w:pStyle w:val="NormalWeb"/>
        <w:spacing w:before="0" w:beforeAutospacing="0" w:after="0" w:afterAutospacing="0"/>
        <w:ind w:firstLine="1320"/>
        <w:jc w:val="both"/>
        <w:rPr>
          <w:sz w:val="22"/>
          <w:szCs w:val="22"/>
        </w:rPr>
      </w:pPr>
      <w:r w:rsidRPr="0076674B">
        <w:rPr>
          <w:sz w:val="22"/>
          <w:szCs w:val="22"/>
        </w:rPr>
        <w:t xml:space="preserve">(a) Servicer’s membership </w:t>
      </w:r>
      <w:r w:rsidRPr="0076674B">
        <w:rPr>
          <w:sz w:val="22"/>
          <w:szCs w:val="22"/>
        </w:rPr>
        <w:t>in MERS is terminated for cause or Servicer voluntarily terminates its membership in MERS to the extent any Purchased Loans are MERS Loans;</w:t>
      </w:r>
    </w:p>
    <w:p w:rsidR="00DF30E3" w:rsidRPr="0076674B" w:rsidRDefault="00ED6DDA">
      <w:pPr>
        <w:pStyle w:val="NormalWeb"/>
        <w:spacing w:before="0" w:beforeAutospacing="0" w:after="0" w:afterAutospacing="0"/>
        <w:ind w:left="720" w:firstLine="720"/>
        <w:rPr>
          <w:sz w:val="22"/>
          <w:szCs w:val="22"/>
        </w:rPr>
      </w:pPr>
      <w:r w:rsidRPr="0076674B">
        <w:rPr>
          <w:sz w:val="22"/>
          <w:szCs w:val="22"/>
        </w:rPr>
        <w:t> </w:t>
      </w:r>
    </w:p>
    <w:p w:rsidR="00DF30E3" w:rsidRPr="0076674B" w:rsidRDefault="00ED6DDA">
      <w:pPr>
        <w:pStyle w:val="NormalWeb"/>
        <w:spacing w:before="0" w:beforeAutospacing="0" w:after="0" w:afterAutospacing="0"/>
        <w:ind w:firstLine="1320"/>
        <w:jc w:val="both"/>
        <w:rPr>
          <w:sz w:val="22"/>
          <w:szCs w:val="22"/>
        </w:rPr>
      </w:pPr>
      <w:r w:rsidRPr="0076674B">
        <w:rPr>
          <w:sz w:val="22"/>
          <w:szCs w:val="22"/>
        </w:rPr>
        <w:t>(b) Servicer fails to deposit any Income received by it into the Collection Account within one (1) Business Day of</w:t>
      </w:r>
      <w:r w:rsidRPr="0076674B">
        <w:rPr>
          <w:sz w:val="22"/>
          <w:szCs w:val="22"/>
        </w:rPr>
        <w:t xml:space="preserve"> the date such deposit was due; or</w:t>
      </w:r>
    </w:p>
    <w:p w:rsidR="00DF30E3" w:rsidRPr="0076674B" w:rsidRDefault="00ED6DDA">
      <w:pPr>
        <w:pStyle w:val="NormalWeb"/>
        <w:spacing w:before="0" w:beforeAutospacing="0" w:after="0" w:afterAutospacing="0"/>
        <w:ind w:left="720" w:firstLine="720"/>
        <w:rPr>
          <w:sz w:val="22"/>
          <w:szCs w:val="22"/>
        </w:rPr>
      </w:pPr>
      <w:r w:rsidRPr="0076674B">
        <w:rPr>
          <w:sz w:val="22"/>
          <w:szCs w:val="22"/>
        </w:rPr>
        <w:t> </w:t>
      </w:r>
    </w:p>
    <w:p w:rsidR="00DF30E3" w:rsidRPr="0076674B" w:rsidRDefault="00ED6DDA">
      <w:pPr>
        <w:pStyle w:val="NormalWeb"/>
        <w:spacing w:before="0" w:beforeAutospacing="0" w:after="0" w:afterAutospacing="0"/>
        <w:ind w:firstLine="1320"/>
        <w:jc w:val="both"/>
        <w:rPr>
          <w:sz w:val="22"/>
          <w:szCs w:val="22"/>
        </w:rPr>
      </w:pPr>
      <w:r w:rsidRPr="0076674B">
        <w:rPr>
          <w:sz w:val="22"/>
          <w:szCs w:val="22"/>
        </w:rPr>
        <w:t>(c) Servicer shall default under any Servicing Agreement and such failure shall not have been waived by Buyer.</w:t>
      </w:r>
    </w:p>
    <w:p w:rsidR="00DF30E3" w:rsidRPr="0076674B" w:rsidRDefault="00ED6DDA">
      <w:pPr>
        <w:pStyle w:val="NormalWeb"/>
        <w:spacing w:before="0" w:beforeAutospacing="0" w:after="0" w:afterAutospacing="0"/>
        <w:ind w:left="720" w:firstLine="720"/>
        <w:rPr>
          <w:sz w:val="22"/>
          <w:szCs w:val="22"/>
        </w:rPr>
      </w:pPr>
      <w:r w:rsidRPr="0076674B">
        <w:rPr>
          <w:sz w:val="22"/>
          <w:szCs w:val="22"/>
        </w:rPr>
        <w:t> </w:t>
      </w:r>
    </w:p>
    <w:p w:rsidR="00DF30E3" w:rsidRPr="0076674B" w:rsidRDefault="00ED6DDA" w:rsidP="00B54182">
      <w:pPr>
        <w:pStyle w:val="NormalWeb"/>
        <w:spacing w:before="0" w:beforeAutospacing="0" w:after="0" w:afterAutospacing="0"/>
        <w:ind w:firstLine="1320"/>
        <w:jc w:val="both"/>
        <w:rPr>
          <w:sz w:val="22"/>
          <w:szCs w:val="22"/>
        </w:rPr>
      </w:pPr>
      <w:r w:rsidRPr="0076674B">
        <w:rPr>
          <w:sz w:val="22"/>
          <w:szCs w:val="22"/>
        </w:rPr>
        <w:t>(</w:t>
      </w:r>
      <w:proofErr w:type="gramStart"/>
      <w:r w:rsidRPr="0076674B">
        <w:rPr>
          <w:sz w:val="22"/>
          <w:szCs w:val="22"/>
        </w:rPr>
        <w:t>d</w:t>
      </w:r>
      <w:proofErr w:type="gramEnd"/>
      <w:r w:rsidRPr="0076674B">
        <w:rPr>
          <w:sz w:val="22"/>
          <w:szCs w:val="22"/>
        </w:rPr>
        <w:t xml:space="preserve">) Section 4(c) of the Agreement is hereby amended by deleting the section in its entirety and replacing </w:t>
      </w:r>
      <w:r w:rsidRPr="0076674B">
        <w:rPr>
          <w:sz w:val="22"/>
          <w:szCs w:val="22"/>
        </w:rPr>
        <w:t>it with the following:</w:t>
      </w:r>
    </w:p>
    <w:p w:rsidR="00DF30E3" w:rsidRPr="0076674B" w:rsidRDefault="00ED6DDA">
      <w:pPr>
        <w:pStyle w:val="NormalWeb"/>
        <w:spacing w:before="0" w:beforeAutospacing="0" w:after="0" w:afterAutospacing="0"/>
        <w:ind w:left="880" w:firstLine="440"/>
        <w:jc w:val="both"/>
        <w:rPr>
          <w:sz w:val="22"/>
          <w:szCs w:val="22"/>
        </w:rPr>
      </w:pPr>
      <w:r w:rsidRPr="0076674B">
        <w:rPr>
          <w:sz w:val="22"/>
          <w:szCs w:val="22"/>
        </w:rPr>
        <w:lastRenderedPageBreak/>
        <w:t xml:space="preserve">“(c)      Commitment Fee. Sellers agree to pay to Buyer the Commitment Fee, such payment to be made in Dollars, in immediately available funds, without deduction, set off or counterclaim, to Buyer to Buyer in twelve (12) </w:t>
      </w:r>
      <w:r w:rsidRPr="0076674B">
        <w:rPr>
          <w:sz w:val="22"/>
          <w:szCs w:val="22"/>
        </w:rPr>
        <w:t>equal installments, each of which shall be equal to the Commitment Fee Installment Amount. The Commitment Fee is and shall be deemed to be fully earned and non-refundable when paid. The first installment of the Commitment Fee shall be payable on or prior t</w:t>
      </w:r>
      <w:r w:rsidRPr="0076674B">
        <w:rPr>
          <w:sz w:val="22"/>
          <w:szCs w:val="22"/>
        </w:rPr>
        <w:t>o October 22, 2015 and each subsequent installment shall be payable on or prior to the 15</w:t>
      </w:r>
      <w:r w:rsidRPr="0076674B">
        <w:rPr>
          <w:sz w:val="22"/>
          <w:szCs w:val="22"/>
          <w:vertAlign w:val="superscript"/>
        </w:rPr>
        <w:t>th</w:t>
      </w:r>
      <w:r w:rsidRPr="0076674B">
        <w:rPr>
          <w:sz w:val="22"/>
          <w:szCs w:val="22"/>
        </w:rPr>
        <w:t xml:space="preserve"> day of each succeeding month (or in each case if such date is not a Business Day, the preceding Business Day). Buyer may, in its sole discretion, net all or any por</w:t>
      </w:r>
      <w:r w:rsidRPr="0076674B">
        <w:rPr>
          <w:sz w:val="22"/>
          <w:szCs w:val="22"/>
        </w:rPr>
        <w:t>tion of Commitment Fee from the proceeds of any Purchase Price paid to any Seller. In the event that the Termination Date is accelerated to a date which is prior to the payment in full of all installments of the Commitment Fee, any unpaid installments of t</w:t>
      </w:r>
      <w:r w:rsidRPr="0076674B">
        <w:rPr>
          <w:sz w:val="22"/>
          <w:szCs w:val="22"/>
        </w:rPr>
        <w:t>he Commitment Fee shall be payable on the Termination Date.”</w:t>
      </w:r>
    </w:p>
    <w:p w:rsidR="00DF30E3" w:rsidRPr="0076674B" w:rsidRDefault="00ED6DDA">
      <w:pPr>
        <w:pStyle w:val="NormalWeb"/>
        <w:spacing w:before="0" w:beforeAutospacing="0" w:after="0" w:afterAutospacing="0"/>
        <w:ind w:left="880" w:firstLine="440"/>
        <w:rPr>
          <w:sz w:val="22"/>
          <w:szCs w:val="22"/>
        </w:rPr>
      </w:pPr>
      <w:r w:rsidRPr="0076674B">
        <w:rPr>
          <w:sz w:val="22"/>
          <w:szCs w:val="22"/>
        </w:rPr>
        <w:t> </w:t>
      </w:r>
    </w:p>
    <w:p w:rsidR="00DF30E3" w:rsidRPr="0076674B" w:rsidRDefault="00ED6DDA">
      <w:pPr>
        <w:pStyle w:val="NormalWeb"/>
        <w:spacing w:before="0" w:beforeAutospacing="0" w:after="0" w:afterAutospacing="0"/>
        <w:ind w:firstLine="1320"/>
        <w:jc w:val="both"/>
        <w:rPr>
          <w:sz w:val="22"/>
          <w:szCs w:val="22"/>
        </w:rPr>
      </w:pPr>
      <w:r w:rsidRPr="0076674B">
        <w:rPr>
          <w:sz w:val="22"/>
          <w:szCs w:val="22"/>
        </w:rPr>
        <w:t>(</w:t>
      </w:r>
      <w:proofErr w:type="gramStart"/>
      <w:r w:rsidRPr="0076674B">
        <w:rPr>
          <w:sz w:val="22"/>
          <w:szCs w:val="22"/>
        </w:rPr>
        <w:t>e</w:t>
      </w:r>
      <w:proofErr w:type="gramEnd"/>
      <w:r w:rsidRPr="0076674B">
        <w:rPr>
          <w:sz w:val="22"/>
          <w:szCs w:val="22"/>
        </w:rPr>
        <w:t>) Section 9(b) of the Agreement is hereby amended by adding Section (9)(b)(xvii) as follows:</w:t>
      </w:r>
    </w:p>
    <w:p w:rsidR="00DF30E3" w:rsidRPr="0076674B" w:rsidRDefault="00ED6DDA">
      <w:pPr>
        <w:pStyle w:val="NormalWeb"/>
        <w:spacing w:before="0" w:beforeAutospacing="0" w:after="0" w:afterAutospacing="0"/>
        <w:ind w:left="720" w:hanging="720"/>
        <w:jc w:val="both"/>
        <w:rPr>
          <w:sz w:val="22"/>
          <w:szCs w:val="22"/>
        </w:rPr>
      </w:pPr>
      <w:r w:rsidRPr="0076674B">
        <w:rPr>
          <w:sz w:val="22"/>
          <w:szCs w:val="22"/>
        </w:rPr>
        <w:t> </w:t>
      </w:r>
    </w:p>
    <w:p w:rsidR="00DF30E3" w:rsidRPr="0076674B" w:rsidRDefault="00ED6DDA">
      <w:pPr>
        <w:pStyle w:val="NormalWeb"/>
        <w:spacing w:before="0" w:beforeAutospacing="0" w:after="0" w:afterAutospacing="0"/>
        <w:ind w:left="720" w:firstLine="880"/>
        <w:jc w:val="both"/>
        <w:rPr>
          <w:sz w:val="22"/>
          <w:szCs w:val="22"/>
        </w:rPr>
      </w:pPr>
      <w:r w:rsidRPr="0076674B">
        <w:rPr>
          <w:sz w:val="22"/>
          <w:szCs w:val="22"/>
        </w:rPr>
        <w:t>"(</w:t>
      </w:r>
      <w:proofErr w:type="gramStart"/>
      <w:r w:rsidRPr="0076674B">
        <w:rPr>
          <w:sz w:val="22"/>
          <w:szCs w:val="22"/>
        </w:rPr>
        <w:t>xvii</w:t>
      </w:r>
      <w:proofErr w:type="gramEnd"/>
      <w:r w:rsidRPr="0076674B">
        <w:rPr>
          <w:sz w:val="22"/>
          <w:szCs w:val="22"/>
        </w:rPr>
        <w:t>) No Servicer Credit Event shall have occurred and be continuing."</w:t>
      </w:r>
    </w:p>
    <w:p w:rsidR="00DF30E3" w:rsidRPr="0076674B" w:rsidRDefault="00ED6DDA">
      <w:pPr>
        <w:pStyle w:val="NormalWeb"/>
        <w:spacing w:before="0" w:beforeAutospacing="0" w:after="0" w:afterAutospacing="0"/>
        <w:ind w:left="720" w:firstLine="880"/>
        <w:jc w:val="both"/>
        <w:rPr>
          <w:sz w:val="22"/>
          <w:szCs w:val="22"/>
        </w:rPr>
      </w:pPr>
      <w:r w:rsidRPr="0076674B">
        <w:rPr>
          <w:sz w:val="22"/>
          <w:szCs w:val="22"/>
        </w:rPr>
        <w:t> </w:t>
      </w:r>
    </w:p>
    <w:p w:rsidR="00DF30E3" w:rsidRPr="0076674B" w:rsidRDefault="00ED6DDA">
      <w:pPr>
        <w:pStyle w:val="NormalWeb"/>
        <w:spacing w:before="0" w:beforeAutospacing="0" w:after="0" w:afterAutospacing="0"/>
        <w:ind w:left="440" w:firstLine="880"/>
        <w:jc w:val="both"/>
        <w:rPr>
          <w:sz w:val="22"/>
          <w:szCs w:val="22"/>
        </w:rPr>
      </w:pPr>
      <w:r w:rsidRPr="0076674B">
        <w:rPr>
          <w:sz w:val="22"/>
          <w:szCs w:val="22"/>
        </w:rPr>
        <w:t>(</w:t>
      </w:r>
      <w:proofErr w:type="gramStart"/>
      <w:r w:rsidRPr="0076674B">
        <w:rPr>
          <w:sz w:val="22"/>
          <w:szCs w:val="22"/>
        </w:rPr>
        <w:t>f</w:t>
      </w:r>
      <w:proofErr w:type="gramEnd"/>
      <w:r w:rsidRPr="0076674B">
        <w:rPr>
          <w:sz w:val="22"/>
          <w:szCs w:val="22"/>
        </w:rPr>
        <w:t xml:space="preserve">) Section 12(p) of </w:t>
      </w:r>
      <w:r w:rsidRPr="0076674B">
        <w:rPr>
          <w:sz w:val="22"/>
          <w:szCs w:val="22"/>
        </w:rPr>
        <w:t>the Agreement is hereby amended by deleting the section in its entirety and replacing it with the following (bold language added for emphasis):</w:t>
      </w:r>
    </w:p>
    <w:p w:rsidR="00DF30E3" w:rsidRPr="0076674B" w:rsidRDefault="00ED6DDA">
      <w:pPr>
        <w:pStyle w:val="NormalWeb"/>
        <w:spacing w:before="0" w:beforeAutospacing="0" w:after="0" w:afterAutospacing="0"/>
        <w:ind w:firstLine="1320"/>
        <w:rPr>
          <w:sz w:val="22"/>
          <w:szCs w:val="22"/>
        </w:rPr>
      </w:pPr>
      <w:r w:rsidRPr="0076674B">
        <w:rPr>
          <w:sz w:val="22"/>
          <w:szCs w:val="22"/>
        </w:rPr>
        <w:t> </w:t>
      </w:r>
    </w:p>
    <w:p w:rsidR="00DF30E3" w:rsidRDefault="00ED6DDA">
      <w:pPr>
        <w:pStyle w:val="NormalWeb"/>
        <w:spacing w:before="0" w:beforeAutospacing="0" w:after="0" w:afterAutospacing="0"/>
        <w:ind w:left="880" w:firstLine="720"/>
        <w:jc w:val="both"/>
        <w:rPr>
          <w:sz w:val="22"/>
          <w:szCs w:val="22"/>
        </w:rPr>
      </w:pPr>
      <w:proofErr w:type="gramStart"/>
      <w:r w:rsidRPr="0076674B">
        <w:rPr>
          <w:sz w:val="22"/>
          <w:szCs w:val="22"/>
        </w:rPr>
        <w:t>"(p)     Financial Representations and Warranties.</w:t>
      </w:r>
      <w:proofErr w:type="gramEnd"/>
    </w:p>
    <w:p w:rsidR="00B54182" w:rsidRPr="0076674B" w:rsidRDefault="00B54182">
      <w:pPr>
        <w:pStyle w:val="NormalWeb"/>
        <w:spacing w:before="0" w:beforeAutospacing="0" w:after="0" w:afterAutospacing="0"/>
        <w:ind w:left="880" w:firstLine="720"/>
        <w:jc w:val="both"/>
        <w:rPr>
          <w:sz w:val="22"/>
          <w:szCs w:val="22"/>
        </w:rPr>
      </w:pPr>
    </w:p>
    <w:p w:rsidR="00DF30E3" w:rsidRPr="0076674B" w:rsidRDefault="00ED6DDA">
      <w:pPr>
        <w:pStyle w:val="NormalWeb"/>
        <w:spacing w:before="0" w:beforeAutospacing="0" w:after="0" w:afterAutospacing="0"/>
        <w:ind w:left="2160"/>
        <w:jc w:val="both"/>
        <w:rPr>
          <w:sz w:val="22"/>
          <w:szCs w:val="22"/>
        </w:rPr>
      </w:pPr>
      <w:r w:rsidRPr="0076674B">
        <w:rPr>
          <w:sz w:val="22"/>
          <w:szCs w:val="22"/>
        </w:rPr>
        <w:t>(</w:t>
      </w:r>
      <w:proofErr w:type="spellStart"/>
      <w:r w:rsidRPr="0076674B">
        <w:rPr>
          <w:sz w:val="22"/>
          <w:szCs w:val="22"/>
        </w:rPr>
        <w:t>i</w:t>
      </w:r>
      <w:proofErr w:type="spellEnd"/>
      <w:r w:rsidRPr="0076674B">
        <w:rPr>
          <w:sz w:val="22"/>
          <w:szCs w:val="22"/>
        </w:rPr>
        <w:t xml:space="preserve">) (A) the ratio of </w:t>
      </w:r>
      <w:proofErr w:type="spellStart"/>
      <w:r w:rsidRPr="0076674B">
        <w:rPr>
          <w:sz w:val="22"/>
          <w:szCs w:val="22"/>
        </w:rPr>
        <w:t>PennyMac’s</w:t>
      </w:r>
      <w:proofErr w:type="spellEnd"/>
      <w:r w:rsidRPr="0076674B">
        <w:rPr>
          <w:sz w:val="22"/>
          <w:szCs w:val="22"/>
        </w:rPr>
        <w:t xml:space="preserve"> Total Indebtedness to its </w:t>
      </w:r>
      <w:r w:rsidRPr="0076674B">
        <w:rPr>
          <w:sz w:val="22"/>
          <w:szCs w:val="22"/>
        </w:rPr>
        <w:t xml:space="preserve">Adjusted Tangible Net Worth is not greater than 10:1; (B) the combined Liquidity of </w:t>
      </w:r>
      <w:proofErr w:type="spellStart"/>
      <w:r w:rsidRPr="0076674B">
        <w:rPr>
          <w:sz w:val="22"/>
          <w:szCs w:val="22"/>
        </w:rPr>
        <w:t>PennyMac</w:t>
      </w:r>
      <w:proofErr w:type="spellEnd"/>
      <w:r w:rsidRPr="0076674B">
        <w:rPr>
          <w:sz w:val="22"/>
          <w:szCs w:val="22"/>
        </w:rPr>
        <w:t xml:space="preserve"> and PMAC Holdings is not less than $25,000,000; and (C) </w:t>
      </w:r>
      <w:proofErr w:type="spellStart"/>
      <w:r w:rsidRPr="0076674B">
        <w:rPr>
          <w:sz w:val="22"/>
          <w:szCs w:val="22"/>
        </w:rPr>
        <w:t>PennyMac’s</w:t>
      </w:r>
      <w:proofErr w:type="spellEnd"/>
      <w:r w:rsidRPr="0076674B">
        <w:rPr>
          <w:sz w:val="22"/>
          <w:szCs w:val="22"/>
        </w:rPr>
        <w:t xml:space="preserve"> Adjusted Tangible Net Worth is greater than or equal to $140,000,000.</w:t>
      </w:r>
    </w:p>
    <w:p w:rsidR="00DF30E3" w:rsidRPr="0076674B" w:rsidRDefault="00ED6DDA">
      <w:pPr>
        <w:pStyle w:val="NormalWeb"/>
        <w:spacing w:before="0" w:beforeAutospacing="0" w:after="0" w:afterAutospacing="0"/>
        <w:ind w:left="2160"/>
        <w:jc w:val="both"/>
        <w:rPr>
          <w:sz w:val="22"/>
          <w:szCs w:val="22"/>
        </w:rPr>
      </w:pPr>
      <w:r w:rsidRPr="0076674B">
        <w:rPr>
          <w:sz w:val="22"/>
          <w:szCs w:val="22"/>
        </w:rPr>
        <w:t> </w:t>
      </w:r>
    </w:p>
    <w:p w:rsidR="00DF30E3" w:rsidRPr="0076674B" w:rsidRDefault="00ED6DDA">
      <w:pPr>
        <w:pStyle w:val="NormalWeb"/>
        <w:spacing w:before="0" w:beforeAutospacing="0" w:after="0" w:afterAutospacing="0"/>
        <w:ind w:left="2160"/>
        <w:jc w:val="both"/>
        <w:rPr>
          <w:sz w:val="22"/>
          <w:szCs w:val="22"/>
        </w:rPr>
      </w:pPr>
      <w:r w:rsidRPr="0076674B">
        <w:rPr>
          <w:sz w:val="22"/>
          <w:szCs w:val="22"/>
        </w:rPr>
        <w:t>(ii) (A) the ratio of PM</w:t>
      </w:r>
      <w:r w:rsidRPr="0076674B">
        <w:rPr>
          <w:sz w:val="22"/>
          <w:szCs w:val="22"/>
        </w:rPr>
        <w:t xml:space="preserve">AC Holdings’ Total Indebtedness to its Adjusted Tangible Net Worth is not greater than 10:1, (B) the combined Liquidity of PMAC Holdings and </w:t>
      </w:r>
      <w:proofErr w:type="spellStart"/>
      <w:r w:rsidRPr="0076674B">
        <w:rPr>
          <w:sz w:val="22"/>
          <w:szCs w:val="22"/>
        </w:rPr>
        <w:t>PennyMac</w:t>
      </w:r>
      <w:proofErr w:type="spellEnd"/>
      <w:r w:rsidRPr="0076674B">
        <w:rPr>
          <w:sz w:val="22"/>
          <w:szCs w:val="22"/>
        </w:rPr>
        <w:t xml:space="preserve"> is not less than $25,000,000, and (C) PMAC Holdings’ Adjusted Tangible Net Worth is greater than or equal </w:t>
      </w:r>
      <w:r w:rsidRPr="0076674B">
        <w:rPr>
          <w:sz w:val="22"/>
          <w:szCs w:val="22"/>
        </w:rPr>
        <w:t>to $220,000,000.</w:t>
      </w:r>
    </w:p>
    <w:p w:rsidR="00DF30E3" w:rsidRPr="0076674B" w:rsidRDefault="00ED6DDA">
      <w:pPr>
        <w:pStyle w:val="NormalWeb"/>
        <w:spacing w:before="0" w:beforeAutospacing="0" w:after="0" w:afterAutospacing="0"/>
        <w:ind w:left="2160"/>
        <w:jc w:val="both"/>
        <w:rPr>
          <w:sz w:val="22"/>
          <w:szCs w:val="22"/>
        </w:rPr>
      </w:pPr>
      <w:r w:rsidRPr="0076674B">
        <w:rPr>
          <w:sz w:val="22"/>
          <w:szCs w:val="22"/>
        </w:rPr>
        <w:t> </w:t>
      </w:r>
    </w:p>
    <w:p w:rsidR="00DF30E3" w:rsidRPr="0076674B" w:rsidRDefault="00ED6DDA">
      <w:pPr>
        <w:pStyle w:val="NormalWeb"/>
        <w:spacing w:before="0" w:beforeAutospacing="0" w:after="0" w:afterAutospacing="0"/>
        <w:ind w:left="2160"/>
        <w:jc w:val="both"/>
        <w:rPr>
          <w:sz w:val="22"/>
          <w:szCs w:val="22"/>
        </w:rPr>
      </w:pPr>
      <w:r w:rsidRPr="0076674B">
        <w:rPr>
          <w:sz w:val="22"/>
          <w:szCs w:val="22"/>
        </w:rPr>
        <w:t xml:space="preserve">(iii) (A) Servicer’s Adjusted Tangible Net Worth is greater than or equal to </w:t>
      </w:r>
      <w:r w:rsidRPr="0076674B">
        <w:rPr>
          <w:b/>
          <w:bCs/>
          <w:sz w:val="22"/>
          <w:szCs w:val="22"/>
        </w:rPr>
        <w:t>$170,000,000;</w:t>
      </w:r>
      <w:r w:rsidRPr="0076674B">
        <w:rPr>
          <w:sz w:val="22"/>
          <w:szCs w:val="22"/>
        </w:rPr>
        <w:t xml:space="preserve"> (B) Servicer’s unrestricted cash and Cash Equivalents are greater than or equal to $20,000,000; (C) [reserved]; (D) the ratio of Servicer’s Total </w:t>
      </w:r>
      <w:r w:rsidRPr="0076674B">
        <w:rPr>
          <w:sz w:val="22"/>
          <w:szCs w:val="22"/>
        </w:rPr>
        <w:t>Indebtedness to Adjusted Tangible Net Worth is less than 10:1; and (E) Servicer’s consolidated Net Income was equal to or greater than $1.00 for the previous calendar quarter.</w:t>
      </w:r>
    </w:p>
    <w:p w:rsidR="00DF30E3" w:rsidRPr="0076674B" w:rsidRDefault="00ED6DDA">
      <w:pPr>
        <w:pStyle w:val="NormalWeb"/>
        <w:spacing w:before="0" w:beforeAutospacing="0" w:after="0" w:afterAutospacing="0"/>
        <w:ind w:left="2160"/>
        <w:jc w:val="both"/>
        <w:rPr>
          <w:sz w:val="22"/>
          <w:szCs w:val="22"/>
        </w:rPr>
      </w:pPr>
      <w:r w:rsidRPr="0076674B">
        <w:rPr>
          <w:sz w:val="22"/>
          <w:szCs w:val="22"/>
        </w:rPr>
        <w:t> </w:t>
      </w:r>
    </w:p>
    <w:p w:rsidR="00DF30E3" w:rsidRPr="0076674B" w:rsidRDefault="00ED6DDA">
      <w:pPr>
        <w:pStyle w:val="NormalWeb"/>
        <w:spacing w:before="0" w:beforeAutospacing="0" w:after="0" w:afterAutospacing="0"/>
        <w:ind w:left="2160"/>
        <w:jc w:val="both"/>
        <w:rPr>
          <w:sz w:val="22"/>
          <w:szCs w:val="22"/>
        </w:rPr>
      </w:pPr>
      <w:r w:rsidRPr="0076674B">
        <w:rPr>
          <w:sz w:val="22"/>
          <w:szCs w:val="22"/>
        </w:rPr>
        <w:t xml:space="preserve">(iv) (A) Guarantor’s Adjusted Tangible Net Worth is greater than or equal to </w:t>
      </w:r>
      <w:r w:rsidRPr="0076674B">
        <w:rPr>
          <w:b/>
          <w:bCs/>
          <w:sz w:val="22"/>
          <w:szCs w:val="22"/>
        </w:rPr>
        <w:t>$</w:t>
      </w:r>
      <w:r w:rsidRPr="0076674B">
        <w:rPr>
          <w:b/>
          <w:bCs/>
          <w:sz w:val="22"/>
          <w:szCs w:val="22"/>
        </w:rPr>
        <w:t>830,000,000</w:t>
      </w:r>
      <w:r w:rsidRPr="0076674B">
        <w:rPr>
          <w:sz w:val="22"/>
          <w:szCs w:val="22"/>
        </w:rPr>
        <w:t>; (B) the combined amount of unrestricted cash of Guarantor and its Subsidiaries is greater than or equal to $40,000,000; (C) the ratio of Guarantor’s total Indebtedness to Adjusted Tangible Net Worth is less than 5:1; and (D) Guarantor’s consol</w:t>
      </w:r>
      <w:r w:rsidRPr="0076674B">
        <w:rPr>
          <w:sz w:val="22"/>
          <w:szCs w:val="22"/>
        </w:rPr>
        <w:t>idated net income has been equal to or greater than $1.00 for at least one (1) of the previous two (2) consecutive fiscal quarters, as of the end of the last fiscal quarter. "</w:t>
      </w:r>
    </w:p>
    <w:p w:rsidR="00DF30E3" w:rsidRPr="0076674B" w:rsidRDefault="00ED6DDA">
      <w:pPr>
        <w:pStyle w:val="NormalWeb"/>
        <w:spacing w:before="0" w:beforeAutospacing="0" w:after="0" w:afterAutospacing="0"/>
        <w:ind w:left="2160"/>
        <w:jc w:val="both"/>
        <w:rPr>
          <w:sz w:val="22"/>
          <w:szCs w:val="22"/>
        </w:rPr>
      </w:pPr>
      <w:r w:rsidRPr="0076674B">
        <w:rPr>
          <w:sz w:val="22"/>
          <w:szCs w:val="22"/>
        </w:rPr>
        <w:lastRenderedPageBreak/>
        <w:t> </w:t>
      </w:r>
    </w:p>
    <w:p w:rsidR="00DF30E3" w:rsidRPr="0076674B" w:rsidRDefault="00ED6DDA" w:rsidP="00B54182">
      <w:pPr>
        <w:pStyle w:val="NormalWeb"/>
        <w:spacing w:before="0" w:beforeAutospacing="0" w:after="0" w:afterAutospacing="0"/>
        <w:ind w:firstLine="1320"/>
        <w:rPr>
          <w:sz w:val="22"/>
          <w:szCs w:val="22"/>
        </w:rPr>
      </w:pPr>
      <w:r w:rsidRPr="0076674B">
        <w:rPr>
          <w:sz w:val="22"/>
          <w:szCs w:val="22"/>
        </w:rPr>
        <w:t>(g)     Section 12 of the Agreement is hereby amended by adding Section 12(</w:t>
      </w:r>
      <w:proofErr w:type="spellStart"/>
      <w:proofErr w:type="gramStart"/>
      <w:r w:rsidRPr="0076674B">
        <w:rPr>
          <w:sz w:val="22"/>
          <w:szCs w:val="22"/>
        </w:rPr>
        <w:t>jj</w:t>
      </w:r>
      <w:proofErr w:type="spellEnd"/>
      <w:proofErr w:type="gramEnd"/>
      <w:r w:rsidRPr="0076674B">
        <w:rPr>
          <w:sz w:val="22"/>
          <w:szCs w:val="22"/>
        </w:rPr>
        <w:t>)</w:t>
      </w:r>
      <w:r w:rsidRPr="0076674B">
        <w:rPr>
          <w:sz w:val="22"/>
          <w:szCs w:val="22"/>
        </w:rPr>
        <w:t xml:space="preserve"> as follows:</w:t>
      </w:r>
      <w:r w:rsidRPr="0076674B">
        <w:rPr>
          <w:sz w:val="22"/>
          <w:szCs w:val="22"/>
        </w:rPr>
        <w:t> </w:t>
      </w:r>
    </w:p>
    <w:p w:rsidR="00DF30E3" w:rsidRPr="0076674B" w:rsidRDefault="00ED6DDA">
      <w:pPr>
        <w:pStyle w:val="NormalWeb"/>
        <w:spacing w:before="0" w:beforeAutospacing="0" w:after="0" w:afterAutospacing="0"/>
        <w:ind w:left="880" w:firstLine="880"/>
        <w:jc w:val="both"/>
        <w:rPr>
          <w:sz w:val="22"/>
          <w:szCs w:val="22"/>
        </w:rPr>
      </w:pPr>
      <w:r w:rsidRPr="0076674B">
        <w:rPr>
          <w:sz w:val="22"/>
          <w:szCs w:val="22"/>
        </w:rPr>
        <w:t> </w:t>
      </w:r>
    </w:p>
    <w:p w:rsidR="00DF30E3" w:rsidRPr="0076674B" w:rsidRDefault="00ED6DDA">
      <w:pPr>
        <w:pStyle w:val="NormalWeb"/>
        <w:spacing w:before="0" w:beforeAutospacing="0" w:after="0" w:afterAutospacing="0"/>
        <w:ind w:left="880" w:firstLine="880"/>
        <w:jc w:val="both"/>
        <w:rPr>
          <w:sz w:val="22"/>
          <w:szCs w:val="22"/>
        </w:rPr>
      </w:pPr>
      <w:r w:rsidRPr="0076674B">
        <w:rPr>
          <w:sz w:val="22"/>
          <w:szCs w:val="22"/>
        </w:rPr>
        <w:t> "(</w:t>
      </w:r>
      <w:proofErr w:type="spellStart"/>
      <w:proofErr w:type="gramStart"/>
      <w:r w:rsidRPr="0076674B">
        <w:rPr>
          <w:sz w:val="22"/>
          <w:szCs w:val="22"/>
        </w:rPr>
        <w:t>jj</w:t>
      </w:r>
      <w:proofErr w:type="spellEnd"/>
      <w:proofErr w:type="gramEnd"/>
      <w:r w:rsidRPr="0076674B">
        <w:rPr>
          <w:sz w:val="22"/>
          <w:szCs w:val="22"/>
        </w:rPr>
        <w:t xml:space="preserve">) No Seller has failed to enforce its rights under any Servicing Agreement, including without limitation, a Seller's right to terminate and replace Servicer or </w:t>
      </w:r>
      <w:proofErr w:type="spellStart"/>
      <w:r w:rsidRPr="0076674B">
        <w:rPr>
          <w:sz w:val="22"/>
          <w:szCs w:val="22"/>
        </w:rPr>
        <w:t>Subservicer</w:t>
      </w:r>
      <w:proofErr w:type="spellEnd"/>
      <w:r w:rsidRPr="0076674B">
        <w:rPr>
          <w:sz w:val="22"/>
          <w:szCs w:val="22"/>
        </w:rPr>
        <w:t xml:space="preserve"> upon the occurrence of a Servicer Termination Event. </w:t>
      </w:r>
      <w:r w:rsidRPr="0076674B">
        <w:rPr>
          <w:sz w:val="22"/>
          <w:szCs w:val="22"/>
        </w:rPr>
        <w:t>No Seller has waived any material default or other material failure to perform under or breach of the Servicing Agreements or any Servicer Termination Event without Buyer's prior written consent."</w:t>
      </w:r>
    </w:p>
    <w:p w:rsidR="00DF30E3" w:rsidRPr="0076674B" w:rsidRDefault="00ED6DDA">
      <w:pPr>
        <w:pStyle w:val="NormalWeb"/>
        <w:spacing w:before="0" w:beforeAutospacing="0" w:after="0" w:afterAutospacing="0"/>
        <w:ind w:left="880" w:firstLine="880"/>
        <w:rPr>
          <w:sz w:val="22"/>
          <w:szCs w:val="22"/>
        </w:rPr>
      </w:pPr>
      <w:r w:rsidRPr="0076674B">
        <w:rPr>
          <w:sz w:val="22"/>
          <w:szCs w:val="22"/>
        </w:rPr>
        <w:t> </w:t>
      </w:r>
    </w:p>
    <w:p w:rsidR="00DF30E3" w:rsidRPr="0076674B" w:rsidRDefault="00ED6DDA">
      <w:pPr>
        <w:pStyle w:val="NormalWeb"/>
        <w:spacing w:before="0" w:beforeAutospacing="0" w:after="0" w:afterAutospacing="0"/>
        <w:ind w:firstLine="1320"/>
        <w:rPr>
          <w:sz w:val="22"/>
          <w:szCs w:val="22"/>
        </w:rPr>
      </w:pPr>
      <w:r w:rsidRPr="0076674B">
        <w:rPr>
          <w:sz w:val="22"/>
          <w:szCs w:val="22"/>
        </w:rPr>
        <w:t>(</w:t>
      </w:r>
      <w:proofErr w:type="gramStart"/>
      <w:r w:rsidRPr="0076674B">
        <w:rPr>
          <w:sz w:val="22"/>
          <w:szCs w:val="22"/>
        </w:rPr>
        <w:t>h</w:t>
      </w:r>
      <w:proofErr w:type="gramEnd"/>
      <w:r w:rsidRPr="0076674B">
        <w:rPr>
          <w:sz w:val="22"/>
          <w:szCs w:val="22"/>
        </w:rPr>
        <w:t>) Section 13(f) of the Agreement is hereby amended by a</w:t>
      </w:r>
      <w:r w:rsidRPr="0076674B">
        <w:rPr>
          <w:sz w:val="22"/>
          <w:szCs w:val="22"/>
        </w:rPr>
        <w:t>dding Section 13(f)(xiii) as follows:</w:t>
      </w:r>
    </w:p>
    <w:p w:rsidR="00DF30E3" w:rsidRPr="0076674B" w:rsidRDefault="00ED6DDA">
      <w:pPr>
        <w:pStyle w:val="NormalWeb"/>
        <w:spacing w:before="0" w:beforeAutospacing="0" w:after="0" w:afterAutospacing="0"/>
        <w:ind w:firstLine="1320"/>
        <w:rPr>
          <w:sz w:val="22"/>
          <w:szCs w:val="22"/>
        </w:rPr>
      </w:pPr>
      <w:r w:rsidRPr="0076674B">
        <w:rPr>
          <w:sz w:val="22"/>
          <w:szCs w:val="22"/>
        </w:rPr>
        <w:t> </w:t>
      </w:r>
    </w:p>
    <w:p w:rsidR="00DF30E3" w:rsidRPr="0076674B" w:rsidRDefault="00ED6DDA">
      <w:pPr>
        <w:pStyle w:val="NormalWeb"/>
        <w:spacing w:before="0" w:beforeAutospacing="0" w:after="0" w:afterAutospacing="0"/>
        <w:ind w:left="720" w:firstLine="880"/>
        <w:jc w:val="both"/>
        <w:rPr>
          <w:sz w:val="22"/>
          <w:szCs w:val="22"/>
        </w:rPr>
      </w:pPr>
      <w:r w:rsidRPr="0076674B">
        <w:rPr>
          <w:sz w:val="22"/>
          <w:szCs w:val="22"/>
        </w:rPr>
        <w:t>(</w:t>
      </w:r>
      <w:proofErr w:type="gramStart"/>
      <w:r w:rsidRPr="0076674B">
        <w:rPr>
          <w:sz w:val="22"/>
          <w:szCs w:val="22"/>
        </w:rPr>
        <w:t>xiii</w:t>
      </w:r>
      <w:proofErr w:type="gramEnd"/>
      <w:r w:rsidRPr="0076674B">
        <w:rPr>
          <w:sz w:val="22"/>
          <w:szCs w:val="22"/>
        </w:rPr>
        <w:t>) One (1) Business Day following the occurrence of any Servicer Credit Event or Servicer Termination Event.</w:t>
      </w:r>
    </w:p>
    <w:p w:rsidR="00DF30E3" w:rsidRPr="0076674B" w:rsidRDefault="00ED6DDA">
      <w:pPr>
        <w:pStyle w:val="NormalWeb"/>
        <w:spacing w:before="0" w:beforeAutospacing="0" w:after="0" w:afterAutospacing="0"/>
        <w:ind w:left="720" w:firstLine="440"/>
        <w:jc w:val="both"/>
        <w:rPr>
          <w:sz w:val="22"/>
          <w:szCs w:val="22"/>
        </w:rPr>
      </w:pPr>
      <w:r w:rsidRPr="0076674B">
        <w:rPr>
          <w:sz w:val="22"/>
          <w:szCs w:val="22"/>
        </w:rPr>
        <w:t> </w:t>
      </w:r>
    </w:p>
    <w:p w:rsidR="00DF30E3" w:rsidRPr="0076674B" w:rsidRDefault="00ED6DDA">
      <w:pPr>
        <w:pStyle w:val="NormalWeb"/>
        <w:spacing w:before="0" w:beforeAutospacing="0" w:after="0" w:afterAutospacing="0"/>
        <w:ind w:left="440" w:firstLine="440"/>
        <w:jc w:val="both"/>
        <w:rPr>
          <w:sz w:val="22"/>
          <w:szCs w:val="22"/>
        </w:rPr>
      </w:pPr>
      <w:r w:rsidRPr="0076674B">
        <w:rPr>
          <w:sz w:val="22"/>
          <w:szCs w:val="22"/>
        </w:rPr>
        <w:t>(</w:t>
      </w:r>
      <w:proofErr w:type="spellStart"/>
      <w:proofErr w:type="gramStart"/>
      <w:r w:rsidRPr="0076674B">
        <w:rPr>
          <w:sz w:val="22"/>
          <w:szCs w:val="22"/>
        </w:rPr>
        <w:t>i</w:t>
      </w:r>
      <w:proofErr w:type="spellEnd"/>
      <w:proofErr w:type="gramEnd"/>
      <w:r w:rsidRPr="0076674B">
        <w:rPr>
          <w:sz w:val="22"/>
          <w:szCs w:val="22"/>
        </w:rPr>
        <w:t>) Section 13(p) of the Agreement is hereby amended by deleting the section in its entirety and repl</w:t>
      </w:r>
      <w:r w:rsidRPr="0076674B">
        <w:rPr>
          <w:sz w:val="22"/>
          <w:szCs w:val="22"/>
        </w:rPr>
        <w:t>acing it with the following (bold language added for emphasis):</w:t>
      </w:r>
    </w:p>
    <w:p w:rsidR="00DF30E3" w:rsidRPr="0076674B" w:rsidRDefault="00ED6DDA">
      <w:pPr>
        <w:pStyle w:val="NormalWeb"/>
        <w:spacing w:before="0" w:beforeAutospacing="0" w:after="0" w:afterAutospacing="0"/>
        <w:ind w:firstLine="1320"/>
        <w:jc w:val="both"/>
        <w:rPr>
          <w:sz w:val="22"/>
          <w:szCs w:val="22"/>
        </w:rPr>
      </w:pPr>
      <w:r w:rsidRPr="0076674B">
        <w:rPr>
          <w:sz w:val="22"/>
          <w:szCs w:val="22"/>
        </w:rPr>
        <w:t> </w:t>
      </w:r>
    </w:p>
    <w:p w:rsidR="00DF30E3" w:rsidRPr="0076674B" w:rsidRDefault="00ED6DDA">
      <w:pPr>
        <w:pStyle w:val="NormalWeb"/>
        <w:spacing w:before="0" w:beforeAutospacing="0" w:after="0" w:afterAutospacing="0"/>
        <w:ind w:firstLine="1760"/>
        <w:rPr>
          <w:sz w:val="22"/>
          <w:szCs w:val="22"/>
        </w:rPr>
      </w:pPr>
      <w:r w:rsidRPr="0076674B">
        <w:rPr>
          <w:sz w:val="22"/>
          <w:szCs w:val="22"/>
        </w:rPr>
        <w:t>"(p</w:t>
      </w:r>
      <w:proofErr w:type="gramStart"/>
      <w:r w:rsidRPr="0076674B">
        <w:rPr>
          <w:sz w:val="22"/>
          <w:szCs w:val="22"/>
        </w:rPr>
        <w:t>)</w:t>
      </w:r>
      <w:r w:rsidRPr="0076674B">
        <w:rPr>
          <w:sz w:val="22"/>
          <w:szCs w:val="22"/>
          <w:u w:val="single"/>
        </w:rPr>
        <w:t>Financial</w:t>
      </w:r>
      <w:proofErr w:type="gramEnd"/>
      <w:r w:rsidRPr="0076674B">
        <w:rPr>
          <w:sz w:val="22"/>
          <w:szCs w:val="22"/>
          <w:u w:val="single"/>
        </w:rPr>
        <w:t xml:space="preserve"> Covenants</w:t>
      </w:r>
      <w:r w:rsidRPr="0076674B">
        <w:rPr>
          <w:sz w:val="22"/>
          <w:szCs w:val="22"/>
        </w:rPr>
        <w:t>.</w:t>
      </w:r>
    </w:p>
    <w:p w:rsidR="00DF30E3" w:rsidRPr="0076674B" w:rsidRDefault="00ED6DDA">
      <w:pPr>
        <w:pStyle w:val="NormalWeb"/>
        <w:spacing w:before="0" w:beforeAutospacing="0" w:after="0" w:afterAutospacing="0"/>
        <w:ind w:firstLine="1760"/>
        <w:rPr>
          <w:sz w:val="22"/>
          <w:szCs w:val="22"/>
        </w:rPr>
      </w:pPr>
      <w:r w:rsidRPr="0076674B">
        <w:rPr>
          <w:sz w:val="22"/>
          <w:szCs w:val="22"/>
        </w:rPr>
        <w:t> </w:t>
      </w:r>
    </w:p>
    <w:p w:rsidR="00DF30E3" w:rsidRPr="0076674B" w:rsidRDefault="00ED6DDA">
      <w:pPr>
        <w:pStyle w:val="NormalWeb"/>
        <w:spacing w:before="0" w:beforeAutospacing="0" w:after="0" w:afterAutospacing="0"/>
        <w:ind w:left="2200" w:firstLine="880"/>
        <w:jc w:val="both"/>
        <w:rPr>
          <w:sz w:val="22"/>
          <w:szCs w:val="22"/>
        </w:rPr>
      </w:pPr>
      <w:r w:rsidRPr="0076674B">
        <w:rPr>
          <w:sz w:val="22"/>
          <w:szCs w:val="22"/>
        </w:rPr>
        <w:t>(</w:t>
      </w:r>
      <w:proofErr w:type="spellStart"/>
      <w:r w:rsidRPr="0076674B">
        <w:rPr>
          <w:sz w:val="22"/>
          <w:szCs w:val="22"/>
        </w:rPr>
        <w:t>i</w:t>
      </w:r>
      <w:proofErr w:type="spellEnd"/>
      <w:r w:rsidRPr="0076674B">
        <w:rPr>
          <w:sz w:val="22"/>
          <w:szCs w:val="22"/>
        </w:rPr>
        <w:t xml:space="preserve">) </w:t>
      </w:r>
      <w:r w:rsidRPr="0076674B">
        <w:rPr>
          <w:sz w:val="22"/>
          <w:szCs w:val="22"/>
          <w:u w:val="single"/>
        </w:rPr>
        <w:t xml:space="preserve">Financial Covenants of </w:t>
      </w:r>
      <w:proofErr w:type="spellStart"/>
      <w:r w:rsidRPr="0076674B">
        <w:rPr>
          <w:sz w:val="22"/>
          <w:szCs w:val="22"/>
          <w:u w:val="single"/>
        </w:rPr>
        <w:t>PennyMac</w:t>
      </w:r>
      <w:proofErr w:type="spellEnd"/>
      <w:r w:rsidRPr="0076674B">
        <w:rPr>
          <w:sz w:val="22"/>
          <w:szCs w:val="22"/>
        </w:rPr>
        <w:t xml:space="preserve">. </w:t>
      </w:r>
      <w:proofErr w:type="spellStart"/>
      <w:r w:rsidRPr="0076674B">
        <w:rPr>
          <w:sz w:val="22"/>
          <w:szCs w:val="22"/>
        </w:rPr>
        <w:t>PennyMac</w:t>
      </w:r>
      <w:proofErr w:type="spellEnd"/>
      <w:r w:rsidRPr="0076674B">
        <w:rPr>
          <w:sz w:val="22"/>
          <w:szCs w:val="22"/>
        </w:rPr>
        <w:t xml:space="preserve"> shall comply with the following financial covenants: (A) the ratio of </w:t>
      </w:r>
      <w:proofErr w:type="spellStart"/>
      <w:r w:rsidRPr="0076674B">
        <w:rPr>
          <w:sz w:val="22"/>
          <w:szCs w:val="22"/>
        </w:rPr>
        <w:t>PennyMac’s</w:t>
      </w:r>
      <w:proofErr w:type="spellEnd"/>
      <w:r w:rsidRPr="0076674B">
        <w:rPr>
          <w:sz w:val="22"/>
          <w:szCs w:val="22"/>
        </w:rPr>
        <w:t xml:space="preserve"> Total Indebtedness to its Adjusted </w:t>
      </w:r>
      <w:r w:rsidRPr="0076674B">
        <w:rPr>
          <w:sz w:val="22"/>
          <w:szCs w:val="22"/>
        </w:rPr>
        <w:t xml:space="preserve">Tangible Net Worth shall not at any time be greater than 10:1; (B) </w:t>
      </w:r>
      <w:proofErr w:type="spellStart"/>
      <w:r w:rsidRPr="0076674B">
        <w:rPr>
          <w:sz w:val="22"/>
          <w:szCs w:val="22"/>
        </w:rPr>
        <w:t>PennyMac</w:t>
      </w:r>
      <w:proofErr w:type="spellEnd"/>
      <w:r w:rsidRPr="0076674B">
        <w:rPr>
          <w:sz w:val="22"/>
          <w:szCs w:val="22"/>
        </w:rPr>
        <w:t xml:space="preserve"> and PMAC Holdings shall maintain combined Liquidity at all times in an amount of not less than $25,000,000; and (C) the Adjusted Tangible Net Worth of </w:t>
      </w:r>
      <w:proofErr w:type="spellStart"/>
      <w:r w:rsidRPr="0076674B">
        <w:rPr>
          <w:sz w:val="22"/>
          <w:szCs w:val="22"/>
        </w:rPr>
        <w:t>PennyMac</w:t>
      </w:r>
      <w:proofErr w:type="spellEnd"/>
      <w:r w:rsidRPr="0076674B">
        <w:rPr>
          <w:sz w:val="22"/>
          <w:szCs w:val="22"/>
        </w:rPr>
        <w:t xml:space="preserve"> shall at all times b</w:t>
      </w:r>
      <w:r w:rsidRPr="0076674B">
        <w:rPr>
          <w:sz w:val="22"/>
          <w:szCs w:val="22"/>
        </w:rPr>
        <w:t>e greater than $140,000,000.</w:t>
      </w:r>
    </w:p>
    <w:p w:rsidR="00DF30E3" w:rsidRPr="0076674B" w:rsidRDefault="00ED6DDA">
      <w:pPr>
        <w:pStyle w:val="NormalWeb"/>
        <w:spacing w:before="0" w:beforeAutospacing="0" w:after="0" w:afterAutospacing="0"/>
        <w:ind w:left="2160" w:firstLine="720"/>
        <w:jc w:val="both"/>
        <w:rPr>
          <w:sz w:val="22"/>
          <w:szCs w:val="22"/>
        </w:rPr>
      </w:pPr>
      <w:r w:rsidRPr="0076674B">
        <w:rPr>
          <w:sz w:val="22"/>
          <w:szCs w:val="22"/>
        </w:rPr>
        <w:t> </w:t>
      </w:r>
    </w:p>
    <w:p w:rsidR="00DF30E3" w:rsidRPr="0076674B" w:rsidRDefault="00ED6DDA">
      <w:pPr>
        <w:pStyle w:val="NormalWeb"/>
        <w:spacing w:before="0" w:beforeAutospacing="0" w:after="0" w:afterAutospacing="0"/>
        <w:ind w:left="2200" w:firstLine="880"/>
        <w:jc w:val="both"/>
        <w:rPr>
          <w:sz w:val="22"/>
          <w:szCs w:val="22"/>
        </w:rPr>
      </w:pPr>
      <w:r w:rsidRPr="0076674B">
        <w:rPr>
          <w:sz w:val="22"/>
          <w:szCs w:val="22"/>
        </w:rPr>
        <w:t>(</w:t>
      </w:r>
      <w:proofErr w:type="gramStart"/>
      <w:r w:rsidRPr="0076674B">
        <w:rPr>
          <w:sz w:val="22"/>
          <w:szCs w:val="22"/>
        </w:rPr>
        <w:t>ii</w:t>
      </w:r>
      <w:proofErr w:type="gramEnd"/>
      <w:r w:rsidRPr="0076674B">
        <w:rPr>
          <w:sz w:val="22"/>
          <w:szCs w:val="22"/>
        </w:rPr>
        <w:t xml:space="preserve">) </w:t>
      </w:r>
      <w:r w:rsidRPr="0076674B">
        <w:rPr>
          <w:sz w:val="22"/>
          <w:szCs w:val="22"/>
          <w:u w:val="single"/>
        </w:rPr>
        <w:t>Financial Covenants of PMAC Holdings</w:t>
      </w:r>
      <w:r w:rsidRPr="0076674B">
        <w:rPr>
          <w:sz w:val="22"/>
          <w:szCs w:val="22"/>
        </w:rPr>
        <w:t>. PMAC Holdings shall comply with the following financial covenants: (A) the ratio of PMAC Holdings’ Total Indebtedness to its Adjusted Tangible Net Worth shall not at any time be grea</w:t>
      </w:r>
      <w:r w:rsidRPr="0076674B">
        <w:rPr>
          <w:sz w:val="22"/>
          <w:szCs w:val="22"/>
        </w:rPr>
        <w:t xml:space="preserve">ter than 10:1, (B) PMAC Holdings and </w:t>
      </w:r>
      <w:proofErr w:type="spellStart"/>
      <w:r w:rsidRPr="0076674B">
        <w:rPr>
          <w:sz w:val="22"/>
          <w:szCs w:val="22"/>
        </w:rPr>
        <w:t>PennyMac</w:t>
      </w:r>
      <w:proofErr w:type="spellEnd"/>
      <w:r w:rsidRPr="0076674B">
        <w:rPr>
          <w:sz w:val="22"/>
          <w:szCs w:val="22"/>
        </w:rPr>
        <w:t xml:space="preserve"> Corp. shall maintain combined Liquidity at all times in an amount of not less than $25,000,000, and (C) the Adjusted Tangible Net Worth of PMAC Holdings shall at all times be equal to or greater than $220,000,0</w:t>
      </w:r>
      <w:r w:rsidRPr="0076674B">
        <w:rPr>
          <w:sz w:val="22"/>
          <w:szCs w:val="22"/>
        </w:rPr>
        <w:t>00.</w:t>
      </w:r>
    </w:p>
    <w:p w:rsidR="00DF30E3" w:rsidRPr="0076674B" w:rsidRDefault="00ED6DDA">
      <w:pPr>
        <w:pStyle w:val="NormalWeb"/>
        <w:spacing w:before="0" w:beforeAutospacing="0" w:after="0" w:afterAutospacing="0"/>
        <w:ind w:left="2160" w:firstLine="720"/>
        <w:jc w:val="both"/>
        <w:rPr>
          <w:sz w:val="22"/>
          <w:szCs w:val="22"/>
        </w:rPr>
      </w:pPr>
      <w:r w:rsidRPr="0076674B">
        <w:rPr>
          <w:sz w:val="22"/>
          <w:szCs w:val="22"/>
        </w:rPr>
        <w:t> </w:t>
      </w:r>
    </w:p>
    <w:p w:rsidR="00DF30E3" w:rsidRPr="0076674B" w:rsidRDefault="00ED6DDA">
      <w:pPr>
        <w:pStyle w:val="NormalWeb"/>
        <w:spacing w:before="0" w:beforeAutospacing="0" w:after="0" w:afterAutospacing="0"/>
        <w:ind w:left="2200" w:firstLine="880"/>
        <w:jc w:val="both"/>
        <w:rPr>
          <w:sz w:val="22"/>
          <w:szCs w:val="22"/>
        </w:rPr>
      </w:pPr>
      <w:r w:rsidRPr="0076674B">
        <w:rPr>
          <w:sz w:val="22"/>
          <w:szCs w:val="22"/>
        </w:rPr>
        <w:t>(</w:t>
      </w:r>
      <w:proofErr w:type="gramStart"/>
      <w:r w:rsidRPr="0076674B">
        <w:rPr>
          <w:sz w:val="22"/>
          <w:szCs w:val="22"/>
        </w:rPr>
        <w:t>iii</w:t>
      </w:r>
      <w:proofErr w:type="gramEnd"/>
      <w:r w:rsidRPr="0076674B">
        <w:rPr>
          <w:sz w:val="22"/>
          <w:szCs w:val="22"/>
        </w:rPr>
        <w:t xml:space="preserve">) </w:t>
      </w:r>
      <w:r w:rsidRPr="0076674B">
        <w:rPr>
          <w:sz w:val="22"/>
          <w:szCs w:val="22"/>
          <w:u w:val="single"/>
        </w:rPr>
        <w:t>Financial Covenants of Servicer</w:t>
      </w:r>
      <w:r w:rsidRPr="0076674B">
        <w:rPr>
          <w:sz w:val="22"/>
          <w:szCs w:val="22"/>
        </w:rPr>
        <w:t>. (A) Servicer’s Adjusted Tangible Net Worth shall at all times be greater than or equal to $</w:t>
      </w:r>
      <w:r w:rsidRPr="0076674B">
        <w:rPr>
          <w:b/>
          <w:bCs/>
          <w:sz w:val="22"/>
          <w:szCs w:val="22"/>
        </w:rPr>
        <w:t>170,000,000</w:t>
      </w:r>
      <w:r w:rsidRPr="0076674B">
        <w:rPr>
          <w:sz w:val="22"/>
          <w:szCs w:val="22"/>
        </w:rPr>
        <w:t xml:space="preserve">; (B) Servicer’s unrestricted cash and Cash Equivalents shall at all times be greater than or equal to </w:t>
      </w:r>
      <w:r w:rsidRPr="0076674B">
        <w:rPr>
          <w:sz w:val="22"/>
          <w:szCs w:val="22"/>
        </w:rPr>
        <w:t>$20,000,000; (C) [reserved]; (D) the ratio of Servicer’s Total Indebtedness to Adjusted Tangible Net Worth shall at all times be less than 10:1; and (E) Servicer’s consolidated Net Income shall be equal to or greater than $1.00 for the previous calendar qu</w:t>
      </w:r>
      <w:r w:rsidRPr="0076674B">
        <w:rPr>
          <w:sz w:val="22"/>
          <w:szCs w:val="22"/>
        </w:rPr>
        <w:t>arter.</w:t>
      </w:r>
    </w:p>
    <w:p w:rsidR="00DF30E3" w:rsidRPr="0076674B" w:rsidRDefault="00ED6DDA">
      <w:pPr>
        <w:pStyle w:val="NormalWeb"/>
        <w:spacing w:before="0" w:beforeAutospacing="0" w:after="0" w:afterAutospacing="0"/>
        <w:ind w:left="2160" w:firstLine="720"/>
        <w:jc w:val="both"/>
        <w:rPr>
          <w:sz w:val="22"/>
          <w:szCs w:val="22"/>
        </w:rPr>
      </w:pPr>
      <w:r w:rsidRPr="0076674B">
        <w:rPr>
          <w:sz w:val="22"/>
          <w:szCs w:val="22"/>
        </w:rPr>
        <w:t> </w:t>
      </w:r>
    </w:p>
    <w:p w:rsidR="00B54182" w:rsidRDefault="00ED6DDA" w:rsidP="00B54182">
      <w:pPr>
        <w:pStyle w:val="NormalWeb"/>
        <w:spacing w:before="0" w:beforeAutospacing="0" w:after="0" w:afterAutospacing="0"/>
        <w:ind w:left="2200" w:firstLine="880"/>
        <w:jc w:val="both"/>
        <w:rPr>
          <w:sz w:val="22"/>
          <w:szCs w:val="22"/>
        </w:rPr>
      </w:pPr>
      <w:proofErr w:type="gramStart"/>
      <w:r w:rsidRPr="0076674B">
        <w:rPr>
          <w:sz w:val="22"/>
          <w:szCs w:val="22"/>
        </w:rPr>
        <w:t xml:space="preserve">(iv) </w:t>
      </w:r>
      <w:r w:rsidRPr="0076674B">
        <w:rPr>
          <w:sz w:val="22"/>
          <w:szCs w:val="22"/>
          <w:u w:val="single"/>
        </w:rPr>
        <w:t>Financial</w:t>
      </w:r>
      <w:proofErr w:type="gramEnd"/>
      <w:r w:rsidRPr="0076674B">
        <w:rPr>
          <w:sz w:val="22"/>
          <w:szCs w:val="22"/>
          <w:u w:val="single"/>
        </w:rPr>
        <w:t xml:space="preserve"> Covenants of Guarantor</w:t>
      </w:r>
      <w:r w:rsidRPr="0076674B">
        <w:rPr>
          <w:sz w:val="22"/>
          <w:szCs w:val="22"/>
        </w:rPr>
        <w:t>. (A) Guarantor’s Adjusted Tangible Net Worth shall at all times be greater than $</w:t>
      </w:r>
      <w:r w:rsidRPr="0076674B">
        <w:rPr>
          <w:b/>
          <w:bCs/>
          <w:sz w:val="22"/>
          <w:szCs w:val="22"/>
        </w:rPr>
        <w:t>830,000,000</w:t>
      </w:r>
      <w:r w:rsidRPr="0076674B">
        <w:rPr>
          <w:sz w:val="22"/>
          <w:szCs w:val="22"/>
        </w:rPr>
        <w:t xml:space="preserve">; (B) the amount of combined unrestricted cash of </w:t>
      </w:r>
      <w:r w:rsidRPr="0076674B">
        <w:rPr>
          <w:sz w:val="22"/>
          <w:szCs w:val="22"/>
        </w:rPr>
        <w:lastRenderedPageBreak/>
        <w:t>Guarantor and its Subsidiaries shall at all times be greater than o</w:t>
      </w:r>
      <w:r w:rsidRPr="0076674B">
        <w:rPr>
          <w:sz w:val="22"/>
          <w:szCs w:val="22"/>
        </w:rPr>
        <w:t xml:space="preserve">r equal to $40,000,000; and (C) the ratio of Guarantor’s total Indebtedness to Tangible Net Worth shall at all times be less than 5:1, and (D) Guarantor’s consolidated net income shall be equal to or greater than $1.00 for at least one (1) of the previous </w:t>
      </w:r>
      <w:r w:rsidRPr="0076674B">
        <w:rPr>
          <w:sz w:val="22"/>
          <w:szCs w:val="22"/>
        </w:rPr>
        <w:t>two (2) consecutive fiscal quarters, as of the end of each fiscal quarter.”</w:t>
      </w:r>
    </w:p>
    <w:p w:rsidR="00DF30E3" w:rsidRPr="0076674B" w:rsidRDefault="00ED6DDA" w:rsidP="00B54182">
      <w:pPr>
        <w:pStyle w:val="NormalWeb"/>
        <w:spacing w:before="0" w:beforeAutospacing="0" w:after="0" w:afterAutospacing="0"/>
        <w:ind w:left="2200" w:firstLine="880"/>
        <w:jc w:val="both"/>
        <w:rPr>
          <w:sz w:val="22"/>
          <w:szCs w:val="22"/>
        </w:rPr>
      </w:pPr>
      <w:r w:rsidRPr="0076674B">
        <w:rPr>
          <w:sz w:val="22"/>
          <w:szCs w:val="22"/>
        </w:rPr>
        <w:t> </w:t>
      </w:r>
    </w:p>
    <w:p w:rsidR="00DF30E3" w:rsidRPr="0076674B" w:rsidRDefault="00ED6DDA">
      <w:pPr>
        <w:pStyle w:val="NormalWeb"/>
        <w:spacing w:before="0" w:beforeAutospacing="0" w:after="0" w:afterAutospacing="0"/>
        <w:ind w:firstLine="880"/>
        <w:jc w:val="both"/>
        <w:rPr>
          <w:sz w:val="22"/>
          <w:szCs w:val="22"/>
        </w:rPr>
      </w:pPr>
      <w:r w:rsidRPr="0076674B">
        <w:rPr>
          <w:sz w:val="22"/>
          <w:szCs w:val="22"/>
        </w:rPr>
        <w:t>(j)          Section 13(</w:t>
      </w:r>
      <w:proofErr w:type="spellStart"/>
      <w:r w:rsidRPr="0076674B">
        <w:rPr>
          <w:sz w:val="22"/>
          <w:szCs w:val="22"/>
        </w:rPr>
        <w:t>ll</w:t>
      </w:r>
      <w:proofErr w:type="spellEnd"/>
      <w:r w:rsidRPr="0076674B">
        <w:rPr>
          <w:sz w:val="22"/>
          <w:szCs w:val="22"/>
        </w:rPr>
        <w:t>) of the Agreement is hereby amended by deleting the section in its entirety and replacing it with the following:</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t> </w:t>
      </w:r>
    </w:p>
    <w:p w:rsidR="00DF30E3" w:rsidRPr="0076674B" w:rsidRDefault="00ED6DDA">
      <w:pPr>
        <w:pStyle w:val="NormalWeb"/>
        <w:spacing w:before="0" w:beforeAutospacing="0" w:after="0" w:afterAutospacing="0"/>
        <w:ind w:left="720" w:firstLine="440"/>
        <w:jc w:val="both"/>
        <w:rPr>
          <w:sz w:val="22"/>
          <w:szCs w:val="22"/>
        </w:rPr>
      </w:pPr>
      <w:r w:rsidRPr="0076674B">
        <w:rPr>
          <w:sz w:val="22"/>
          <w:szCs w:val="22"/>
        </w:rPr>
        <w:t>"(</w:t>
      </w:r>
      <w:proofErr w:type="spellStart"/>
      <w:r w:rsidRPr="0076674B">
        <w:rPr>
          <w:sz w:val="22"/>
          <w:szCs w:val="22"/>
        </w:rPr>
        <w:t>ll</w:t>
      </w:r>
      <w:proofErr w:type="spellEnd"/>
      <w:r w:rsidRPr="0076674B">
        <w:rPr>
          <w:sz w:val="22"/>
          <w:szCs w:val="22"/>
        </w:rPr>
        <w:t xml:space="preserve">)     Each Seller shall </w:t>
      </w:r>
      <w:r w:rsidRPr="0076674B">
        <w:rPr>
          <w:sz w:val="22"/>
          <w:szCs w:val="22"/>
        </w:rPr>
        <w:t xml:space="preserve">diligently enforce its rights under each Servicing Agreement, including without limitation, Seller's right to terminate and replace Servicer or </w:t>
      </w:r>
      <w:proofErr w:type="spellStart"/>
      <w:r w:rsidRPr="0076674B">
        <w:rPr>
          <w:sz w:val="22"/>
          <w:szCs w:val="22"/>
        </w:rPr>
        <w:t>Subservicer</w:t>
      </w:r>
      <w:proofErr w:type="spellEnd"/>
      <w:r w:rsidRPr="0076674B">
        <w:rPr>
          <w:sz w:val="22"/>
          <w:szCs w:val="22"/>
        </w:rPr>
        <w:t xml:space="preserve"> upon the occurrence of a Servicer Termination Event. No Seller shall waive any material default or o</w:t>
      </w:r>
      <w:r w:rsidRPr="0076674B">
        <w:rPr>
          <w:sz w:val="22"/>
          <w:szCs w:val="22"/>
        </w:rPr>
        <w:t xml:space="preserve">ther material failure to perform under or breach of the Servicing Agreements or any Servicer Termination Event without Buyer's prior written consent. For the avoidance of doubt, any default, failure or breach by the Servicer or any </w:t>
      </w:r>
      <w:proofErr w:type="spellStart"/>
      <w:r w:rsidRPr="0076674B">
        <w:rPr>
          <w:sz w:val="22"/>
          <w:szCs w:val="22"/>
        </w:rPr>
        <w:t>Subservicer</w:t>
      </w:r>
      <w:proofErr w:type="spellEnd"/>
      <w:r w:rsidRPr="0076674B">
        <w:rPr>
          <w:sz w:val="22"/>
          <w:szCs w:val="22"/>
        </w:rPr>
        <w:t xml:space="preserve"> that would p</w:t>
      </w:r>
      <w:r w:rsidRPr="0076674B">
        <w:rPr>
          <w:sz w:val="22"/>
          <w:szCs w:val="22"/>
        </w:rPr>
        <w:t xml:space="preserve">ermit the termination and replacement of the Servicer or </w:t>
      </w:r>
      <w:proofErr w:type="spellStart"/>
      <w:r w:rsidRPr="0076674B">
        <w:rPr>
          <w:sz w:val="22"/>
          <w:szCs w:val="22"/>
        </w:rPr>
        <w:t>Subservicer</w:t>
      </w:r>
      <w:proofErr w:type="spellEnd"/>
      <w:r w:rsidRPr="0076674B">
        <w:rPr>
          <w:sz w:val="22"/>
          <w:szCs w:val="22"/>
        </w:rPr>
        <w:t xml:space="preserve"> under the Servicing Agreements shall be deemed "material" and shall not be waived by Seller or its Affiliates without Buyer's prior written consent."</w:t>
      </w:r>
    </w:p>
    <w:p w:rsidR="00DF30E3" w:rsidRPr="0076674B" w:rsidRDefault="00ED6DDA">
      <w:pPr>
        <w:pStyle w:val="NormalWeb"/>
        <w:spacing w:before="0" w:beforeAutospacing="0" w:after="0" w:afterAutospacing="0"/>
        <w:ind w:left="720" w:firstLine="440"/>
        <w:jc w:val="both"/>
        <w:rPr>
          <w:sz w:val="22"/>
          <w:szCs w:val="22"/>
        </w:rPr>
      </w:pPr>
      <w:r w:rsidRPr="0076674B">
        <w:rPr>
          <w:sz w:val="22"/>
          <w:szCs w:val="22"/>
        </w:rPr>
        <w:t> </w:t>
      </w:r>
    </w:p>
    <w:p w:rsidR="00DF30E3" w:rsidRPr="0076674B" w:rsidRDefault="00ED6DDA">
      <w:pPr>
        <w:pStyle w:val="NormalWeb"/>
        <w:spacing w:before="0" w:beforeAutospacing="0" w:after="0" w:afterAutospacing="0"/>
        <w:ind w:firstLine="880"/>
        <w:jc w:val="both"/>
        <w:rPr>
          <w:sz w:val="22"/>
          <w:szCs w:val="22"/>
        </w:rPr>
      </w:pPr>
      <w:r w:rsidRPr="0076674B">
        <w:rPr>
          <w:sz w:val="22"/>
          <w:szCs w:val="22"/>
        </w:rPr>
        <w:t>(k)           Section 18 of the Agr</w:t>
      </w:r>
      <w:r w:rsidRPr="0076674B">
        <w:rPr>
          <w:sz w:val="22"/>
          <w:szCs w:val="22"/>
        </w:rPr>
        <w:t>eement is hereby amended by deleting Sections 18(r), (t) and (u) in their entirety and replacing them as follows:</w:t>
      </w:r>
    </w:p>
    <w:p w:rsidR="00DF30E3" w:rsidRPr="0076674B" w:rsidRDefault="00ED6DDA">
      <w:pPr>
        <w:pStyle w:val="NormalWeb"/>
        <w:spacing w:before="0" w:beforeAutospacing="0" w:after="0" w:afterAutospacing="0"/>
        <w:ind w:firstLine="880"/>
        <w:rPr>
          <w:sz w:val="22"/>
          <w:szCs w:val="22"/>
        </w:rPr>
      </w:pPr>
      <w:r w:rsidRPr="0076674B">
        <w:rPr>
          <w:sz w:val="22"/>
          <w:szCs w:val="22"/>
        </w:rPr>
        <w:t> </w:t>
      </w:r>
    </w:p>
    <w:p w:rsidR="00DF30E3" w:rsidRPr="0076674B" w:rsidRDefault="00ED6DDA">
      <w:pPr>
        <w:pStyle w:val="NormalWeb"/>
        <w:spacing w:before="0" w:beforeAutospacing="0" w:after="0" w:afterAutospacing="0"/>
        <w:ind w:left="2160"/>
        <w:jc w:val="both"/>
        <w:rPr>
          <w:sz w:val="22"/>
          <w:szCs w:val="22"/>
        </w:rPr>
      </w:pPr>
      <w:r w:rsidRPr="0076674B">
        <w:rPr>
          <w:sz w:val="22"/>
          <w:szCs w:val="22"/>
        </w:rPr>
        <w:t xml:space="preserve">(r) </w:t>
      </w:r>
      <w:r w:rsidRPr="0076674B">
        <w:rPr>
          <w:sz w:val="22"/>
          <w:szCs w:val="22"/>
          <w:u w:val="single"/>
        </w:rPr>
        <w:t>Reserved</w:t>
      </w:r>
      <w:r w:rsidRPr="0076674B">
        <w:rPr>
          <w:sz w:val="22"/>
          <w:szCs w:val="22"/>
        </w:rPr>
        <w:t>.</w:t>
      </w:r>
    </w:p>
    <w:p w:rsidR="00DF30E3" w:rsidRPr="0076674B" w:rsidRDefault="00ED6DDA">
      <w:pPr>
        <w:pStyle w:val="NormalWeb"/>
        <w:spacing w:before="0" w:beforeAutospacing="0" w:after="0" w:afterAutospacing="0"/>
        <w:ind w:left="2160"/>
        <w:jc w:val="both"/>
        <w:rPr>
          <w:sz w:val="22"/>
          <w:szCs w:val="22"/>
        </w:rPr>
      </w:pPr>
      <w:r w:rsidRPr="0076674B">
        <w:rPr>
          <w:sz w:val="22"/>
          <w:szCs w:val="22"/>
        </w:rPr>
        <w:t> </w:t>
      </w:r>
    </w:p>
    <w:p w:rsidR="00DF30E3" w:rsidRPr="0076674B" w:rsidRDefault="00ED6DDA">
      <w:pPr>
        <w:pStyle w:val="NormalWeb"/>
        <w:spacing w:before="0" w:beforeAutospacing="0" w:after="0" w:afterAutospacing="0"/>
        <w:ind w:left="2160"/>
        <w:jc w:val="both"/>
        <w:rPr>
          <w:sz w:val="22"/>
          <w:szCs w:val="22"/>
        </w:rPr>
      </w:pPr>
      <w:r w:rsidRPr="0076674B">
        <w:rPr>
          <w:sz w:val="22"/>
          <w:szCs w:val="22"/>
        </w:rPr>
        <w:t xml:space="preserve">(t) </w:t>
      </w:r>
      <w:r w:rsidRPr="0076674B">
        <w:rPr>
          <w:sz w:val="22"/>
          <w:szCs w:val="22"/>
          <w:u w:val="single"/>
        </w:rPr>
        <w:t>Reserved</w:t>
      </w:r>
      <w:r w:rsidRPr="0076674B">
        <w:rPr>
          <w:sz w:val="22"/>
          <w:szCs w:val="22"/>
        </w:rPr>
        <w:t>.</w:t>
      </w:r>
    </w:p>
    <w:p w:rsidR="00DF30E3" w:rsidRPr="0076674B" w:rsidRDefault="00ED6DDA">
      <w:pPr>
        <w:pStyle w:val="NormalWeb"/>
        <w:spacing w:before="0" w:beforeAutospacing="0" w:after="0" w:afterAutospacing="0"/>
        <w:ind w:left="2160"/>
        <w:jc w:val="both"/>
        <w:rPr>
          <w:sz w:val="22"/>
          <w:szCs w:val="22"/>
        </w:rPr>
      </w:pPr>
      <w:r w:rsidRPr="0076674B">
        <w:rPr>
          <w:sz w:val="22"/>
          <w:szCs w:val="22"/>
        </w:rPr>
        <w:t> </w:t>
      </w:r>
    </w:p>
    <w:p w:rsidR="00DF30E3" w:rsidRPr="0076674B" w:rsidRDefault="00ED6DDA">
      <w:pPr>
        <w:pStyle w:val="NormalWeb"/>
        <w:spacing w:before="0" w:beforeAutospacing="0" w:after="0" w:afterAutospacing="0"/>
        <w:ind w:left="2160"/>
        <w:jc w:val="both"/>
        <w:rPr>
          <w:sz w:val="22"/>
          <w:szCs w:val="22"/>
        </w:rPr>
      </w:pPr>
      <w:r w:rsidRPr="0076674B">
        <w:rPr>
          <w:sz w:val="22"/>
          <w:szCs w:val="22"/>
        </w:rPr>
        <w:t xml:space="preserve">(u) </w:t>
      </w:r>
      <w:r w:rsidRPr="0076674B">
        <w:rPr>
          <w:sz w:val="22"/>
          <w:szCs w:val="22"/>
          <w:u w:val="single"/>
        </w:rPr>
        <w:t>Reserved</w:t>
      </w:r>
      <w:r w:rsidRPr="0076674B">
        <w:rPr>
          <w:sz w:val="22"/>
          <w:szCs w:val="22"/>
        </w:rPr>
        <w:t>.</w:t>
      </w:r>
    </w:p>
    <w:p w:rsidR="00DF30E3" w:rsidRPr="0076674B" w:rsidRDefault="00ED6DDA">
      <w:pPr>
        <w:pStyle w:val="NormalWeb"/>
        <w:spacing w:before="0" w:beforeAutospacing="0" w:after="0" w:afterAutospacing="0"/>
        <w:ind w:left="2160"/>
        <w:jc w:val="both"/>
        <w:rPr>
          <w:sz w:val="22"/>
          <w:szCs w:val="22"/>
        </w:rPr>
      </w:pPr>
      <w:r w:rsidRPr="0076674B">
        <w:rPr>
          <w:sz w:val="22"/>
          <w:szCs w:val="22"/>
        </w:rPr>
        <w:t> </w:t>
      </w:r>
    </w:p>
    <w:p w:rsidR="00DF30E3" w:rsidRPr="0076674B" w:rsidRDefault="00ED6DDA">
      <w:pPr>
        <w:pStyle w:val="NormalWeb"/>
        <w:spacing w:before="0" w:beforeAutospacing="0" w:after="0" w:afterAutospacing="0"/>
        <w:ind w:firstLine="880"/>
        <w:jc w:val="both"/>
        <w:rPr>
          <w:sz w:val="22"/>
          <w:szCs w:val="22"/>
        </w:rPr>
      </w:pPr>
      <w:r w:rsidRPr="0076674B">
        <w:rPr>
          <w:sz w:val="22"/>
          <w:szCs w:val="22"/>
        </w:rPr>
        <w:t xml:space="preserve">(l)           Section 18 (q) of the Agreement is hereby amended by deleting the section in </w:t>
      </w:r>
      <w:r w:rsidRPr="0076674B">
        <w:rPr>
          <w:sz w:val="22"/>
          <w:szCs w:val="22"/>
        </w:rPr>
        <w:t>its entirety and replacing it with the following:</w:t>
      </w:r>
    </w:p>
    <w:p w:rsidR="00DF30E3" w:rsidRPr="0076674B" w:rsidRDefault="00ED6DDA">
      <w:pPr>
        <w:pStyle w:val="NormalWeb"/>
        <w:spacing w:before="0" w:beforeAutospacing="0" w:after="0" w:afterAutospacing="0"/>
        <w:ind w:firstLine="880"/>
        <w:rPr>
          <w:sz w:val="22"/>
          <w:szCs w:val="22"/>
        </w:rPr>
      </w:pPr>
      <w:r w:rsidRPr="0076674B">
        <w:rPr>
          <w:sz w:val="22"/>
          <w:szCs w:val="22"/>
        </w:rPr>
        <w:t> </w:t>
      </w:r>
    </w:p>
    <w:p w:rsidR="00DF30E3" w:rsidRPr="0076674B" w:rsidRDefault="00ED6DDA">
      <w:pPr>
        <w:pStyle w:val="NormalWeb"/>
        <w:spacing w:before="0" w:beforeAutospacing="0" w:after="0" w:afterAutospacing="0"/>
        <w:ind w:left="880" w:firstLine="440"/>
        <w:jc w:val="both"/>
        <w:rPr>
          <w:sz w:val="22"/>
          <w:szCs w:val="22"/>
        </w:rPr>
      </w:pPr>
      <w:r w:rsidRPr="0076674B">
        <w:rPr>
          <w:sz w:val="22"/>
          <w:szCs w:val="22"/>
        </w:rPr>
        <w:t>“(q) Any Seller or Guarantor or any Affiliate of a Seller or Guarantor or any Repurchase Party shall default under, or fail to perform as required under, or shall otherwise breach the terms of any repurch</w:t>
      </w:r>
      <w:r w:rsidRPr="0076674B">
        <w:rPr>
          <w:sz w:val="22"/>
          <w:szCs w:val="22"/>
        </w:rPr>
        <w:t xml:space="preserve">ase agreement (including without limitation any </w:t>
      </w:r>
      <w:proofErr w:type="spellStart"/>
      <w:r w:rsidRPr="0076674B">
        <w:rPr>
          <w:sz w:val="22"/>
          <w:szCs w:val="22"/>
        </w:rPr>
        <w:t>Citi</w:t>
      </w:r>
      <w:proofErr w:type="spellEnd"/>
      <w:r w:rsidRPr="0076674B">
        <w:rPr>
          <w:sz w:val="22"/>
          <w:szCs w:val="22"/>
        </w:rPr>
        <w:t xml:space="preserve"> Repurchase Facility), loan and security agreement, MSFTA/derivatives agreement, or similar credit facility or agreement for borrowed funds between any Seller or Guarantor or such other entity on the one </w:t>
      </w:r>
      <w:r w:rsidRPr="0076674B">
        <w:rPr>
          <w:sz w:val="22"/>
          <w:szCs w:val="22"/>
        </w:rPr>
        <w:t>hand, and Buyer or any of Buyer's Affiliates on the other; or a Seller or Guarantor shall default under, or fail to perform as required under, the terms of any repurchase agreement, loan and security agreement or similar credit facility or agreement for bo</w:t>
      </w:r>
      <w:r w:rsidRPr="0076674B">
        <w:rPr>
          <w:sz w:val="22"/>
          <w:szCs w:val="22"/>
        </w:rPr>
        <w:t xml:space="preserve">rrowed funds with outstanding amount at least $10,000,000 (including without limitation any </w:t>
      </w:r>
      <w:proofErr w:type="spellStart"/>
      <w:r w:rsidRPr="0076674B">
        <w:rPr>
          <w:sz w:val="22"/>
          <w:szCs w:val="22"/>
        </w:rPr>
        <w:t>Citi</w:t>
      </w:r>
      <w:proofErr w:type="spellEnd"/>
      <w:r w:rsidRPr="0076674B">
        <w:rPr>
          <w:sz w:val="22"/>
          <w:szCs w:val="22"/>
        </w:rPr>
        <w:t xml:space="preserve"> Repurchase Facility) entered into by such party, which default or failure entitles any party to cause acceleration or require prepayment of any indebtedness </w:t>
      </w:r>
      <w:proofErr w:type="spellStart"/>
      <w:r w:rsidRPr="0076674B">
        <w:rPr>
          <w:sz w:val="22"/>
          <w:szCs w:val="22"/>
        </w:rPr>
        <w:t>th</w:t>
      </w:r>
      <w:r w:rsidRPr="0076674B">
        <w:rPr>
          <w:sz w:val="22"/>
          <w:szCs w:val="22"/>
        </w:rPr>
        <w:t>ereunder</w:t>
      </w:r>
      <w:proofErr w:type="spellEnd"/>
      <w:r w:rsidRPr="0076674B">
        <w:rPr>
          <w:sz w:val="22"/>
          <w:szCs w:val="22"/>
        </w:rPr>
        <w:t>; or”</w:t>
      </w:r>
    </w:p>
    <w:p w:rsidR="00DF30E3" w:rsidRPr="0076674B" w:rsidRDefault="00ED6DDA">
      <w:pPr>
        <w:pStyle w:val="NormalWeb"/>
        <w:spacing w:before="0" w:beforeAutospacing="0" w:after="0" w:afterAutospacing="0"/>
        <w:ind w:left="720" w:firstLine="440"/>
        <w:jc w:val="both"/>
        <w:rPr>
          <w:sz w:val="22"/>
          <w:szCs w:val="22"/>
        </w:rPr>
      </w:pPr>
      <w:r w:rsidRPr="0076674B">
        <w:rPr>
          <w:sz w:val="22"/>
          <w:szCs w:val="22"/>
        </w:rPr>
        <w:t> </w:t>
      </w:r>
    </w:p>
    <w:p w:rsidR="00DF30E3" w:rsidRPr="0076674B" w:rsidRDefault="00ED6DDA">
      <w:pPr>
        <w:pStyle w:val="NormalWeb"/>
        <w:spacing w:before="0" w:beforeAutospacing="0" w:after="0" w:afterAutospacing="0"/>
        <w:ind w:firstLine="880"/>
        <w:rPr>
          <w:sz w:val="22"/>
          <w:szCs w:val="22"/>
        </w:rPr>
      </w:pPr>
      <w:r w:rsidRPr="0076674B">
        <w:rPr>
          <w:sz w:val="22"/>
          <w:szCs w:val="22"/>
        </w:rPr>
        <w:t>(m) Section 18 of the Agreement is hereby amended by adding Section 18(x) as follows:</w:t>
      </w:r>
    </w:p>
    <w:p w:rsidR="00DF30E3" w:rsidRPr="0076674B" w:rsidRDefault="00ED6DDA">
      <w:pPr>
        <w:pStyle w:val="NormalWeb"/>
        <w:spacing w:before="0" w:beforeAutospacing="0" w:after="0" w:afterAutospacing="0"/>
        <w:ind w:firstLine="880"/>
        <w:rPr>
          <w:sz w:val="22"/>
          <w:szCs w:val="22"/>
        </w:rPr>
      </w:pPr>
      <w:r w:rsidRPr="0076674B">
        <w:rPr>
          <w:sz w:val="22"/>
          <w:szCs w:val="22"/>
        </w:rPr>
        <w:t> </w:t>
      </w:r>
    </w:p>
    <w:p w:rsidR="00DF30E3" w:rsidRPr="0076674B" w:rsidRDefault="00ED6DDA">
      <w:pPr>
        <w:pStyle w:val="NormalWeb"/>
        <w:spacing w:before="0" w:beforeAutospacing="0" w:after="0" w:afterAutospacing="0"/>
        <w:ind w:left="880" w:firstLine="440"/>
        <w:jc w:val="both"/>
        <w:rPr>
          <w:sz w:val="22"/>
          <w:szCs w:val="22"/>
        </w:rPr>
      </w:pPr>
      <w:r w:rsidRPr="0076674B">
        <w:rPr>
          <w:sz w:val="22"/>
          <w:szCs w:val="22"/>
        </w:rPr>
        <w:t>"(x)     A Servicer Credit Event shall have occurred and Seller shall fail to (</w:t>
      </w:r>
      <w:proofErr w:type="spellStart"/>
      <w:r w:rsidRPr="0076674B">
        <w:rPr>
          <w:sz w:val="22"/>
          <w:szCs w:val="22"/>
        </w:rPr>
        <w:t>i</w:t>
      </w:r>
      <w:proofErr w:type="spellEnd"/>
      <w:r w:rsidRPr="0076674B">
        <w:rPr>
          <w:sz w:val="22"/>
          <w:szCs w:val="22"/>
        </w:rPr>
        <w:t xml:space="preserve">) identify a replacement Servicer or </w:t>
      </w:r>
      <w:proofErr w:type="spellStart"/>
      <w:r w:rsidRPr="0076674B">
        <w:rPr>
          <w:sz w:val="22"/>
          <w:szCs w:val="22"/>
        </w:rPr>
        <w:t>Subservicer</w:t>
      </w:r>
      <w:proofErr w:type="spellEnd"/>
      <w:r w:rsidRPr="0076674B">
        <w:rPr>
          <w:sz w:val="22"/>
          <w:szCs w:val="22"/>
        </w:rPr>
        <w:t xml:space="preserve"> to Buyer within thirty </w:t>
      </w:r>
      <w:r w:rsidRPr="0076674B">
        <w:rPr>
          <w:sz w:val="22"/>
          <w:szCs w:val="22"/>
        </w:rPr>
        <w:t xml:space="preserve">(30) days after the </w:t>
      </w:r>
      <w:r w:rsidRPr="0076674B">
        <w:rPr>
          <w:sz w:val="22"/>
          <w:szCs w:val="22"/>
        </w:rPr>
        <w:lastRenderedPageBreak/>
        <w:t xml:space="preserve">occurrence of such Servicer Credit Event; and (ii) terminate and replace the Servicer or </w:t>
      </w:r>
      <w:proofErr w:type="spellStart"/>
      <w:r w:rsidRPr="0076674B">
        <w:rPr>
          <w:sz w:val="22"/>
          <w:szCs w:val="22"/>
        </w:rPr>
        <w:t>Subservicer</w:t>
      </w:r>
      <w:proofErr w:type="spellEnd"/>
      <w:r w:rsidRPr="0076674B">
        <w:rPr>
          <w:sz w:val="22"/>
          <w:szCs w:val="22"/>
        </w:rPr>
        <w:t xml:space="preserve"> within sixty (60) days, after the occurrence of such Servicer Credit Event;</w:t>
      </w:r>
    </w:p>
    <w:p w:rsidR="00DF30E3" w:rsidRPr="0076674B" w:rsidRDefault="00ED6DDA">
      <w:pPr>
        <w:pStyle w:val="NormalWeb"/>
        <w:spacing w:before="0" w:beforeAutospacing="0" w:after="0" w:afterAutospacing="0"/>
        <w:ind w:left="880" w:firstLine="440"/>
        <w:rPr>
          <w:sz w:val="22"/>
          <w:szCs w:val="22"/>
        </w:rPr>
      </w:pPr>
      <w:r w:rsidRPr="0076674B">
        <w:rPr>
          <w:sz w:val="22"/>
          <w:szCs w:val="22"/>
        </w:rPr>
        <w:t> </w:t>
      </w:r>
    </w:p>
    <w:p w:rsidR="00B54182" w:rsidRDefault="00ED6DDA" w:rsidP="00B54182">
      <w:pPr>
        <w:pStyle w:val="NormalWeb"/>
        <w:spacing w:before="0" w:beforeAutospacing="0" w:after="0" w:afterAutospacing="0"/>
        <w:ind w:left="880"/>
        <w:jc w:val="both"/>
        <w:rPr>
          <w:sz w:val="22"/>
          <w:szCs w:val="22"/>
        </w:rPr>
      </w:pPr>
      <w:r w:rsidRPr="0076674B">
        <w:rPr>
          <w:sz w:val="22"/>
          <w:szCs w:val="22"/>
        </w:rPr>
        <w:t>(</w:t>
      </w:r>
      <w:proofErr w:type="gramStart"/>
      <w:r w:rsidRPr="0076674B">
        <w:rPr>
          <w:sz w:val="22"/>
          <w:szCs w:val="22"/>
        </w:rPr>
        <w:t>n</w:t>
      </w:r>
      <w:proofErr w:type="gramEnd"/>
      <w:r w:rsidRPr="0076674B">
        <w:rPr>
          <w:sz w:val="22"/>
          <w:szCs w:val="22"/>
        </w:rPr>
        <w:t>) Section 19(b) of the Agreement is hereby amended by d</w:t>
      </w:r>
      <w:r w:rsidRPr="0076674B">
        <w:rPr>
          <w:sz w:val="22"/>
          <w:szCs w:val="22"/>
        </w:rPr>
        <w:t>eleting the section in its entirety and replacing it with the following:</w:t>
      </w:r>
    </w:p>
    <w:p w:rsidR="00DF30E3" w:rsidRPr="0076674B" w:rsidRDefault="00ED6DDA" w:rsidP="00B54182">
      <w:pPr>
        <w:pStyle w:val="NormalWeb"/>
        <w:spacing w:before="0" w:beforeAutospacing="0" w:after="0" w:afterAutospacing="0"/>
        <w:ind w:left="880"/>
        <w:jc w:val="both"/>
        <w:rPr>
          <w:sz w:val="22"/>
          <w:szCs w:val="22"/>
        </w:rPr>
      </w:pPr>
      <w:r w:rsidRPr="0076674B">
        <w:rPr>
          <w:sz w:val="22"/>
          <w:szCs w:val="22"/>
        </w:rPr>
        <w:t> </w:t>
      </w:r>
    </w:p>
    <w:p w:rsidR="00DF30E3" w:rsidRPr="0076674B" w:rsidRDefault="00ED6DDA">
      <w:pPr>
        <w:pStyle w:val="NormalWeb"/>
        <w:spacing w:before="0" w:beforeAutospacing="0" w:after="0" w:afterAutospacing="0"/>
        <w:ind w:left="880" w:firstLine="440"/>
        <w:jc w:val="both"/>
        <w:rPr>
          <w:sz w:val="22"/>
          <w:szCs w:val="22"/>
        </w:rPr>
      </w:pPr>
      <w:r w:rsidRPr="0076674B">
        <w:rPr>
          <w:sz w:val="22"/>
          <w:szCs w:val="22"/>
        </w:rPr>
        <w:t>(b) Sellers hereby acknowledge, admit and agree that Sellers' obligations under this Agreement are recourse obligations of Sellers to which each Seller pledges its full faith</w:t>
      </w:r>
      <w:r w:rsidRPr="0076674B">
        <w:rPr>
          <w:sz w:val="22"/>
          <w:szCs w:val="22"/>
        </w:rPr>
        <w:t xml:space="preserve"> and credit. In addition to its rights hereunder, Buyer shall have the right to proceed against any of Seller’s assets which may be in the possession of Buyer, any of Buyer’s Affiliates or their respective designees (including Custodian), including the rig</w:t>
      </w:r>
      <w:r w:rsidRPr="0076674B">
        <w:rPr>
          <w:sz w:val="22"/>
          <w:szCs w:val="22"/>
        </w:rPr>
        <w:t xml:space="preserve">ht to liquidate such assets and to set-off the proceeds against monies owed by (x) Sellers to Buyer pursuant to this Agreement and (y) any Repurchase Party to Buyer pursuant to the related </w:t>
      </w:r>
      <w:proofErr w:type="spellStart"/>
      <w:r w:rsidRPr="0076674B">
        <w:rPr>
          <w:sz w:val="22"/>
          <w:szCs w:val="22"/>
        </w:rPr>
        <w:t>Citi</w:t>
      </w:r>
      <w:proofErr w:type="spellEnd"/>
      <w:r w:rsidRPr="0076674B">
        <w:rPr>
          <w:sz w:val="22"/>
          <w:szCs w:val="22"/>
        </w:rPr>
        <w:t xml:space="preserve"> Repurchase Facility. Buyer may set off cash, the proceeds of t</w:t>
      </w:r>
      <w:r w:rsidRPr="0076674B">
        <w:rPr>
          <w:sz w:val="22"/>
          <w:szCs w:val="22"/>
        </w:rPr>
        <w:t>he liquidation of the Purchased Loans, any other Purchased Items and their proceeds and all other sums or obligations owed by Buyer, or any of Buyer’s Affiliates, to any Seller against all of (</w:t>
      </w:r>
      <w:proofErr w:type="spellStart"/>
      <w:r w:rsidRPr="0076674B">
        <w:rPr>
          <w:sz w:val="22"/>
          <w:szCs w:val="22"/>
        </w:rPr>
        <w:t>i</w:t>
      </w:r>
      <w:proofErr w:type="spellEnd"/>
      <w:r w:rsidRPr="0076674B">
        <w:rPr>
          <w:sz w:val="22"/>
          <w:szCs w:val="22"/>
        </w:rPr>
        <w:t>) Sellers' obligations to Buyer, whether under this Agreement,</w:t>
      </w:r>
      <w:r w:rsidRPr="0076674B">
        <w:rPr>
          <w:sz w:val="22"/>
          <w:szCs w:val="22"/>
        </w:rPr>
        <w:t xml:space="preserve"> under a Transaction, or under any other agreement among the parties, or otherwise and (ii) the obligations of each Repurchase Party to Buyer under the related </w:t>
      </w:r>
      <w:proofErr w:type="spellStart"/>
      <w:r w:rsidRPr="0076674B">
        <w:rPr>
          <w:sz w:val="22"/>
          <w:szCs w:val="22"/>
        </w:rPr>
        <w:t>Citi</w:t>
      </w:r>
      <w:proofErr w:type="spellEnd"/>
      <w:r w:rsidRPr="0076674B">
        <w:rPr>
          <w:sz w:val="22"/>
          <w:szCs w:val="22"/>
        </w:rPr>
        <w:t xml:space="preserve"> Repurchase Facility, or under any other agreement among the parties, or otherwise, in each </w:t>
      </w:r>
      <w:r w:rsidRPr="0076674B">
        <w:rPr>
          <w:sz w:val="22"/>
          <w:szCs w:val="22"/>
        </w:rPr>
        <w:t>case whether or not such obligations are then due, without prejudice to Buyer’s right to recover any deficiency.</w:t>
      </w:r>
    </w:p>
    <w:p w:rsidR="00DF30E3" w:rsidRPr="0076674B" w:rsidRDefault="00ED6DDA">
      <w:pPr>
        <w:pStyle w:val="NormalWeb"/>
        <w:spacing w:before="0" w:beforeAutospacing="0" w:after="0" w:afterAutospacing="0"/>
        <w:ind w:left="880" w:firstLine="440"/>
        <w:rPr>
          <w:sz w:val="22"/>
          <w:szCs w:val="22"/>
        </w:rPr>
      </w:pPr>
      <w:r w:rsidRPr="0076674B">
        <w:rPr>
          <w:sz w:val="22"/>
          <w:szCs w:val="22"/>
        </w:rPr>
        <w:t> </w:t>
      </w:r>
    </w:p>
    <w:p w:rsidR="00DF30E3" w:rsidRPr="0076674B" w:rsidRDefault="00ED6DDA">
      <w:pPr>
        <w:pStyle w:val="NormalWeb"/>
        <w:spacing w:before="0" w:beforeAutospacing="0" w:after="0" w:afterAutospacing="0"/>
        <w:ind w:firstLine="880"/>
        <w:jc w:val="both"/>
        <w:rPr>
          <w:sz w:val="22"/>
          <w:szCs w:val="22"/>
        </w:rPr>
      </w:pPr>
      <w:r w:rsidRPr="0076674B">
        <w:rPr>
          <w:sz w:val="22"/>
          <w:szCs w:val="22"/>
        </w:rPr>
        <w:t>(o)     Section 45 of the Agreement is hereby amended by deleting the section in its entirety and replacing it with the following:</w:t>
      </w:r>
    </w:p>
    <w:p w:rsidR="00DF30E3" w:rsidRPr="0076674B" w:rsidRDefault="00ED6DDA">
      <w:pPr>
        <w:pStyle w:val="NormalWeb"/>
        <w:spacing w:before="0" w:beforeAutospacing="0" w:after="0" w:afterAutospacing="0"/>
        <w:ind w:firstLine="880"/>
        <w:rPr>
          <w:sz w:val="22"/>
          <w:szCs w:val="22"/>
        </w:rPr>
      </w:pPr>
      <w:r w:rsidRPr="0076674B">
        <w:rPr>
          <w:sz w:val="22"/>
          <w:szCs w:val="22"/>
        </w:rPr>
        <w:t> </w:t>
      </w:r>
    </w:p>
    <w:p w:rsidR="00DF30E3" w:rsidRPr="0076674B" w:rsidRDefault="00ED6DDA">
      <w:pPr>
        <w:pStyle w:val="NormalWeb"/>
        <w:spacing w:before="0" w:beforeAutospacing="0" w:after="0" w:afterAutospacing="0"/>
        <w:ind w:left="880" w:firstLine="440"/>
        <w:jc w:val="both"/>
        <w:rPr>
          <w:sz w:val="22"/>
          <w:szCs w:val="22"/>
        </w:rPr>
      </w:pPr>
      <w:r w:rsidRPr="0076674B">
        <w:rPr>
          <w:sz w:val="22"/>
          <w:szCs w:val="22"/>
        </w:rPr>
        <w:t xml:space="preserve">In </w:t>
      </w:r>
      <w:r w:rsidRPr="0076674B">
        <w:rPr>
          <w:sz w:val="22"/>
          <w:szCs w:val="22"/>
        </w:rPr>
        <w:t>addition to any rights and remedies of Buyer provided by this Agreement and by law, Buyer shall have the right, without prior notice to Sellers, any such notice being expressly waived by Sellers to the extent permitted by applicable law, upon any amount be</w:t>
      </w:r>
      <w:r w:rsidRPr="0076674B">
        <w:rPr>
          <w:sz w:val="22"/>
          <w:szCs w:val="22"/>
        </w:rPr>
        <w:t>coming due and payable by Sellers hereunder (whether at the stated maturity, by acceleration or otherwise) to set-off and appropriate and apply against such amount any and all Property and deposits (general or special, time or demand, provisional or final)</w:t>
      </w:r>
      <w:r w:rsidRPr="0076674B">
        <w:rPr>
          <w:sz w:val="22"/>
          <w:szCs w:val="22"/>
        </w:rPr>
        <w:t xml:space="preserve">, in any currency, and any other credits, indebtedness or claims, in any currency, in each case whether direct or indirect, absolute or contingent, matured or </w:t>
      </w:r>
      <w:proofErr w:type="spellStart"/>
      <w:r w:rsidRPr="0076674B">
        <w:rPr>
          <w:sz w:val="22"/>
          <w:szCs w:val="22"/>
        </w:rPr>
        <w:t>unmatured</w:t>
      </w:r>
      <w:proofErr w:type="spellEnd"/>
      <w:r w:rsidRPr="0076674B">
        <w:rPr>
          <w:sz w:val="22"/>
          <w:szCs w:val="22"/>
        </w:rPr>
        <w:t>, at any time held or owing by Buyer or any Affiliate thereof to or for the credit or th</w:t>
      </w:r>
      <w:r w:rsidRPr="0076674B">
        <w:rPr>
          <w:sz w:val="22"/>
          <w:szCs w:val="22"/>
        </w:rPr>
        <w:t xml:space="preserve">e account of any Seller or any other Repurchase Party. Buyer may set-off cash, the proceeds of the liquidation of any Purchased Items and all other sums or obligations owed by Buyer or its Affiliates to any Seller against all of Seller's or any Repurchase </w:t>
      </w:r>
      <w:r w:rsidRPr="0076674B">
        <w:rPr>
          <w:sz w:val="22"/>
          <w:szCs w:val="22"/>
        </w:rPr>
        <w:t xml:space="preserve">Party’s obligations to Buyer or its Affiliates, whether under this Agreement with respect to any Seller or the </w:t>
      </w:r>
      <w:proofErr w:type="spellStart"/>
      <w:r w:rsidRPr="0076674B">
        <w:rPr>
          <w:sz w:val="22"/>
          <w:szCs w:val="22"/>
        </w:rPr>
        <w:t>Citi</w:t>
      </w:r>
      <w:proofErr w:type="spellEnd"/>
      <w:r w:rsidRPr="0076674B">
        <w:rPr>
          <w:sz w:val="22"/>
          <w:szCs w:val="22"/>
        </w:rPr>
        <w:t xml:space="preserve"> Repurchase Facility with respect to any Repurchase Party or under any other agreement between the parties or between any Seller or any Repur</w:t>
      </w:r>
      <w:r w:rsidRPr="0076674B">
        <w:rPr>
          <w:sz w:val="22"/>
          <w:szCs w:val="22"/>
        </w:rPr>
        <w:t>chase Party and any Affiliate of Buyer, or otherwise, whether or not such obligations are then due, without prejudice to Buyer’s or its Affiliate’s right to recover any deficiency. Buyer agrees promptly to notify Sellers and each Repurchase Party after any</w:t>
      </w:r>
      <w:r w:rsidRPr="0076674B">
        <w:rPr>
          <w:sz w:val="22"/>
          <w:szCs w:val="22"/>
        </w:rPr>
        <w:t xml:space="preserve"> such set-off and application made by Buyer; provided that the failure to give such notice shall not affect the validity of such set-off and application.</w:t>
      </w:r>
    </w:p>
    <w:p w:rsidR="00DF30E3" w:rsidRPr="0076674B" w:rsidRDefault="00ED6DDA">
      <w:pPr>
        <w:pStyle w:val="NormalWeb"/>
        <w:spacing w:before="0" w:beforeAutospacing="0" w:after="0" w:afterAutospacing="0"/>
        <w:ind w:left="880" w:firstLine="440"/>
        <w:rPr>
          <w:sz w:val="22"/>
          <w:szCs w:val="22"/>
        </w:rPr>
      </w:pPr>
      <w:r w:rsidRPr="0076674B">
        <w:rPr>
          <w:sz w:val="22"/>
          <w:szCs w:val="22"/>
        </w:rPr>
        <w:t> </w:t>
      </w:r>
      <w:r w:rsidRPr="0076674B">
        <w:rPr>
          <w:sz w:val="22"/>
          <w:szCs w:val="22"/>
        </w:rPr>
        <w:t> </w:t>
      </w:r>
    </w:p>
    <w:p w:rsidR="00DF30E3" w:rsidRPr="0076674B" w:rsidRDefault="00ED6DDA">
      <w:pPr>
        <w:pStyle w:val="NormalWeb"/>
        <w:spacing w:before="0" w:beforeAutospacing="0" w:after="0" w:afterAutospacing="0"/>
        <w:ind w:firstLine="1440"/>
        <w:jc w:val="both"/>
        <w:rPr>
          <w:sz w:val="22"/>
          <w:szCs w:val="22"/>
        </w:rPr>
      </w:pPr>
      <w:proofErr w:type="gramStart"/>
      <w:r w:rsidRPr="0076674B">
        <w:rPr>
          <w:caps/>
          <w:sz w:val="22"/>
          <w:szCs w:val="22"/>
        </w:rPr>
        <w:t>Section 2.</w:t>
      </w:r>
      <w:proofErr w:type="gramEnd"/>
      <w:r w:rsidRPr="0076674B">
        <w:rPr>
          <w:caps/>
          <w:sz w:val="22"/>
          <w:szCs w:val="22"/>
        </w:rPr>
        <w:t xml:space="preserve">      </w:t>
      </w:r>
      <w:proofErr w:type="gramStart"/>
      <w:r w:rsidRPr="0076674B">
        <w:rPr>
          <w:sz w:val="22"/>
          <w:szCs w:val="22"/>
          <w:u w:val="single"/>
        </w:rPr>
        <w:t>Fees and Expenses</w:t>
      </w:r>
      <w:r w:rsidRPr="0076674B">
        <w:rPr>
          <w:sz w:val="22"/>
          <w:szCs w:val="22"/>
        </w:rPr>
        <w:t>.</w:t>
      </w:r>
      <w:proofErr w:type="gramEnd"/>
      <w:r w:rsidRPr="0076674B">
        <w:rPr>
          <w:sz w:val="22"/>
          <w:szCs w:val="22"/>
        </w:rPr>
        <w:t xml:space="preserve"> Sellers agree to pay to Buyer all reasonable out of pocket </w:t>
      </w:r>
      <w:r w:rsidRPr="0076674B">
        <w:rPr>
          <w:sz w:val="22"/>
          <w:szCs w:val="22"/>
        </w:rPr>
        <w:t>costs and expenses incurred by Buyer in connection with this Amendment Number Twenty-One (including all reasonable fees and out of pocket costs and expenses of the Buyer’s legal counsel) in accordance with Sections 23 and 25 of the Agreement.</w:t>
      </w:r>
    </w:p>
    <w:p w:rsidR="00DF30E3" w:rsidRPr="0076674B" w:rsidRDefault="00ED6DDA">
      <w:pPr>
        <w:pStyle w:val="NormalWeb"/>
        <w:spacing w:before="0" w:beforeAutospacing="0" w:after="0" w:afterAutospacing="0"/>
        <w:ind w:firstLine="1440"/>
        <w:jc w:val="both"/>
        <w:rPr>
          <w:sz w:val="22"/>
          <w:szCs w:val="22"/>
        </w:rPr>
      </w:pPr>
      <w:r w:rsidRPr="0076674B">
        <w:rPr>
          <w:sz w:val="22"/>
          <w:szCs w:val="22"/>
        </w:rPr>
        <w:lastRenderedPageBreak/>
        <w:t> </w:t>
      </w:r>
    </w:p>
    <w:p w:rsidR="00B54182" w:rsidRDefault="00ED6DDA" w:rsidP="00B54182">
      <w:pPr>
        <w:pStyle w:val="NormalWeb"/>
        <w:spacing w:before="0" w:beforeAutospacing="0" w:after="0" w:afterAutospacing="0"/>
        <w:ind w:firstLine="1440"/>
        <w:jc w:val="both"/>
        <w:rPr>
          <w:sz w:val="22"/>
          <w:szCs w:val="22"/>
        </w:rPr>
      </w:pPr>
      <w:proofErr w:type="gramStart"/>
      <w:r w:rsidRPr="0076674B">
        <w:rPr>
          <w:caps/>
          <w:sz w:val="22"/>
          <w:szCs w:val="22"/>
        </w:rPr>
        <w:t>Section 3.</w:t>
      </w:r>
      <w:proofErr w:type="gramEnd"/>
      <w:r w:rsidRPr="0076674B">
        <w:rPr>
          <w:caps/>
          <w:sz w:val="22"/>
          <w:szCs w:val="22"/>
        </w:rPr>
        <w:t> </w:t>
      </w:r>
      <w:r w:rsidRPr="0076674B">
        <w:rPr>
          <w:caps/>
          <w:sz w:val="22"/>
          <w:szCs w:val="22"/>
        </w:rPr>
        <w:t xml:space="preserve">     </w:t>
      </w:r>
      <w:proofErr w:type="gramStart"/>
      <w:r w:rsidRPr="0076674B">
        <w:rPr>
          <w:sz w:val="22"/>
          <w:szCs w:val="22"/>
          <w:u w:val="single"/>
        </w:rPr>
        <w:t>Representations</w:t>
      </w:r>
      <w:r w:rsidRPr="0076674B">
        <w:rPr>
          <w:sz w:val="22"/>
          <w:szCs w:val="22"/>
        </w:rPr>
        <w:t>.</w:t>
      </w:r>
      <w:proofErr w:type="gramEnd"/>
      <w:r w:rsidRPr="0076674B">
        <w:rPr>
          <w:sz w:val="22"/>
          <w:szCs w:val="22"/>
        </w:rPr>
        <w:t xml:space="preserve"> Each Seller and Servicer hereby represents to Buyer that as of the date hereof, the Seller Parties are in full compliance with all of the terms and conditions of the Agreement and each other Program Document and no Default or Event of</w:t>
      </w:r>
      <w:r w:rsidRPr="0076674B">
        <w:rPr>
          <w:sz w:val="22"/>
          <w:szCs w:val="22"/>
        </w:rPr>
        <w:t xml:space="preserve"> Default has occurred and is continuing under the Agreement or any other Program Document.</w:t>
      </w:r>
    </w:p>
    <w:p w:rsidR="00DF30E3" w:rsidRPr="0076674B" w:rsidRDefault="00ED6DDA" w:rsidP="00B54182">
      <w:pPr>
        <w:pStyle w:val="NormalWeb"/>
        <w:spacing w:before="0" w:beforeAutospacing="0" w:after="0" w:afterAutospacing="0"/>
        <w:ind w:firstLine="1440"/>
        <w:jc w:val="both"/>
        <w:rPr>
          <w:sz w:val="22"/>
          <w:szCs w:val="22"/>
        </w:rPr>
      </w:pPr>
      <w:r w:rsidRPr="0076674B">
        <w:rPr>
          <w:sz w:val="22"/>
          <w:szCs w:val="22"/>
        </w:rPr>
        <w:t> </w:t>
      </w:r>
    </w:p>
    <w:p w:rsidR="00DF30E3" w:rsidRPr="0076674B" w:rsidRDefault="00ED6DDA">
      <w:pPr>
        <w:pStyle w:val="NormalWeb"/>
        <w:spacing w:before="0" w:beforeAutospacing="0" w:after="0" w:afterAutospacing="0"/>
        <w:ind w:firstLine="1440"/>
        <w:jc w:val="both"/>
        <w:rPr>
          <w:sz w:val="22"/>
          <w:szCs w:val="22"/>
        </w:rPr>
      </w:pPr>
      <w:proofErr w:type="gramStart"/>
      <w:r w:rsidRPr="0076674B">
        <w:rPr>
          <w:caps/>
          <w:sz w:val="22"/>
          <w:szCs w:val="22"/>
        </w:rPr>
        <w:t>Section 4.</w:t>
      </w:r>
      <w:proofErr w:type="gramEnd"/>
      <w:r w:rsidRPr="0076674B">
        <w:rPr>
          <w:caps/>
          <w:sz w:val="22"/>
          <w:szCs w:val="22"/>
        </w:rPr>
        <w:t xml:space="preserve">      </w:t>
      </w:r>
      <w:r w:rsidRPr="0076674B">
        <w:rPr>
          <w:sz w:val="22"/>
          <w:szCs w:val="22"/>
          <w:u w:val="single"/>
        </w:rPr>
        <w:t>Binding Effect; Governing Law</w:t>
      </w:r>
      <w:r w:rsidRPr="0076674B">
        <w:rPr>
          <w:sz w:val="22"/>
          <w:szCs w:val="22"/>
        </w:rPr>
        <w:t>. This Amendment Number Twenty-One shall be binding on and inure to the benefit of the parties hereto and the</w:t>
      </w:r>
      <w:r w:rsidRPr="0076674B">
        <w:rPr>
          <w:sz w:val="22"/>
          <w:szCs w:val="22"/>
        </w:rPr>
        <w:t>ir respective successors and permitted assigns. THIS AMENDMENT NUMBER TWENTY-ONE SHALL BE CONSTRUED IN ACCORDANCE WITH, AND GOVERNED BY, THE LAWS OF THE STATE OF NEW YORK, WITHOUT GIVING EFFECT TO THE CONFLICT OF LAWS PRINCIPLES THEREOF (EXCEPT FOR SECTION</w:t>
      </w:r>
      <w:r w:rsidRPr="0076674B">
        <w:rPr>
          <w:sz w:val="22"/>
          <w:szCs w:val="22"/>
        </w:rPr>
        <w:t xml:space="preserve"> 5-1401 OF THE NEW YORK GENERAL OBLIGATIONS LAW).</w:t>
      </w:r>
    </w:p>
    <w:p w:rsidR="00DF30E3" w:rsidRPr="0076674B" w:rsidRDefault="00ED6DDA">
      <w:pPr>
        <w:pStyle w:val="NormalWeb"/>
        <w:spacing w:before="0" w:beforeAutospacing="0" w:after="0" w:afterAutospacing="0"/>
        <w:ind w:firstLine="1440"/>
        <w:jc w:val="both"/>
        <w:rPr>
          <w:sz w:val="22"/>
          <w:szCs w:val="22"/>
        </w:rPr>
      </w:pPr>
      <w:r w:rsidRPr="0076674B">
        <w:rPr>
          <w:sz w:val="22"/>
          <w:szCs w:val="22"/>
        </w:rPr>
        <w:t> </w:t>
      </w:r>
    </w:p>
    <w:p w:rsidR="00DF30E3" w:rsidRPr="0076674B" w:rsidRDefault="00ED6DDA">
      <w:pPr>
        <w:pStyle w:val="NormalWeb"/>
        <w:spacing w:before="0" w:beforeAutospacing="0" w:after="0" w:afterAutospacing="0"/>
        <w:ind w:firstLine="1440"/>
        <w:jc w:val="both"/>
        <w:rPr>
          <w:sz w:val="22"/>
          <w:szCs w:val="22"/>
        </w:rPr>
      </w:pPr>
      <w:proofErr w:type="gramStart"/>
      <w:r w:rsidRPr="0076674B">
        <w:rPr>
          <w:caps/>
          <w:sz w:val="22"/>
          <w:szCs w:val="22"/>
        </w:rPr>
        <w:t>Section 5.</w:t>
      </w:r>
      <w:proofErr w:type="gramEnd"/>
      <w:r w:rsidRPr="0076674B">
        <w:rPr>
          <w:caps/>
          <w:sz w:val="22"/>
          <w:szCs w:val="22"/>
        </w:rPr>
        <w:t xml:space="preserve">      </w:t>
      </w:r>
      <w:proofErr w:type="gramStart"/>
      <w:r w:rsidRPr="0076674B">
        <w:rPr>
          <w:sz w:val="22"/>
          <w:szCs w:val="22"/>
          <w:u w:val="single"/>
        </w:rPr>
        <w:t>Counterparts</w:t>
      </w:r>
      <w:r w:rsidRPr="0076674B">
        <w:rPr>
          <w:sz w:val="22"/>
          <w:szCs w:val="22"/>
        </w:rPr>
        <w:t>.</w:t>
      </w:r>
      <w:proofErr w:type="gramEnd"/>
      <w:r w:rsidRPr="0076674B">
        <w:rPr>
          <w:sz w:val="22"/>
          <w:szCs w:val="22"/>
        </w:rPr>
        <w:t xml:space="preserve"> This Amendment Number Twenty-One may be executed by each of the parties hereto on any number of separate counterparts, each of which shall be an original and all of which </w:t>
      </w:r>
      <w:r w:rsidRPr="0076674B">
        <w:rPr>
          <w:sz w:val="22"/>
          <w:szCs w:val="22"/>
        </w:rPr>
        <w:t>taken together shall constitute one and the same instrument.</w:t>
      </w:r>
    </w:p>
    <w:p w:rsidR="00DF30E3" w:rsidRPr="0076674B" w:rsidRDefault="00ED6DDA">
      <w:pPr>
        <w:pStyle w:val="NormalWeb"/>
        <w:spacing w:before="0" w:beforeAutospacing="0" w:after="0" w:afterAutospacing="0"/>
        <w:ind w:firstLine="1440"/>
        <w:jc w:val="both"/>
        <w:rPr>
          <w:sz w:val="22"/>
          <w:szCs w:val="22"/>
        </w:rPr>
      </w:pPr>
      <w:r w:rsidRPr="0076674B">
        <w:rPr>
          <w:sz w:val="22"/>
          <w:szCs w:val="22"/>
        </w:rPr>
        <w:t> </w:t>
      </w:r>
    </w:p>
    <w:p w:rsidR="00DF30E3" w:rsidRPr="0076674B" w:rsidRDefault="00ED6DDA">
      <w:pPr>
        <w:pStyle w:val="NormalWeb"/>
        <w:spacing w:before="0" w:beforeAutospacing="0" w:after="0" w:afterAutospacing="0"/>
        <w:ind w:firstLine="1440"/>
        <w:jc w:val="both"/>
        <w:rPr>
          <w:sz w:val="22"/>
          <w:szCs w:val="22"/>
        </w:rPr>
      </w:pPr>
      <w:proofErr w:type="gramStart"/>
      <w:r w:rsidRPr="0076674B">
        <w:rPr>
          <w:caps/>
          <w:sz w:val="22"/>
          <w:szCs w:val="22"/>
        </w:rPr>
        <w:t>Section 6.</w:t>
      </w:r>
      <w:proofErr w:type="gramEnd"/>
      <w:r w:rsidRPr="0076674B">
        <w:rPr>
          <w:caps/>
          <w:sz w:val="22"/>
          <w:szCs w:val="22"/>
        </w:rPr>
        <w:t xml:space="preserve">      </w:t>
      </w:r>
      <w:proofErr w:type="gramStart"/>
      <w:r w:rsidRPr="0076674B">
        <w:rPr>
          <w:sz w:val="22"/>
          <w:szCs w:val="22"/>
          <w:u w:val="single"/>
        </w:rPr>
        <w:t>Limited Effect</w:t>
      </w:r>
      <w:r w:rsidRPr="0076674B">
        <w:rPr>
          <w:sz w:val="22"/>
          <w:szCs w:val="22"/>
        </w:rPr>
        <w:t>.</w:t>
      </w:r>
      <w:proofErr w:type="gramEnd"/>
      <w:r w:rsidRPr="0076674B">
        <w:rPr>
          <w:sz w:val="22"/>
          <w:szCs w:val="22"/>
        </w:rPr>
        <w:t xml:space="preserve"> Except as amended hereby, the Agreement shall continue in full force and effect in accordance with its terms. Reference to this Amendment Number Twenty-One need </w:t>
      </w:r>
      <w:r w:rsidRPr="0076674B">
        <w:rPr>
          <w:sz w:val="22"/>
          <w:szCs w:val="22"/>
        </w:rPr>
        <w:t>not be made in the Agreement or any other instrument or document executed in connection therewith, or in any certificate, letter or communication issued or made pursuant to, or with respect to, the Agreement, any reference in any of such items to the Agree</w:t>
      </w:r>
      <w:r w:rsidRPr="0076674B">
        <w:rPr>
          <w:sz w:val="22"/>
          <w:szCs w:val="22"/>
        </w:rPr>
        <w:t>ment being sufficient to refer to the Agreement as amended hereby.</w:t>
      </w:r>
    </w:p>
    <w:p w:rsidR="00DF30E3" w:rsidRPr="0076674B" w:rsidRDefault="00ED6DDA">
      <w:pPr>
        <w:pStyle w:val="NormalWeb"/>
        <w:spacing w:before="0" w:beforeAutospacing="0" w:after="0" w:afterAutospacing="0"/>
        <w:ind w:firstLine="1440"/>
        <w:jc w:val="both"/>
        <w:rPr>
          <w:sz w:val="22"/>
          <w:szCs w:val="22"/>
        </w:rPr>
      </w:pPr>
      <w:r w:rsidRPr="0076674B">
        <w:rPr>
          <w:sz w:val="22"/>
          <w:szCs w:val="22"/>
        </w:rPr>
        <w:t> </w:t>
      </w:r>
    </w:p>
    <w:p w:rsidR="00B54182" w:rsidRDefault="00ED6DDA" w:rsidP="00B54182">
      <w:pPr>
        <w:pStyle w:val="NormalWeb"/>
        <w:spacing w:before="0" w:beforeAutospacing="0" w:after="0" w:afterAutospacing="0"/>
        <w:ind w:firstLine="720"/>
        <w:jc w:val="center"/>
        <w:rPr>
          <w:sz w:val="22"/>
          <w:szCs w:val="22"/>
        </w:rPr>
      </w:pPr>
      <w:r w:rsidRPr="0076674B">
        <w:rPr>
          <w:sz w:val="22"/>
          <w:szCs w:val="22"/>
        </w:rPr>
        <w:t>[SIGNATURE PAGE FOLLOWS]</w:t>
      </w:r>
    </w:p>
    <w:p w:rsidR="00B54182" w:rsidRDefault="00B54182">
      <w:pPr>
        <w:rPr>
          <w:sz w:val="22"/>
          <w:szCs w:val="22"/>
        </w:rPr>
      </w:pPr>
      <w:r>
        <w:rPr>
          <w:sz w:val="22"/>
          <w:szCs w:val="22"/>
        </w:rPr>
        <w:br w:type="page"/>
      </w:r>
    </w:p>
    <w:p w:rsidR="00DF30E3" w:rsidRPr="0076674B" w:rsidRDefault="00ED6DDA" w:rsidP="00B54182">
      <w:pPr>
        <w:pStyle w:val="NormalWeb"/>
        <w:spacing w:before="0" w:beforeAutospacing="0" w:after="0" w:afterAutospacing="0"/>
        <w:ind w:firstLine="720"/>
        <w:jc w:val="center"/>
        <w:rPr>
          <w:sz w:val="22"/>
          <w:szCs w:val="22"/>
        </w:rPr>
      </w:pPr>
      <w:r w:rsidRPr="0076674B">
        <w:rPr>
          <w:sz w:val="22"/>
          <w:szCs w:val="22"/>
        </w:rPr>
        <w:lastRenderedPageBreak/>
        <w:t> </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br w:type="textWrapping" w:clear="all"/>
      </w:r>
      <w:r w:rsidRPr="0076674B">
        <w:rPr>
          <w:sz w:val="22"/>
          <w:szCs w:val="22"/>
        </w:rPr>
        <w:t xml:space="preserve">IN WITNESS WHEREOF, Sellers, Servicer and Buyer have caused this Amendment Number Twenty-One to be executed and delivered by their duly authorized </w:t>
      </w:r>
      <w:r w:rsidRPr="0076674B">
        <w:rPr>
          <w:sz w:val="22"/>
          <w:szCs w:val="22"/>
        </w:rPr>
        <w:t>officers as of the Amendment Effective Date.</w:t>
      </w:r>
    </w:p>
    <w:p w:rsidR="00DF30E3" w:rsidRPr="0076674B" w:rsidRDefault="00ED6DDA">
      <w:pPr>
        <w:pStyle w:val="NormalWeb"/>
        <w:spacing w:before="0" w:beforeAutospacing="0" w:after="0" w:afterAutospacing="0"/>
        <w:ind w:firstLine="720"/>
        <w:jc w:val="both"/>
        <w:rPr>
          <w:sz w:val="22"/>
          <w:szCs w:val="22"/>
        </w:rPr>
      </w:pPr>
      <w:r w:rsidRPr="0076674B">
        <w:rPr>
          <w:sz w:val="22"/>
          <w:szCs w:val="22"/>
        </w:rPr>
        <w:t> </w:t>
      </w:r>
    </w:p>
    <w:p w:rsidR="00DF30E3" w:rsidRPr="0076674B" w:rsidRDefault="00ED6DDA">
      <w:pPr>
        <w:pStyle w:val="NormalWeb"/>
        <w:spacing w:before="0" w:beforeAutospacing="0" w:after="120" w:afterAutospacing="0"/>
        <w:rPr>
          <w:sz w:val="22"/>
          <w:szCs w:val="22"/>
        </w:rPr>
      </w:pPr>
      <w:r w:rsidRPr="0076674B">
        <w:rPr>
          <w:sz w:val="22"/>
          <w:szCs w:val="22"/>
        </w:rPr>
        <w:t> </w:t>
      </w:r>
    </w:p>
    <w:tbl>
      <w:tblPr>
        <w:tblW w:w="5000" w:type="pct"/>
        <w:tblCellSpacing w:w="0" w:type="dxa"/>
        <w:tblCellMar>
          <w:left w:w="0" w:type="dxa"/>
          <w:right w:w="0" w:type="dxa"/>
        </w:tblCellMar>
        <w:tblLook w:val="04A0"/>
      </w:tblPr>
      <w:tblGrid>
        <w:gridCol w:w="4242"/>
        <w:gridCol w:w="587"/>
        <w:gridCol w:w="3811"/>
      </w:tblGrid>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gridSpan w:val="2"/>
            <w:vAlign w:val="center"/>
            <w:hideMark/>
          </w:tcPr>
          <w:p w:rsidR="00DF30E3" w:rsidRPr="0076674B" w:rsidRDefault="00ED6DDA">
            <w:pPr>
              <w:rPr>
                <w:rFonts w:eastAsia="Times New Roman"/>
                <w:sz w:val="22"/>
                <w:szCs w:val="22"/>
              </w:rPr>
            </w:pPr>
            <w:r w:rsidRPr="0076674B">
              <w:rPr>
                <w:rFonts w:eastAsia="Times New Roman"/>
                <w:sz w:val="22"/>
                <w:szCs w:val="22"/>
              </w:rPr>
              <w:t>PENNYMAC CORP.</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gridSpan w:val="2"/>
            <w:vAlign w:val="center"/>
            <w:hideMark/>
          </w:tcPr>
          <w:p w:rsidR="00DF30E3" w:rsidRPr="0076674B" w:rsidRDefault="00ED6DDA">
            <w:pPr>
              <w:rPr>
                <w:rFonts w:eastAsia="Times New Roman"/>
                <w:sz w:val="22"/>
                <w:szCs w:val="22"/>
              </w:rPr>
            </w:pPr>
            <w:r w:rsidRPr="0076674B">
              <w:rPr>
                <w:rFonts w:eastAsia="Times New Roman"/>
                <w:sz w:val="22"/>
                <w:szCs w:val="22"/>
              </w:rPr>
              <w:t>(Seller)</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gridSpan w:val="2"/>
            <w:vAlign w:val="center"/>
            <w:hideMark/>
          </w:tcPr>
          <w:p w:rsidR="00DF30E3" w:rsidRPr="0076674B" w:rsidRDefault="00ED6DDA">
            <w:pPr>
              <w:rPr>
                <w:rFonts w:eastAsia="Times New Roman"/>
                <w:sz w:val="22"/>
                <w:szCs w:val="22"/>
              </w:rPr>
            </w:pPr>
            <w:r w:rsidRPr="0076674B">
              <w:rPr>
                <w:rFonts w:eastAsia="Times New Roman"/>
                <w:sz w:val="22"/>
                <w:szCs w:val="22"/>
              </w:rPr>
              <w:t> </w:t>
            </w:r>
          </w:p>
        </w:tc>
      </w:tr>
      <w:tr w:rsidR="00DF30E3" w:rsidRPr="0076674B">
        <w:trPr>
          <w:tblCellSpacing w:w="0" w:type="dxa"/>
        </w:trPr>
        <w:tc>
          <w:tcPr>
            <w:tcW w:w="2500" w:type="pct"/>
            <w:tcMar>
              <w:top w:w="0" w:type="dxa"/>
              <w:left w:w="0" w:type="dxa"/>
              <w:bottom w:w="20" w:type="dxa"/>
              <w:right w:w="0" w:type="dxa"/>
            </w:tcMar>
            <w:hideMark/>
          </w:tcPr>
          <w:p w:rsidR="00DF30E3" w:rsidRPr="0076674B" w:rsidRDefault="00ED6DDA">
            <w:pPr>
              <w:rPr>
                <w:rFonts w:eastAsia="Times New Roman"/>
                <w:sz w:val="22"/>
                <w:szCs w:val="22"/>
              </w:rPr>
            </w:pPr>
            <w:r w:rsidRPr="0076674B">
              <w:rPr>
                <w:rFonts w:eastAsia="Times New Roman"/>
                <w:sz w:val="22"/>
                <w:szCs w:val="22"/>
              </w:rPr>
              <w:t> </w:t>
            </w:r>
          </w:p>
        </w:tc>
        <w:tc>
          <w:tcPr>
            <w:tcW w:w="250" w:type="pct"/>
            <w:tcMar>
              <w:top w:w="0" w:type="dxa"/>
              <w:left w:w="0" w:type="dxa"/>
              <w:bottom w:w="20" w:type="dxa"/>
              <w:right w:w="0" w:type="dxa"/>
            </w:tcMar>
            <w:vAlign w:val="center"/>
            <w:hideMark/>
          </w:tcPr>
          <w:p w:rsidR="00DF30E3" w:rsidRPr="0076674B" w:rsidRDefault="00ED6DDA">
            <w:pPr>
              <w:rPr>
                <w:rFonts w:eastAsia="Times New Roman"/>
                <w:sz w:val="22"/>
                <w:szCs w:val="22"/>
              </w:rPr>
            </w:pPr>
            <w:r w:rsidRPr="0076674B">
              <w:rPr>
                <w:rFonts w:eastAsia="Times New Roman"/>
                <w:sz w:val="22"/>
                <w:szCs w:val="22"/>
              </w:rPr>
              <w:t>By: </w:t>
            </w:r>
          </w:p>
        </w:tc>
        <w:tc>
          <w:tcPr>
            <w:tcW w:w="2250" w:type="pct"/>
            <w:tcBorders>
              <w:bottom w:val="single" w:sz="8" w:space="0" w:color="000000"/>
            </w:tcBorders>
            <w:hideMark/>
          </w:tcPr>
          <w:p w:rsidR="00DF30E3" w:rsidRPr="0076674B" w:rsidRDefault="00ED6DDA">
            <w:pPr>
              <w:rPr>
                <w:rFonts w:eastAsia="Times New Roman"/>
                <w:sz w:val="22"/>
                <w:szCs w:val="22"/>
              </w:rPr>
            </w:pPr>
            <w:r w:rsidRPr="0076674B">
              <w:rPr>
                <w:rFonts w:eastAsia="Times New Roman"/>
                <w:sz w:val="22"/>
                <w:szCs w:val="22"/>
              </w:rPr>
              <w:t>/s/ Pamela Marsh</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vAlign w:val="center"/>
            <w:hideMark/>
          </w:tcPr>
          <w:p w:rsidR="00DF30E3" w:rsidRPr="0076674B" w:rsidRDefault="00ED6DDA">
            <w:pPr>
              <w:rPr>
                <w:rFonts w:eastAsia="Times New Roman"/>
                <w:sz w:val="22"/>
                <w:szCs w:val="22"/>
              </w:rPr>
            </w:pPr>
            <w:r w:rsidRPr="0076674B">
              <w:rPr>
                <w:rFonts w:eastAsia="Times New Roman"/>
                <w:sz w:val="22"/>
                <w:szCs w:val="22"/>
              </w:rPr>
              <w:t>Name:</w:t>
            </w:r>
          </w:p>
        </w:tc>
        <w:tc>
          <w:tcPr>
            <w:tcW w:w="0" w:type="auto"/>
            <w:hideMark/>
          </w:tcPr>
          <w:p w:rsidR="00DF30E3" w:rsidRPr="0076674B" w:rsidRDefault="00ED6DDA">
            <w:pPr>
              <w:rPr>
                <w:rFonts w:eastAsia="Times New Roman"/>
                <w:sz w:val="22"/>
                <w:szCs w:val="22"/>
              </w:rPr>
            </w:pPr>
            <w:r w:rsidRPr="0076674B">
              <w:rPr>
                <w:rFonts w:eastAsia="Times New Roman"/>
                <w:sz w:val="22"/>
                <w:szCs w:val="22"/>
              </w:rPr>
              <w:t>Pamela Marsh</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vAlign w:val="center"/>
            <w:hideMark/>
          </w:tcPr>
          <w:p w:rsidR="00DF30E3" w:rsidRPr="0076674B" w:rsidRDefault="00ED6DDA">
            <w:pPr>
              <w:rPr>
                <w:rFonts w:eastAsia="Times New Roman"/>
                <w:sz w:val="22"/>
                <w:szCs w:val="22"/>
              </w:rPr>
            </w:pPr>
            <w:r w:rsidRPr="0076674B">
              <w:rPr>
                <w:rFonts w:eastAsia="Times New Roman"/>
                <w:sz w:val="22"/>
                <w:szCs w:val="22"/>
              </w:rPr>
              <w:t>Title</w:t>
            </w:r>
          </w:p>
        </w:tc>
        <w:tc>
          <w:tcPr>
            <w:tcW w:w="0" w:type="auto"/>
            <w:hideMark/>
          </w:tcPr>
          <w:p w:rsidR="00DF30E3" w:rsidRPr="0076674B" w:rsidRDefault="00ED6DDA">
            <w:pPr>
              <w:rPr>
                <w:rFonts w:eastAsia="Times New Roman"/>
                <w:sz w:val="22"/>
                <w:szCs w:val="22"/>
              </w:rPr>
            </w:pPr>
            <w:r w:rsidRPr="0076674B">
              <w:rPr>
                <w:rFonts w:eastAsia="Times New Roman"/>
                <w:sz w:val="22"/>
                <w:szCs w:val="22"/>
              </w:rPr>
              <w:t>Executive Vice President, Treasurer</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vAlign w:val="center"/>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r>
    </w:tbl>
    <w:p w:rsidR="00DF30E3" w:rsidRPr="0076674B" w:rsidRDefault="00ED6DDA">
      <w:pPr>
        <w:pStyle w:val="NormalWeb"/>
        <w:spacing w:before="0" w:beforeAutospacing="0" w:after="120" w:afterAutospacing="0"/>
        <w:rPr>
          <w:sz w:val="22"/>
          <w:szCs w:val="22"/>
        </w:rPr>
      </w:pPr>
      <w:r w:rsidRPr="0076674B">
        <w:rPr>
          <w:sz w:val="22"/>
          <w:szCs w:val="22"/>
        </w:rPr>
        <w:t> </w:t>
      </w:r>
    </w:p>
    <w:tbl>
      <w:tblPr>
        <w:tblW w:w="5000" w:type="pct"/>
        <w:tblCellSpacing w:w="0" w:type="dxa"/>
        <w:tblCellMar>
          <w:left w:w="0" w:type="dxa"/>
          <w:right w:w="0" w:type="dxa"/>
        </w:tblCellMar>
        <w:tblLook w:val="04A0"/>
      </w:tblPr>
      <w:tblGrid>
        <w:gridCol w:w="4242"/>
        <w:gridCol w:w="587"/>
        <w:gridCol w:w="3811"/>
      </w:tblGrid>
      <w:tr w:rsidR="00DF30E3" w:rsidRPr="0076674B">
        <w:trPr>
          <w:tblCellSpacing w:w="0" w:type="dxa"/>
        </w:trPr>
        <w:tc>
          <w:tcPr>
            <w:tcW w:w="0" w:type="auto"/>
            <w:hideMark/>
          </w:tcPr>
          <w:p w:rsidR="00DF30E3" w:rsidRPr="0076674B" w:rsidRDefault="00DF30E3">
            <w:pPr>
              <w:rPr>
                <w:rFonts w:eastAsia="Times New Roman"/>
                <w:sz w:val="22"/>
                <w:szCs w:val="22"/>
              </w:rPr>
            </w:pPr>
          </w:p>
        </w:tc>
        <w:tc>
          <w:tcPr>
            <w:tcW w:w="0" w:type="auto"/>
            <w:gridSpan w:val="2"/>
            <w:vAlign w:val="center"/>
            <w:hideMark/>
          </w:tcPr>
          <w:p w:rsidR="00DF30E3" w:rsidRPr="0076674B" w:rsidRDefault="00ED6DDA">
            <w:pPr>
              <w:rPr>
                <w:rFonts w:eastAsia="Times New Roman"/>
                <w:sz w:val="22"/>
                <w:szCs w:val="22"/>
              </w:rPr>
            </w:pPr>
            <w:r w:rsidRPr="0076674B">
              <w:rPr>
                <w:rFonts w:eastAsia="Times New Roman"/>
                <w:sz w:val="22"/>
                <w:szCs w:val="22"/>
              </w:rPr>
              <w:t>PENNYMAC HOLDINGS, LLC</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gridSpan w:val="2"/>
            <w:vAlign w:val="center"/>
            <w:hideMark/>
          </w:tcPr>
          <w:p w:rsidR="00DF30E3" w:rsidRPr="0076674B" w:rsidRDefault="00ED6DDA">
            <w:pPr>
              <w:rPr>
                <w:rFonts w:eastAsia="Times New Roman"/>
                <w:sz w:val="22"/>
                <w:szCs w:val="22"/>
              </w:rPr>
            </w:pPr>
            <w:r w:rsidRPr="0076674B">
              <w:rPr>
                <w:rFonts w:eastAsia="Times New Roman"/>
                <w:sz w:val="22"/>
                <w:szCs w:val="22"/>
              </w:rPr>
              <w:t>(Seller)</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gridSpan w:val="2"/>
            <w:vAlign w:val="center"/>
            <w:hideMark/>
          </w:tcPr>
          <w:p w:rsidR="00DF30E3" w:rsidRPr="0076674B" w:rsidRDefault="00ED6DDA">
            <w:pPr>
              <w:rPr>
                <w:rFonts w:eastAsia="Times New Roman"/>
                <w:sz w:val="22"/>
                <w:szCs w:val="22"/>
              </w:rPr>
            </w:pPr>
            <w:r w:rsidRPr="0076674B">
              <w:rPr>
                <w:rFonts w:eastAsia="Times New Roman"/>
                <w:sz w:val="22"/>
                <w:szCs w:val="22"/>
              </w:rPr>
              <w:t> </w:t>
            </w:r>
          </w:p>
        </w:tc>
      </w:tr>
      <w:tr w:rsidR="00DF30E3" w:rsidRPr="0076674B">
        <w:trPr>
          <w:tblCellSpacing w:w="0" w:type="dxa"/>
        </w:trPr>
        <w:tc>
          <w:tcPr>
            <w:tcW w:w="2500" w:type="pct"/>
            <w:tcMar>
              <w:top w:w="0" w:type="dxa"/>
              <w:left w:w="0" w:type="dxa"/>
              <w:bottom w:w="20" w:type="dxa"/>
              <w:right w:w="0" w:type="dxa"/>
            </w:tcMar>
            <w:hideMark/>
          </w:tcPr>
          <w:p w:rsidR="00DF30E3" w:rsidRPr="0076674B" w:rsidRDefault="00ED6DDA">
            <w:pPr>
              <w:rPr>
                <w:rFonts w:eastAsia="Times New Roman"/>
                <w:sz w:val="22"/>
                <w:szCs w:val="22"/>
              </w:rPr>
            </w:pPr>
            <w:r w:rsidRPr="0076674B">
              <w:rPr>
                <w:rFonts w:eastAsia="Times New Roman"/>
                <w:sz w:val="22"/>
                <w:szCs w:val="22"/>
              </w:rPr>
              <w:t> </w:t>
            </w:r>
          </w:p>
        </w:tc>
        <w:tc>
          <w:tcPr>
            <w:tcW w:w="250" w:type="pct"/>
            <w:tcMar>
              <w:top w:w="0" w:type="dxa"/>
              <w:left w:w="0" w:type="dxa"/>
              <w:bottom w:w="20" w:type="dxa"/>
              <w:right w:w="0" w:type="dxa"/>
            </w:tcMar>
            <w:vAlign w:val="center"/>
            <w:hideMark/>
          </w:tcPr>
          <w:p w:rsidR="00DF30E3" w:rsidRPr="0076674B" w:rsidRDefault="00ED6DDA">
            <w:pPr>
              <w:rPr>
                <w:rFonts w:eastAsia="Times New Roman"/>
                <w:sz w:val="22"/>
                <w:szCs w:val="22"/>
              </w:rPr>
            </w:pPr>
            <w:r w:rsidRPr="0076674B">
              <w:rPr>
                <w:rFonts w:eastAsia="Times New Roman"/>
                <w:sz w:val="22"/>
                <w:szCs w:val="22"/>
              </w:rPr>
              <w:t>By: </w:t>
            </w:r>
          </w:p>
        </w:tc>
        <w:tc>
          <w:tcPr>
            <w:tcW w:w="2250" w:type="pct"/>
            <w:tcBorders>
              <w:bottom w:val="single" w:sz="8" w:space="0" w:color="000000"/>
            </w:tcBorders>
            <w:hideMark/>
          </w:tcPr>
          <w:p w:rsidR="00DF30E3" w:rsidRPr="0076674B" w:rsidRDefault="00ED6DDA">
            <w:pPr>
              <w:rPr>
                <w:rFonts w:eastAsia="Times New Roman"/>
                <w:sz w:val="22"/>
                <w:szCs w:val="22"/>
              </w:rPr>
            </w:pPr>
            <w:r w:rsidRPr="0076674B">
              <w:rPr>
                <w:rFonts w:eastAsia="Times New Roman"/>
                <w:sz w:val="22"/>
                <w:szCs w:val="22"/>
              </w:rPr>
              <w:t>/s/ Pamela Marsh</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vAlign w:val="center"/>
            <w:hideMark/>
          </w:tcPr>
          <w:p w:rsidR="00DF30E3" w:rsidRPr="0076674B" w:rsidRDefault="00ED6DDA">
            <w:pPr>
              <w:rPr>
                <w:rFonts w:eastAsia="Times New Roman"/>
                <w:sz w:val="22"/>
                <w:szCs w:val="22"/>
              </w:rPr>
            </w:pPr>
            <w:r w:rsidRPr="0076674B">
              <w:rPr>
                <w:rFonts w:eastAsia="Times New Roman"/>
                <w:sz w:val="22"/>
                <w:szCs w:val="22"/>
              </w:rPr>
              <w:t>Name:</w:t>
            </w:r>
          </w:p>
        </w:tc>
        <w:tc>
          <w:tcPr>
            <w:tcW w:w="0" w:type="auto"/>
            <w:hideMark/>
          </w:tcPr>
          <w:p w:rsidR="00DF30E3" w:rsidRPr="0076674B" w:rsidRDefault="00ED6DDA">
            <w:pPr>
              <w:rPr>
                <w:rFonts w:eastAsia="Times New Roman"/>
                <w:sz w:val="22"/>
                <w:szCs w:val="22"/>
              </w:rPr>
            </w:pPr>
            <w:r w:rsidRPr="0076674B">
              <w:rPr>
                <w:rFonts w:eastAsia="Times New Roman"/>
                <w:sz w:val="22"/>
                <w:szCs w:val="22"/>
              </w:rPr>
              <w:t>Pamela Marsh</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vAlign w:val="center"/>
            <w:hideMark/>
          </w:tcPr>
          <w:p w:rsidR="00DF30E3" w:rsidRPr="0076674B" w:rsidRDefault="00ED6DDA">
            <w:pPr>
              <w:rPr>
                <w:rFonts w:eastAsia="Times New Roman"/>
                <w:sz w:val="22"/>
                <w:szCs w:val="22"/>
              </w:rPr>
            </w:pPr>
            <w:r w:rsidRPr="0076674B">
              <w:rPr>
                <w:rFonts w:eastAsia="Times New Roman"/>
                <w:sz w:val="22"/>
                <w:szCs w:val="22"/>
              </w:rPr>
              <w:t>Title</w:t>
            </w:r>
          </w:p>
        </w:tc>
        <w:tc>
          <w:tcPr>
            <w:tcW w:w="0" w:type="auto"/>
            <w:hideMark/>
          </w:tcPr>
          <w:p w:rsidR="00DF30E3" w:rsidRPr="0076674B" w:rsidRDefault="00ED6DDA">
            <w:pPr>
              <w:rPr>
                <w:rFonts w:eastAsia="Times New Roman"/>
                <w:sz w:val="22"/>
                <w:szCs w:val="22"/>
              </w:rPr>
            </w:pPr>
            <w:r w:rsidRPr="0076674B">
              <w:rPr>
                <w:rFonts w:eastAsia="Times New Roman"/>
                <w:sz w:val="22"/>
                <w:szCs w:val="22"/>
              </w:rPr>
              <w:t>Executive Vice President, Treasurer</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vAlign w:val="center"/>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r>
    </w:tbl>
    <w:p w:rsidR="00DF30E3" w:rsidRPr="0076674B" w:rsidRDefault="00ED6DDA">
      <w:pPr>
        <w:pStyle w:val="NormalWeb"/>
        <w:spacing w:before="0" w:beforeAutospacing="0" w:after="0" w:afterAutospacing="0"/>
        <w:rPr>
          <w:sz w:val="22"/>
          <w:szCs w:val="22"/>
        </w:rPr>
      </w:pPr>
      <w:r w:rsidRPr="0076674B">
        <w:rPr>
          <w:sz w:val="22"/>
          <w:szCs w:val="22"/>
        </w:rPr>
        <w:t> </w:t>
      </w:r>
    </w:p>
    <w:tbl>
      <w:tblPr>
        <w:tblW w:w="5000" w:type="pct"/>
        <w:tblCellSpacing w:w="0" w:type="dxa"/>
        <w:tblCellMar>
          <w:left w:w="0" w:type="dxa"/>
          <w:right w:w="0" w:type="dxa"/>
        </w:tblCellMar>
        <w:tblLook w:val="04A0"/>
      </w:tblPr>
      <w:tblGrid>
        <w:gridCol w:w="4242"/>
        <w:gridCol w:w="587"/>
        <w:gridCol w:w="3811"/>
      </w:tblGrid>
      <w:tr w:rsidR="00DF30E3" w:rsidRPr="0076674B">
        <w:trPr>
          <w:tblCellSpacing w:w="0" w:type="dxa"/>
        </w:trPr>
        <w:tc>
          <w:tcPr>
            <w:tcW w:w="0" w:type="auto"/>
            <w:hideMark/>
          </w:tcPr>
          <w:p w:rsidR="00DF30E3" w:rsidRPr="0076674B" w:rsidRDefault="00DF30E3">
            <w:pPr>
              <w:rPr>
                <w:rFonts w:eastAsia="Times New Roman"/>
                <w:sz w:val="22"/>
                <w:szCs w:val="22"/>
              </w:rPr>
            </w:pPr>
          </w:p>
        </w:tc>
        <w:tc>
          <w:tcPr>
            <w:tcW w:w="0" w:type="auto"/>
            <w:gridSpan w:val="2"/>
            <w:vAlign w:val="center"/>
            <w:hideMark/>
          </w:tcPr>
          <w:p w:rsidR="00DF30E3" w:rsidRPr="0076674B" w:rsidRDefault="00ED6DDA">
            <w:pPr>
              <w:rPr>
                <w:rFonts w:eastAsia="Times New Roman"/>
                <w:sz w:val="22"/>
                <w:szCs w:val="22"/>
              </w:rPr>
            </w:pPr>
            <w:r w:rsidRPr="0076674B">
              <w:rPr>
                <w:rFonts w:eastAsia="Times New Roman"/>
                <w:sz w:val="22"/>
                <w:szCs w:val="22"/>
              </w:rPr>
              <w:t>PENNYMAC LOAN SERVICES, LLC,</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gridSpan w:val="2"/>
            <w:vAlign w:val="center"/>
            <w:hideMark/>
          </w:tcPr>
          <w:p w:rsidR="00DF30E3" w:rsidRPr="0076674B" w:rsidRDefault="00ED6DDA">
            <w:pPr>
              <w:rPr>
                <w:rFonts w:eastAsia="Times New Roman"/>
                <w:sz w:val="22"/>
                <w:szCs w:val="22"/>
              </w:rPr>
            </w:pPr>
            <w:r w:rsidRPr="0076674B">
              <w:rPr>
                <w:rFonts w:eastAsia="Times New Roman"/>
                <w:sz w:val="22"/>
                <w:szCs w:val="22"/>
              </w:rPr>
              <w:t>(Servicer)</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gridSpan w:val="2"/>
            <w:vAlign w:val="center"/>
            <w:hideMark/>
          </w:tcPr>
          <w:p w:rsidR="00DF30E3" w:rsidRPr="0076674B" w:rsidRDefault="00ED6DDA">
            <w:pPr>
              <w:rPr>
                <w:rFonts w:eastAsia="Times New Roman"/>
                <w:sz w:val="22"/>
                <w:szCs w:val="22"/>
              </w:rPr>
            </w:pPr>
            <w:r w:rsidRPr="0076674B">
              <w:rPr>
                <w:rFonts w:eastAsia="Times New Roman"/>
                <w:sz w:val="22"/>
                <w:szCs w:val="22"/>
              </w:rPr>
              <w:t> </w:t>
            </w:r>
          </w:p>
        </w:tc>
      </w:tr>
      <w:tr w:rsidR="00DF30E3" w:rsidRPr="0076674B">
        <w:trPr>
          <w:tblCellSpacing w:w="0" w:type="dxa"/>
        </w:trPr>
        <w:tc>
          <w:tcPr>
            <w:tcW w:w="2500" w:type="pct"/>
            <w:tcMar>
              <w:top w:w="0" w:type="dxa"/>
              <w:left w:w="0" w:type="dxa"/>
              <w:bottom w:w="20" w:type="dxa"/>
              <w:right w:w="0" w:type="dxa"/>
            </w:tcMar>
            <w:hideMark/>
          </w:tcPr>
          <w:p w:rsidR="00DF30E3" w:rsidRPr="0076674B" w:rsidRDefault="00ED6DDA">
            <w:pPr>
              <w:rPr>
                <w:rFonts w:eastAsia="Times New Roman"/>
                <w:sz w:val="22"/>
                <w:szCs w:val="22"/>
              </w:rPr>
            </w:pPr>
            <w:r w:rsidRPr="0076674B">
              <w:rPr>
                <w:rFonts w:eastAsia="Times New Roman"/>
                <w:sz w:val="22"/>
                <w:szCs w:val="22"/>
              </w:rPr>
              <w:t> </w:t>
            </w:r>
          </w:p>
        </w:tc>
        <w:tc>
          <w:tcPr>
            <w:tcW w:w="250" w:type="pct"/>
            <w:tcMar>
              <w:top w:w="0" w:type="dxa"/>
              <w:left w:w="0" w:type="dxa"/>
              <w:bottom w:w="20" w:type="dxa"/>
              <w:right w:w="0" w:type="dxa"/>
            </w:tcMar>
            <w:vAlign w:val="center"/>
            <w:hideMark/>
          </w:tcPr>
          <w:p w:rsidR="00DF30E3" w:rsidRPr="0076674B" w:rsidRDefault="00ED6DDA">
            <w:pPr>
              <w:rPr>
                <w:rFonts w:eastAsia="Times New Roman"/>
                <w:sz w:val="22"/>
                <w:szCs w:val="22"/>
              </w:rPr>
            </w:pPr>
            <w:r w:rsidRPr="0076674B">
              <w:rPr>
                <w:rFonts w:eastAsia="Times New Roman"/>
                <w:sz w:val="22"/>
                <w:szCs w:val="22"/>
              </w:rPr>
              <w:t>By: </w:t>
            </w:r>
          </w:p>
        </w:tc>
        <w:tc>
          <w:tcPr>
            <w:tcW w:w="2250" w:type="pct"/>
            <w:tcBorders>
              <w:bottom w:val="single" w:sz="8" w:space="0" w:color="000000"/>
            </w:tcBorders>
            <w:hideMark/>
          </w:tcPr>
          <w:p w:rsidR="00DF30E3" w:rsidRPr="0076674B" w:rsidRDefault="00ED6DDA">
            <w:pPr>
              <w:rPr>
                <w:rFonts w:eastAsia="Times New Roman"/>
                <w:sz w:val="22"/>
                <w:szCs w:val="22"/>
              </w:rPr>
            </w:pPr>
            <w:r w:rsidRPr="0076674B">
              <w:rPr>
                <w:rFonts w:eastAsia="Times New Roman"/>
                <w:sz w:val="22"/>
                <w:szCs w:val="22"/>
              </w:rPr>
              <w:t>/s/ Pamela Marsh</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vAlign w:val="center"/>
            <w:hideMark/>
          </w:tcPr>
          <w:p w:rsidR="00DF30E3" w:rsidRPr="0076674B" w:rsidRDefault="00ED6DDA">
            <w:pPr>
              <w:rPr>
                <w:rFonts w:eastAsia="Times New Roman"/>
                <w:sz w:val="22"/>
                <w:szCs w:val="22"/>
              </w:rPr>
            </w:pPr>
            <w:r w:rsidRPr="0076674B">
              <w:rPr>
                <w:rFonts w:eastAsia="Times New Roman"/>
                <w:sz w:val="22"/>
                <w:szCs w:val="22"/>
              </w:rPr>
              <w:t>Name:</w:t>
            </w:r>
          </w:p>
        </w:tc>
        <w:tc>
          <w:tcPr>
            <w:tcW w:w="0" w:type="auto"/>
            <w:hideMark/>
          </w:tcPr>
          <w:p w:rsidR="00DF30E3" w:rsidRPr="0076674B" w:rsidRDefault="00ED6DDA">
            <w:pPr>
              <w:rPr>
                <w:rFonts w:eastAsia="Times New Roman"/>
                <w:sz w:val="22"/>
                <w:szCs w:val="22"/>
              </w:rPr>
            </w:pPr>
            <w:r w:rsidRPr="0076674B">
              <w:rPr>
                <w:rFonts w:eastAsia="Times New Roman"/>
                <w:sz w:val="22"/>
                <w:szCs w:val="22"/>
              </w:rPr>
              <w:t>Pamela Marsh</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vAlign w:val="center"/>
            <w:hideMark/>
          </w:tcPr>
          <w:p w:rsidR="00DF30E3" w:rsidRPr="0076674B" w:rsidRDefault="00ED6DDA">
            <w:pPr>
              <w:rPr>
                <w:rFonts w:eastAsia="Times New Roman"/>
                <w:sz w:val="22"/>
                <w:szCs w:val="22"/>
              </w:rPr>
            </w:pPr>
            <w:r w:rsidRPr="0076674B">
              <w:rPr>
                <w:rFonts w:eastAsia="Times New Roman"/>
                <w:sz w:val="22"/>
                <w:szCs w:val="22"/>
              </w:rPr>
              <w:t>Title</w:t>
            </w:r>
          </w:p>
        </w:tc>
        <w:tc>
          <w:tcPr>
            <w:tcW w:w="0" w:type="auto"/>
            <w:hideMark/>
          </w:tcPr>
          <w:p w:rsidR="00DF30E3" w:rsidRPr="0076674B" w:rsidRDefault="00ED6DDA">
            <w:pPr>
              <w:rPr>
                <w:rFonts w:eastAsia="Times New Roman"/>
                <w:sz w:val="22"/>
                <w:szCs w:val="22"/>
              </w:rPr>
            </w:pPr>
            <w:r w:rsidRPr="0076674B">
              <w:rPr>
                <w:rFonts w:eastAsia="Times New Roman"/>
                <w:sz w:val="22"/>
                <w:szCs w:val="22"/>
              </w:rPr>
              <w:t>Executive Vice President, Treasurer</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vAlign w:val="center"/>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r>
    </w:tbl>
    <w:p w:rsidR="00DF30E3" w:rsidRPr="0076674B" w:rsidRDefault="00ED6DDA">
      <w:pPr>
        <w:pStyle w:val="NormalWeb"/>
        <w:spacing w:before="0" w:beforeAutospacing="0" w:after="0" w:afterAutospacing="0"/>
        <w:ind w:left="4320"/>
        <w:rPr>
          <w:sz w:val="22"/>
          <w:szCs w:val="22"/>
        </w:rPr>
      </w:pPr>
      <w:r w:rsidRPr="0076674B">
        <w:rPr>
          <w:sz w:val="22"/>
          <w:szCs w:val="22"/>
        </w:rPr>
        <w:t> </w:t>
      </w:r>
    </w:p>
    <w:tbl>
      <w:tblPr>
        <w:tblW w:w="5000" w:type="pct"/>
        <w:tblCellSpacing w:w="0" w:type="dxa"/>
        <w:tblCellMar>
          <w:left w:w="0" w:type="dxa"/>
          <w:right w:w="0" w:type="dxa"/>
        </w:tblCellMar>
        <w:tblLook w:val="04A0"/>
      </w:tblPr>
      <w:tblGrid>
        <w:gridCol w:w="4242"/>
        <w:gridCol w:w="587"/>
        <w:gridCol w:w="3811"/>
      </w:tblGrid>
      <w:tr w:rsidR="00DF30E3" w:rsidRPr="0076674B">
        <w:trPr>
          <w:tblCellSpacing w:w="0" w:type="dxa"/>
        </w:trPr>
        <w:tc>
          <w:tcPr>
            <w:tcW w:w="0" w:type="auto"/>
            <w:hideMark/>
          </w:tcPr>
          <w:p w:rsidR="00DF30E3" w:rsidRPr="0076674B" w:rsidRDefault="00DF30E3">
            <w:pPr>
              <w:rPr>
                <w:rFonts w:eastAsia="Times New Roman"/>
                <w:sz w:val="22"/>
                <w:szCs w:val="22"/>
              </w:rPr>
            </w:pPr>
          </w:p>
        </w:tc>
        <w:tc>
          <w:tcPr>
            <w:tcW w:w="0" w:type="auto"/>
            <w:gridSpan w:val="2"/>
            <w:vAlign w:val="center"/>
            <w:hideMark/>
          </w:tcPr>
          <w:p w:rsidR="00DF30E3" w:rsidRPr="0076674B" w:rsidRDefault="00ED6DDA">
            <w:pPr>
              <w:rPr>
                <w:rFonts w:eastAsia="Times New Roman"/>
                <w:sz w:val="22"/>
                <w:szCs w:val="22"/>
              </w:rPr>
            </w:pPr>
            <w:r w:rsidRPr="0076674B">
              <w:rPr>
                <w:rFonts w:eastAsia="Times New Roman"/>
                <w:sz w:val="22"/>
                <w:szCs w:val="22"/>
              </w:rPr>
              <w:t>CITIBANK, N.A.</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gridSpan w:val="2"/>
            <w:vAlign w:val="center"/>
            <w:hideMark/>
          </w:tcPr>
          <w:p w:rsidR="00DF30E3" w:rsidRPr="0076674B" w:rsidRDefault="00ED6DDA">
            <w:pPr>
              <w:rPr>
                <w:rFonts w:eastAsia="Times New Roman"/>
                <w:sz w:val="22"/>
                <w:szCs w:val="22"/>
              </w:rPr>
            </w:pPr>
            <w:r w:rsidRPr="0076674B">
              <w:rPr>
                <w:rFonts w:eastAsia="Times New Roman"/>
                <w:sz w:val="22"/>
                <w:szCs w:val="22"/>
              </w:rPr>
              <w:t xml:space="preserve">(Buyer and </w:t>
            </w:r>
            <w:r w:rsidRPr="0076674B">
              <w:rPr>
                <w:rFonts w:eastAsia="Times New Roman"/>
                <w:sz w:val="22"/>
                <w:szCs w:val="22"/>
              </w:rPr>
              <w:t>Agent, as applicable)</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gridSpan w:val="2"/>
            <w:vAlign w:val="center"/>
            <w:hideMark/>
          </w:tcPr>
          <w:p w:rsidR="00DF30E3" w:rsidRPr="0076674B" w:rsidRDefault="00ED6DDA">
            <w:pPr>
              <w:rPr>
                <w:rFonts w:eastAsia="Times New Roman"/>
                <w:sz w:val="22"/>
                <w:szCs w:val="22"/>
              </w:rPr>
            </w:pPr>
            <w:r w:rsidRPr="0076674B">
              <w:rPr>
                <w:rFonts w:eastAsia="Times New Roman"/>
                <w:sz w:val="22"/>
                <w:szCs w:val="22"/>
              </w:rPr>
              <w:t> </w:t>
            </w:r>
          </w:p>
        </w:tc>
      </w:tr>
      <w:tr w:rsidR="00DF30E3" w:rsidRPr="0076674B">
        <w:trPr>
          <w:tblCellSpacing w:w="0" w:type="dxa"/>
        </w:trPr>
        <w:tc>
          <w:tcPr>
            <w:tcW w:w="2500" w:type="pct"/>
            <w:tcMar>
              <w:top w:w="0" w:type="dxa"/>
              <w:left w:w="0" w:type="dxa"/>
              <w:bottom w:w="20" w:type="dxa"/>
              <w:right w:w="0" w:type="dxa"/>
            </w:tcMar>
            <w:hideMark/>
          </w:tcPr>
          <w:p w:rsidR="00DF30E3" w:rsidRPr="0076674B" w:rsidRDefault="00ED6DDA">
            <w:pPr>
              <w:rPr>
                <w:rFonts w:eastAsia="Times New Roman"/>
                <w:sz w:val="22"/>
                <w:szCs w:val="22"/>
              </w:rPr>
            </w:pPr>
            <w:r w:rsidRPr="0076674B">
              <w:rPr>
                <w:rFonts w:eastAsia="Times New Roman"/>
                <w:sz w:val="22"/>
                <w:szCs w:val="22"/>
              </w:rPr>
              <w:t> </w:t>
            </w:r>
          </w:p>
        </w:tc>
        <w:tc>
          <w:tcPr>
            <w:tcW w:w="250" w:type="pct"/>
            <w:tcMar>
              <w:top w:w="0" w:type="dxa"/>
              <w:left w:w="0" w:type="dxa"/>
              <w:bottom w:w="20" w:type="dxa"/>
              <w:right w:w="0" w:type="dxa"/>
            </w:tcMar>
            <w:vAlign w:val="center"/>
            <w:hideMark/>
          </w:tcPr>
          <w:p w:rsidR="00DF30E3" w:rsidRPr="0076674B" w:rsidRDefault="00ED6DDA">
            <w:pPr>
              <w:rPr>
                <w:rFonts w:eastAsia="Times New Roman"/>
                <w:sz w:val="22"/>
                <w:szCs w:val="22"/>
              </w:rPr>
            </w:pPr>
            <w:r w:rsidRPr="0076674B">
              <w:rPr>
                <w:rFonts w:eastAsia="Times New Roman"/>
                <w:sz w:val="22"/>
                <w:szCs w:val="22"/>
              </w:rPr>
              <w:t>By: </w:t>
            </w:r>
          </w:p>
        </w:tc>
        <w:tc>
          <w:tcPr>
            <w:tcW w:w="2250" w:type="pct"/>
            <w:tcBorders>
              <w:bottom w:val="single" w:sz="8" w:space="0" w:color="000000"/>
            </w:tcBorders>
            <w:hideMark/>
          </w:tcPr>
          <w:p w:rsidR="00DF30E3" w:rsidRPr="0076674B" w:rsidRDefault="00ED6DDA">
            <w:pPr>
              <w:rPr>
                <w:rFonts w:eastAsia="Times New Roman"/>
                <w:sz w:val="22"/>
                <w:szCs w:val="22"/>
              </w:rPr>
            </w:pPr>
            <w:r w:rsidRPr="0076674B">
              <w:rPr>
                <w:rFonts w:eastAsia="Times New Roman"/>
                <w:sz w:val="22"/>
                <w:szCs w:val="22"/>
              </w:rPr>
              <w:t>/s/ Susan Mills</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vAlign w:val="center"/>
            <w:hideMark/>
          </w:tcPr>
          <w:p w:rsidR="00DF30E3" w:rsidRPr="0076674B" w:rsidRDefault="00ED6DDA">
            <w:pPr>
              <w:rPr>
                <w:rFonts w:eastAsia="Times New Roman"/>
                <w:sz w:val="22"/>
                <w:szCs w:val="22"/>
              </w:rPr>
            </w:pPr>
            <w:r w:rsidRPr="0076674B">
              <w:rPr>
                <w:rFonts w:eastAsia="Times New Roman"/>
                <w:sz w:val="22"/>
                <w:szCs w:val="22"/>
              </w:rPr>
              <w:t>Name:</w:t>
            </w:r>
          </w:p>
        </w:tc>
        <w:tc>
          <w:tcPr>
            <w:tcW w:w="0" w:type="auto"/>
            <w:hideMark/>
          </w:tcPr>
          <w:p w:rsidR="00DF30E3" w:rsidRPr="0076674B" w:rsidRDefault="00ED6DDA">
            <w:pPr>
              <w:rPr>
                <w:rFonts w:eastAsia="Times New Roman"/>
                <w:sz w:val="22"/>
                <w:szCs w:val="22"/>
              </w:rPr>
            </w:pPr>
            <w:r w:rsidRPr="0076674B">
              <w:rPr>
                <w:rFonts w:eastAsia="Times New Roman"/>
                <w:sz w:val="22"/>
                <w:szCs w:val="22"/>
              </w:rPr>
              <w:t>Susan Mills</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vAlign w:val="center"/>
            <w:hideMark/>
          </w:tcPr>
          <w:p w:rsidR="00DF30E3" w:rsidRPr="0076674B" w:rsidRDefault="00ED6DDA">
            <w:pPr>
              <w:rPr>
                <w:rFonts w:eastAsia="Times New Roman"/>
                <w:sz w:val="22"/>
                <w:szCs w:val="22"/>
              </w:rPr>
            </w:pPr>
            <w:r w:rsidRPr="0076674B">
              <w:rPr>
                <w:rFonts w:eastAsia="Times New Roman"/>
                <w:sz w:val="22"/>
                <w:szCs w:val="22"/>
              </w:rPr>
              <w:t>Title</w:t>
            </w:r>
          </w:p>
        </w:tc>
        <w:tc>
          <w:tcPr>
            <w:tcW w:w="0" w:type="auto"/>
            <w:hideMark/>
          </w:tcPr>
          <w:p w:rsidR="00DF30E3" w:rsidRPr="0076674B" w:rsidRDefault="00ED6DDA">
            <w:pPr>
              <w:rPr>
                <w:rFonts w:eastAsia="Times New Roman"/>
                <w:sz w:val="22"/>
                <w:szCs w:val="22"/>
              </w:rPr>
            </w:pPr>
            <w:r w:rsidRPr="0076674B">
              <w:rPr>
                <w:rFonts w:eastAsia="Times New Roman"/>
                <w:sz w:val="22"/>
                <w:szCs w:val="22"/>
              </w:rPr>
              <w:t>Vice President</w:t>
            </w: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vAlign w:val="center"/>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hideMark/>
          </w:tcPr>
          <w:p w:rsidR="00DF30E3" w:rsidRPr="0076674B" w:rsidRDefault="00ED6DDA">
            <w:pPr>
              <w:rPr>
                <w:rFonts w:eastAsia="Times New Roman"/>
                <w:sz w:val="22"/>
                <w:szCs w:val="22"/>
              </w:rPr>
            </w:pPr>
            <w:r w:rsidRPr="0076674B">
              <w:rPr>
                <w:rFonts w:eastAsia="Times New Roman"/>
                <w:sz w:val="22"/>
                <w:szCs w:val="22"/>
              </w:rPr>
              <w:t>Citibank, N.A.</w:t>
            </w:r>
          </w:p>
        </w:tc>
      </w:tr>
    </w:tbl>
    <w:p w:rsidR="00DF30E3" w:rsidRPr="0076674B" w:rsidRDefault="00ED6DDA">
      <w:pPr>
        <w:pStyle w:val="NormalWeb"/>
        <w:spacing w:before="0" w:beforeAutospacing="0" w:after="0" w:afterAutospacing="0"/>
        <w:ind w:left="4320"/>
        <w:rPr>
          <w:sz w:val="22"/>
          <w:szCs w:val="22"/>
        </w:rPr>
      </w:pPr>
      <w:r w:rsidRPr="0076674B">
        <w:rPr>
          <w:sz w:val="22"/>
          <w:szCs w:val="22"/>
        </w:rPr>
        <w:t> </w:t>
      </w:r>
    </w:p>
    <w:tbl>
      <w:tblPr>
        <w:tblW w:w="5000" w:type="pct"/>
        <w:tblCellSpacing w:w="0" w:type="dxa"/>
        <w:tblCellMar>
          <w:left w:w="0" w:type="dxa"/>
          <w:right w:w="0" w:type="dxa"/>
        </w:tblCellMar>
        <w:tblLook w:val="04A0"/>
      </w:tblPr>
      <w:tblGrid>
        <w:gridCol w:w="4320"/>
        <w:gridCol w:w="432"/>
        <w:gridCol w:w="3888"/>
      </w:tblGrid>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Acknowledged:</w:t>
            </w:r>
          </w:p>
        </w:tc>
        <w:tc>
          <w:tcPr>
            <w:tcW w:w="0" w:type="auto"/>
            <w:gridSpan w:val="2"/>
            <w:vAlign w:val="center"/>
            <w:hideMark/>
          </w:tcPr>
          <w:p w:rsidR="00DF30E3" w:rsidRPr="0076674B" w:rsidRDefault="00DF30E3">
            <w:pPr>
              <w:rPr>
                <w:rFonts w:eastAsia="Times New Roman"/>
                <w:sz w:val="22"/>
                <w:szCs w:val="22"/>
              </w:rPr>
            </w:pP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gridSpan w:val="2"/>
            <w:vAlign w:val="center"/>
            <w:hideMark/>
          </w:tcPr>
          <w:p w:rsidR="00DF30E3" w:rsidRPr="0076674B" w:rsidRDefault="00DF30E3">
            <w:pPr>
              <w:rPr>
                <w:rFonts w:eastAsia="Times New Roman"/>
                <w:sz w:val="22"/>
                <w:szCs w:val="22"/>
              </w:rPr>
            </w:pP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PENNYMAC MORTGAGE INVESTMENT TRUST</w:t>
            </w:r>
          </w:p>
        </w:tc>
        <w:tc>
          <w:tcPr>
            <w:tcW w:w="0" w:type="auto"/>
            <w:gridSpan w:val="2"/>
            <w:vAlign w:val="center"/>
            <w:hideMark/>
          </w:tcPr>
          <w:p w:rsidR="00DF30E3" w:rsidRPr="0076674B" w:rsidRDefault="00ED6DDA">
            <w:pPr>
              <w:rPr>
                <w:rFonts w:eastAsia="Times New Roman"/>
                <w:sz w:val="22"/>
                <w:szCs w:val="22"/>
              </w:rPr>
            </w:pPr>
            <w:r w:rsidRPr="0076674B">
              <w:rPr>
                <w:rFonts w:eastAsia="Times New Roman"/>
                <w:sz w:val="22"/>
                <w:szCs w:val="22"/>
              </w:rPr>
              <w:t> </w:t>
            </w:r>
          </w:p>
        </w:tc>
      </w:tr>
      <w:tr w:rsidR="00DF30E3" w:rsidRPr="0076674B">
        <w:trPr>
          <w:tblCellSpacing w:w="0" w:type="dxa"/>
        </w:trPr>
        <w:tc>
          <w:tcPr>
            <w:tcW w:w="2500" w:type="pct"/>
            <w:hideMark/>
          </w:tcPr>
          <w:p w:rsidR="00DF30E3" w:rsidRPr="0076674B" w:rsidRDefault="00ED6DDA">
            <w:pPr>
              <w:rPr>
                <w:rFonts w:eastAsia="Times New Roman"/>
                <w:sz w:val="22"/>
                <w:szCs w:val="22"/>
              </w:rPr>
            </w:pPr>
            <w:r w:rsidRPr="0076674B">
              <w:rPr>
                <w:rFonts w:eastAsia="Times New Roman"/>
                <w:sz w:val="22"/>
                <w:szCs w:val="22"/>
              </w:rPr>
              <w:t> </w:t>
            </w:r>
          </w:p>
        </w:tc>
        <w:tc>
          <w:tcPr>
            <w:tcW w:w="250" w:type="pct"/>
            <w:vAlign w:val="center"/>
            <w:hideMark/>
          </w:tcPr>
          <w:p w:rsidR="00DF30E3" w:rsidRPr="0076674B" w:rsidRDefault="00DF30E3">
            <w:pPr>
              <w:rPr>
                <w:rFonts w:eastAsia="Times New Roman"/>
                <w:sz w:val="22"/>
                <w:szCs w:val="22"/>
              </w:rPr>
            </w:pPr>
          </w:p>
        </w:tc>
        <w:tc>
          <w:tcPr>
            <w:tcW w:w="2250" w:type="pct"/>
            <w:hideMark/>
          </w:tcPr>
          <w:p w:rsidR="00DF30E3" w:rsidRPr="0076674B" w:rsidRDefault="00DF30E3">
            <w:pPr>
              <w:rPr>
                <w:rFonts w:eastAsia="Times New Roman"/>
                <w:sz w:val="22"/>
                <w:szCs w:val="22"/>
              </w:rPr>
            </w:pP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 xml:space="preserve">By: </w:t>
            </w:r>
            <w:r w:rsidRPr="0076674B">
              <w:rPr>
                <w:rFonts w:eastAsia="Times New Roman"/>
                <w:sz w:val="22"/>
                <w:szCs w:val="22"/>
                <w:u w:val="single"/>
              </w:rPr>
              <w:t>/s/ Pamela Marsh                                                </w:t>
            </w:r>
          </w:p>
        </w:tc>
        <w:tc>
          <w:tcPr>
            <w:tcW w:w="0" w:type="auto"/>
            <w:vAlign w:val="center"/>
            <w:hideMark/>
          </w:tcPr>
          <w:p w:rsidR="00DF30E3" w:rsidRPr="0076674B" w:rsidRDefault="00DF30E3">
            <w:pPr>
              <w:rPr>
                <w:rFonts w:eastAsia="Times New Roman"/>
                <w:sz w:val="22"/>
                <w:szCs w:val="22"/>
              </w:rPr>
            </w:pPr>
          </w:p>
        </w:tc>
        <w:tc>
          <w:tcPr>
            <w:tcW w:w="0" w:type="auto"/>
            <w:hideMark/>
          </w:tcPr>
          <w:p w:rsidR="00DF30E3" w:rsidRPr="0076674B" w:rsidRDefault="00DF30E3">
            <w:pPr>
              <w:rPr>
                <w:rFonts w:eastAsia="Times New Roman"/>
                <w:sz w:val="22"/>
                <w:szCs w:val="22"/>
              </w:rPr>
            </w:pP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Name:     Pamela Marsh</w:t>
            </w:r>
          </w:p>
        </w:tc>
        <w:tc>
          <w:tcPr>
            <w:tcW w:w="0" w:type="auto"/>
            <w:vAlign w:val="center"/>
            <w:hideMark/>
          </w:tcPr>
          <w:p w:rsidR="00DF30E3" w:rsidRPr="0076674B" w:rsidRDefault="00DF30E3">
            <w:pPr>
              <w:rPr>
                <w:rFonts w:eastAsia="Times New Roman"/>
                <w:sz w:val="22"/>
                <w:szCs w:val="22"/>
              </w:rPr>
            </w:pPr>
          </w:p>
        </w:tc>
        <w:tc>
          <w:tcPr>
            <w:tcW w:w="0" w:type="auto"/>
            <w:hideMark/>
          </w:tcPr>
          <w:p w:rsidR="00DF30E3" w:rsidRPr="0076674B" w:rsidRDefault="00DF30E3">
            <w:pPr>
              <w:rPr>
                <w:rFonts w:eastAsia="Times New Roman"/>
                <w:sz w:val="22"/>
                <w:szCs w:val="22"/>
              </w:rPr>
            </w:pPr>
          </w:p>
        </w:tc>
      </w:tr>
      <w:tr w:rsidR="00DF30E3" w:rsidRPr="0076674B">
        <w:trPr>
          <w:tblCellSpacing w:w="0" w:type="dxa"/>
        </w:trPr>
        <w:tc>
          <w:tcPr>
            <w:tcW w:w="0" w:type="auto"/>
            <w:hideMark/>
          </w:tcPr>
          <w:p w:rsidR="00DF30E3" w:rsidRPr="0076674B" w:rsidRDefault="00ED6DDA">
            <w:pPr>
              <w:rPr>
                <w:rFonts w:eastAsia="Times New Roman"/>
                <w:sz w:val="22"/>
                <w:szCs w:val="22"/>
              </w:rPr>
            </w:pPr>
            <w:r w:rsidRPr="0076674B">
              <w:rPr>
                <w:rFonts w:eastAsia="Times New Roman"/>
                <w:sz w:val="22"/>
                <w:szCs w:val="22"/>
              </w:rPr>
              <w:t>Title:       Executive Vice President, Treasurer</w:t>
            </w:r>
          </w:p>
        </w:tc>
        <w:tc>
          <w:tcPr>
            <w:tcW w:w="0" w:type="auto"/>
            <w:vAlign w:val="center"/>
            <w:hideMark/>
          </w:tcPr>
          <w:p w:rsidR="00DF30E3" w:rsidRPr="0076674B" w:rsidRDefault="00ED6DDA">
            <w:pPr>
              <w:rPr>
                <w:rFonts w:eastAsia="Times New Roman"/>
                <w:sz w:val="22"/>
                <w:szCs w:val="22"/>
              </w:rPr>
            </w:pPr>
            <w:r w:rsidRPr="0076674B">
              <w:rPr>
                <w:rFonts w:eastAsia="Times New Roman"/>
                <w:sz w:val="22"/>
                <w:szCs w:val="22"/>
              </w:rPr>
              <w:t> </w:t>
            </w:r>
          </w:p>
        </w:tc>
        <w:tc>
          <w:tcPr>
            <w:tcW w:w="0" w:type="auto"/>
            <w:hideMark/>
          </w:tcPr>
          <w:p w:rsidR="00DF30E3" w:rsidRPr="0076674B" w:rsidRDefault="00DF30E3">
            <w:pPr>
              <w:rPr>
                <w:rFonts w:eastAsia="Times New Roman"/>
                <w:sz w:val="22"/>
                <w:szCs w:val="22"/>
              </w:rPr>
            </w:pPr>
          </w:p>
        </w:tc>
      </w:tr>
    </w:tbl>
    <w:p w:rsidR="00DF30E3" w:rsidRPr="0076674B" w:rsidRDefault="00ED6DDA">
      <w:pPr>
        <w:pStyle w:val="NormalWeb"/>
        <w:spacing w:before="0" w:beforeAutospacing="0" w:after="0" w:afterAutospacing="0"/>
        <w:rPr>
          <w:sz w:val="22"/>
          <w:szCs w:val="22"/>
        </w:rPr>
      </w:pPr>
      <w:r w:rsidRPr="0076674B">
        <w:rPr>
          <w:sz w:val="22"/>
          <w:szCs w:val="22"/>
        </w:rPr>
        <w:t> </w:t>
      </w:r>
    </w:p>
    <w:sectPr w:rsidR="00DF30E3" w:rsidRPr="0076674B" w:rsidSect="00DF30E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proofState w:spelling="clean" w:grammar="clean"/>
  <w:stylePaneFormatFilter w:val="1021"/>
  <w:defaultTabStop w:val="720"/>
  <w:noPunctuationKerning/>
  <w:characterSpacingControl w:val="doNotCompress"/>
  <w:compat>
    <w:doNotSnapToGridInCell/>
    <w:doNotWrapTextWithPunct/>
    <w:doNotUseEastAsianBreakRules/>
    <w:growAutofit/>
  </w:compat>
  <w:rsids>
    <w:rsidRoot w:val="00DF30E3"/>
    <w:rsid w:val="0076674B"/>
    <w:rsid w:val="00B54182"/>
    <w:rsid w:val="00DF30E3"/>
    <w:rsid w:val="00ED6D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lang w:val="en-CA" w:eastAsia="en-CA"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30E3"/>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DF30E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1323203">
      <w:marLeft w:val="0"/>
      <w:marRight w:val="0"/>
      <w:marTop w:val="120"/>
      <w:marBottom w:val="120"/>
      <w:divBdr>
        <w:top w:val="none" w:sz="0" w:space="0" w:color="auto"/>
        <w:left w:val="none" w:sz="0" w:space="0" w:color="auto"/>
        <w:bottom w:val="none" w:sz="0" w:space="0" w:color="auto"/>
        <w:right w:val="none" w:sz="0" w:space="0" w:color="auto"/>
      </w:divBdr>
    </w:div>
    <w:div w:id="81493432">
      <w:marLeft w:val="0"/>
      <w:marRight w:val="0"/>
      <w:marTop w:val="120"/>
      <w:marBottom w:val="120"/>
      <w:divBdr>
        <w:top w:val="none" w:sz="0" w:space="0" w:color="auto"/>
        <w:left w:val="none" w:sz="0" w:space="0" w:color="auto"/>
        <w:bottom w:val="none" w:sz="0" w:space="0" w:color="auto"/>
        <w:right w:val="none" w:sz="0" w:space="0" w:color="auto"/>
      </w:divBdr>
    </w:div>
    <w:div w:id="217517620">
      <w:marLeft w:val="0"/>
      <w:marRight w:val="0"/>
      <w:marTop w:val="120"/>
      <w:marBottom w:val="120"/>
      <w:divBdr>
        <w:top w:val="none" w:sz="0" w:space="0" w:color="auto"/>
        <w:left w:val="none" w:sz="0" w:space="0" w:color="auto"/>
        <w:bottom w:val="none" w:sz="0" w:space="0" w:color="auto"/>
        <w:right w:val="none" w:sz="0" w:space="0" w:color="auto"/>
      </w:divBdr>
    </w:div>
    <w:div w:id="283737136">
      <w:marLeft w:val="0"/>
      <w:marRight w:val="0"/>
      <w:marTop w:val="120"/>
      <w:marBottom w:val="120"/>
      <w:divBdr>
        <w:top w:val="none" w:sz="0" w:space="0" w:color="auto"/>
        <w:left w:val="none" w:sz="0" w:space="0" w:color="auto"/>
        <w:bottom w:val="none" w:sz="0" w:space="0" w:color="auto"/>
        <w:right w:val="none" w:sz="0" w:space="0" w:color="auto"/>
      </w:divBdr>
    </w:div>
    <w:div w:id="452985950">
      <w:marLeft w:val="0"/>
      <w:marRight w:val="0"/>
      <w:marTop w:val="120"/>
      <w:marBottom w:val="120"/>
      <w:divBdr>
        <w:top w:val="none" w:sz="0" w:space="0" w:color="auto"/>
        <w:left w:val="none" w:sz="0" w:space="0" w:color="auto"/>
        <w:bottom w:val="single" w:sz="8" w:space="0" w:color="000000"/>
        <w:right w:val="none" w:sz="0" w:space="0" w:color="auto"/>
      </w:divBdr>
    </w:div>
    <w:div w:id="514540141">
      <w:marLeft w:val="0"/>
      <w:marRight w:val="0"/>
      <w:marTop w:val="120"/>
      <w:marBottom w:val="120"/>
      <w:divBdr>
        <w:top w:val="none" w:sz="0" w:space="0" w:color="auto"/>
        <w:left w:val="none" w:sz="0" w:space="0" w:color="auto"/>
        <w:bottom w:val="single" w:sz="8" w:space="0" w:color="000000"/>
        <w:right w:val="none" w:sz="0" w:space="0" w:color="auto"/>
      </w:divBdr>
    </w:div>
    <w:div w:id="559827998">
      <w:marLeft w:val="0"/>
      <w:marRight w:val="0"/>
      <w:marTop w:val="120"/>
      <w:marBottom w:val="120"/>
      <w:divBdr>
        <w:top w:val="none" w:sz="0" w:space="0" w:color="auto"/>
        <w:left w:val="none" w:sz="0" w:space="0" w:color="auto"/>
        <w:bottom w:val="single" w:sz="8" w:space="0" w:color="000000"/>
        <w:right w:val="none" w:sz="0" w:space="0" w:color="auto"/>
      </w:divBdr>
    </w:div>
    <w:div w:id="564951798">
      <w:marLeft w:val="0"/>
      <w:marRight w:val="0"/>
      <w:marTop w:val="120"/>
      <w:marBottom w:val="120"/>
      <w:divBdr>
        <w:top w:val="none" w:sz="0" w:space="0" w:color="auto"/>
        <w:left w:val="none" w:sz="0" w:space="0" w:color="auto"/>
        <w:bottom w:val="none" w:sz="0" w:space="0" w:color="auto"/>
        <w:right w:val="none" w:sz="0" w:space="0" w:color="auto"/>
      </w:divBdr>
    </w:div>
    <w:div w:id="1272513653">
      <w:marLeft w:val="0"/>
      <w:marRight w:val="0"/>
      <w:marTop w:val="120"/>
      <w:marBottom w:val="120"/>
      <w:divBdr>
        <w:top w:val="none" w:sz="0" w:space="0" w:color="auto"/>
        <w:left w:val="none" w:sz="0" w:space="0" w:color="auto"/>
        <w:bottom w:val="none" w:sz="0" w:space="0" w:color="auto"/>
        <w:right w:val="none" w:sz="0" w:space="0" w:color="auto"/>
      </w:divBdr>
    </w:div>
    <w:div w:id="1555582297">
      <w:marLeft w:val="0"/>
      <w:marRight w:val="0"/>
      <w:marTop w:val="120"/>
      <w:marBottom w:val="120"/>
      <w:divBdr>
        <w:top w:val="none" w:sz="0" w:space="0" w:color="auto"/>
        <w:left w:val="none" w:sz="0" w:space="0" w:color="auto"/>
        <w:bottom w:val="none" w:sz="0" w:space="0" w:color="auto"/>
        <w:right w:val="none" w:sz="0" w:space="0" w:color="auto"/>
      </w:divBdr>
    </w:div>
    <w:div w:id="1591311015">
      <w:marLeft w:val="0"/>
      <w:marRight w:val="0"/>
      <w:marTop w:val="120"/>
      <w:marBottom w:val="120"/>
      <w:divBdr>
        <w:top w:val="none" w:sz="0" w:space="0" w:color="auto"/>
        <w:left w:val="none" w:sz="0" w:space="0" w:color="auto"/>
        <w:bottom w:val="single" w:sz="8" w:space="0" w:color="000000"/>
        <w:right w:val="none" w:sz="0" w:space="0" w:color="auto"/>
      </w:divBdr>
    </w:div>
    <w:div w:id="1922524317">
      <w:marLeft w:val="0"/>
      <w:marRight w:val="0"/>
      <w:marTop w:val="120"/>
      <w:marBottom w:val="120"/>
      <w:divBdr>
        <w:top w:val="none" w:sz="0" w:space="0" w:color="auto"/>
        <w:left w:val="none" w:sz="0" w:space="0" w:color="auto"/>
        <w:bottom w:val="single" w:sz="8" w:space="0" w:color="000000"/>
        <w:right w:val="none" w:sz="0" w:space="0" w:color="auto"/>
      </w:divBdr>
    </w:div>
    <w:div w:id="1992099103">
      <w:marLeft w:val="0"/>
      <w:marRight w:val="0"/>
      <w:marTop w:val="120"/>
      <w:marBottom w:val="120"/>
      <w:divBdr>
        <w:top w:val="none" w:sz="0" w:space="0" w:color="auto"/>
        <w:left w:val="none" w:sz="0" w:space="0" w:color="auto"/>
        <w:bottom w:val="single" w:sz="8" w:space="0" w:color="000000"/>
        <w:right w:val="none" w:sz="0" w:space="0" w:color="auto"/>
      </w:divBdr>
    </w:div>
    <w:div w:id="2135638648">
      <w:marLeft w:val="0"/>
      <w:marRight w:val="0"/>
      <w:marTop w:val="120"/>
      <w:marBottom w:val="120"/>
      <w:divBdr>
        <w:top w:val="none" w:sz="0" w:space="0" w:color="auto"/>
        <w:left w:val="none" w:sz="0" w:space="0" w:color="auto"/>
        <w:bottom w:val="single" w:sz="8"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BE9B33-C8AC-4887-8F9F-5D26FD6EAC87}"/>
</file>

<file path=customXml/itemProps2.xml><?xml version="1.0" encoding="utf-8"?>
<ds:datastoreItem xmlns:ds="http://schemas.openxmlformats.org/officeDocument/2006/customXml" ds:itemID="{43162219-4462-4151-AED6-1C41A729C421}"/>
</file>

<file path=customXml/itemProps3.xml><?xml version="1.0" encoding="utf-8"?>
<ds:datastoreItem xmlns:ds="http://schemas.openxmlformats.org/officeDocument/2006/customXml" ds:itemID="{E78C694E-DBE0-4111-AC8B-51816C0C125F}"/>
</file>

<file path=docProps/app.xml><?xml version="1.0" encoding="utf-8"?>
<Properties xmlns="http://schemas.openxmlformats.org/officeDocument/2006/extended-properties" xmlns:vt="http://schemas.openxmlformats.org/officeDocument/2006/docPropsVTypes">
  <Template>Normal</Template>
  <TotalTime>0</TotalTime>
  <Pages>8</Pages>
  <Words>3015</Words>
  <Characters>17187</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20162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2015-11-03T19:11:00Z</dcterms:created>
  <dcterms:modified xsi:type="dcterms:W3CDTF">2015-11-03T19:11:00Z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GEAAO+/T9t20xwkbGWfO/OEnLTS26eTh52kd1vhVI78JWC+vQpoI0+REt/ytikhduYZtJislA+WKZwQA
FWbbRGXmyKapAd3Sg1I/VckycW3MgTcvpcLcNidzCRg0tQPiVEmXWnfso5IH2IRdrm+28ashu665
ZnhkF9ZHgjdjGvCiBCtPaB0TK8Dy9VI/SVrFdKAWPpSWdgf0FCFgaoXRjxyBFDfG+iFxjl7NlmEt
0lckKb6sh9zbx4Au1</vt:lpwstr>
  </property>
  <property fmtid="{D5CDD505-2E9C-101B-9397-08002B2CF9AE}" pid="3" name="MAIL_MSG_ID2">
    <vt:lpwstr>HqkJStKhJiZ</vt:lpwstr>
  </property>
  <property fmtid="{D5CDD505-2E9C-101B-9397-08002B2CF9AE}" pid="4" name="RESPONSE_SENDER_NAME">
    <vt:lpwstr>gAAAdya76B99d4hLGUR1rQ+8TxTv0GGEPdix</vt:lpwstr>
  </property>
  <property fmtid="{D5CDD505-2E9C-101B-9397-08002B2CF9AE}" pid="5" name="EMAIL_OWNER_ADDRESS">
    <vt:lpwstr>aBAATdur04m0/epqwU7unvH5uXtAqrPJHdkiOdrK2kg1PK+vsjDH1NiMsYJdIWw4a4q/YxS0uvKe9nsL
n0+Y7XdBFw==</vt:lpwstr>
  </property>
  <property fmtid="{D5CDD505-2E9C-101B-9397-08002B2CF9AE}" pid="6" name="ContentTypeId">
    <vt:lpwstr>0x010100753FE2BD86E76B4DAA5BD0ECE9CA712D</vt:lpwstr>
  </property>
</Properties>
</file>