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D8197" w14:textId="3B409CAC" w:rsidR="0077678F" w:rsidRDefault="001A46AF" w:rsidP="0077678F">
      <w:pPr>
        <w:shd w:val="clear" w:color="auto" w:fill="FFFFFF"/>
        <w:spacing w:after="0" w:line="240" w:lineRule="auto"/>
        <w:outlineLvl w:val="4"/>
        <w:rPr>
          <w:rFonts w:eastAsia="Times New Roman" w:cstheme="minorHAnsi"/>
        </w:rPr>
      </w:pPr>
      <w:r>
        <w:rPr>
          <w:rFonts w:eastAsia="Times New Roman" w:cstheme="minorHAnsi"/>
          <w:b/>
          <w:bCs/>
          <w:color w:val="B8131A"/>
        </w:rPr>
        <w:t>Background</w:t>
      </w:r>
    </w:p>
    <w:p w14:paraId="08F135C1" w14:textId="68E4B143" w:rsidR="0077678F" w:rsidRPr="0058456E" w:rsidRDefault="0077678F" w:rsidP="0077678F">
      <w:pPr>
        <w:shd w:val="clear" w:color="auto" w:fill="FFFFFF"/>
        <w:spacing w:after="0" w:line="240" w:lineRule="auto"/>
        <w:outlineLvl w:val="4"/>
        <w:rPr>
          <w:rFonts w:eastAsia="Times New Roman" w:cstheme="minorHAnsi"/>
        </w:rPr>
      </w:pPr>
      <w:r>
        <w:t>CTTI has recommended</w:t>
      </w:r>
      <w:r>
        <w:rPr>
          <w:rStyle w:val="FootnoteReference"/>
        </w:rPr>
        <w:footnoteReference w:id="1"/>
      </w:r>
      <w:r>
        <w:t xml:space="preserve"> the use of a single IRB of record</w:t>
      </w:r>
      <w:r w:rsidR="009B23A3">
        <w:rPr>
          <w:rStyle w:val="FootnoteReference"/>
          <w:rFonts w:eastAsia="Times New Roman" w:cstheme="minorHAnsi"/>
        </w:rPr>
        <w:footnoteReference w:id="2"/>
      </w:r>
      <w:r w:rsidR="009B23A3" w:rsidRPr="00C34560">
        <w:rPr>
          <w:rFonts w:eastAsia="Times New Roman" w:cstheme="minorHAnsi"/>
        </w:rPr>
        <w:t xml:space="preserve"> </w:t>
      </w:r>
      <w:r>
        <w:t xml:space="preserve">for multi-center clinical trials. To facilitate adoption of this model, CTTI has developed tools and resources for sponsors, institutions, and organizations that serve as a </w:t>
      </w:r>
      <w:r w:rsidR="009B23A3">
        <w:t>central IRB</w:t>
      </w:r>
      <w:r>
        <w:t xml:space="preserve">. </w:t>
      </w:r>
      <w:r w:rsidRPr="0058456E">
        <w:rPr>
          <w:rFonts w:eastAsia="Times New Roman" w:cstheme="minorHAnsi"/>
          <w:bCs/>
        </w:rPr>
        <w:t xml:space="preserve">This </w:t>
      </w:r>
      <w:r>
        <w:rPr>
          <w:rFonts w:eastAsia="Times New Roman" w:cstheme="minorHAnsi"/>
          <w:bCs/>
        </w:rPr>
        <w:t xml:space="preserve">template </w:t>
      </w:r>
      <w:r w:rsidRPr="0058456E">
        <w:rPr>
          <w:rFonts w:eastAsia="Times New Roman" w:cstheme="minorHAnsi"/>
          <w:bCs/>
        </w:rPr>
        <w:t>IRB Authorization Agreement</w:t>
      </w:r>
      <w:r>
        <w:rPr>
          <w:rFonts w:eastAsia="Times New Roman" w:cstheme="minorHAnsi"/>
          <w:bCs/>
        </w:rPr>
        <w:t xml:space="preserve"> (IAA)</w:t>
      </w:r>
      <w:r w:rsidRPr="0058456E">
        <w:rPr>
          <w:rFonts w:eastAsia="Times New Roman" w:cstheme="minorHAnsi"/>
          <w:bCs/>
        </w:rPr>
        <w:t xml:space="preserve"> is </w:t>
      </w:r>
      <w:r>
        <w:rPr>
          <w:rFonts w:eastAsia="Times New Roman" w:cstheme="minorHAnsi"/>
          <w:bCs/>
        </w:rPr>
        <w:t>intended to</w:t>
      </w:r>
      <w:r w:rsidRPr="0058456E">
        <w:rPr>
          <w:rFonts w:eastAsia="Times New Roman" w:cstheme="minorHAnsi"/>
          <w:bCs/>
        </w:rPr>
        <w:t xml:space="preserve"> address a</w:t>
      </w:r>
      <w:r>
        <w:rPr>
          <w:rFonts w:eastAsia="Times New Roman" w:cstheme="minorHAnsi"/>
        </w:rPr>
        <w:t>n</w:t>
      </w:r>
      <w:r w:rsidRPr="0058456E">
        <w:rPr>
          <w:rFonts w:eastAsia="Times New Roman" w:cstheme="minorHAnsi"/>
        </w:rPr>
        <w:t xml:space="preserve"> administrative concern </w:t>
      </w:r>
      <w:r>
        <w:rPr>
          <w:rFonts w:eastAsia="Times New Roman" w:cstheme="minorHAnsi"/>
        </w:rPr>
        <w:t xml:space="preserve">about </w:t>
      </w:r>
      <w:r w:rsidRPr="0058456E">
        <w:rPr>
          <w:rFonts w:eastAsia="Times New Roman" w:cstheme="minorHAnsi"/>
        </w:rPr>
        <w:t>using a</w:t>
      </w:r>
      <w:r>
        <w:rPr>
          <w:rFonts w:eastAsia="Times New Roman" w:cstheme="minorHAnsi"/>
        </w:rPr>
        <w:t xml:space="preserve"> </w:t>
      </w:r>
      <w:r w:rsidRPr="0058456E">
        <w:rPr>
          <w:rFonts w:eastAsia="Times New Roman" w:cstheme="minorHAnsi"/>
        </w:rPr>
        <w:t>single central IRB for multicenter clinical trials</w:t>
      </w:r>
      <w:r>
        <w:rPr>
          <w:rFonts w:eastAsia="Times New Roman" w:cstheme="minorHAnsi"/>
        </w:rPr>
        <w:t>.</w:t>
      </w:r>
    </w:p>
    <w:p w14:paraId="28A7F3EC" w14:textId="77777777" w:rsidR="0077678F" w:rsidRPr="00B82433" w:rsidRDefault="0077678F" w:rsidP="0077678F">
      <w:pPr>
        <w:shd w:val="clear" w:color="auto" w:fill="FFFFFF"/>
        <w:spacing w:after="0" w:line="420" w:lineRule="atLeast"/>
        <w:outlineLvl w:val="4"/>
        <w:rPr>
          <w:rFonts w:eastAsia="Times New Roman" w:cstheme="minorHAnsi"/>
          <w:b/>
          <w:bCs/>
          <w:color w:val="B8131A"/>
        </w:rPr>
      </w:pPr>
      <w:r>
        <w:rPr>
          <w:rFonts w:eastAsia="Times New Roman" w:cstheme="minorHAnsi"/>
          <w:b/>
          <w:bCs/>
          <w:color w:val="B8131A"/>
        </w:rPr>
        <w:t>How was the template IRB Authorization Agreement drafted</w:t>
      </w:r>
      <w:r w:rsidRPr="00C34560">
        <w:rPr>
          <w:rFonts w:eastAsia="Times New Roman" w:cstheme="minorHAnsi"/>
          <w:b/>
          <w:bCs/>
          <w:color w:val="B8131A"/>
        </w:rPr>
        <w:t>?</w:t>
      </w:r>
    </w:p>
    <w:p w14:paraId="4E457129" w14:textId="77777777" w:rsidR="0077678F" w:rsidRPr="00E90CED" w:rsidRDefault="0077678F" w:rsidP="0077678F">
      <w:pPr>
        <w:shd w:val="clear" w:color="auto" w:fill="FFFFFF"/>
        <w:spacing w:after="0" w:line="240" w:lineRule="auto"/>
        <w:outlineLvl w:val="4"/>
        <w:rPr>
          <w:rFonts w:eastAsia="Times New Roman" w:cstheme="minorHAnsi"/>
          <w:bCs/>
        </w:rPr>
      </w:pPr>
      <w:r w:rsidRPr="00E90CED">
        <w:rPr>
          <w:rFonts w:eastAsia="Times New Roman" w:cstheme="minorHAnsi"/>
          <w:bCs/>
        </w:rPr>
        <w:t>This template</w:t>
      </w:r>
      <w:r>
        <w:rPr>
          <w:rFonts w:eastAsia="Times New Roman" w:cstheme="minorHAnsi"/>
          <w:bCs/>
        </w:rPr>
        <w:t xml:space="preserve"> IAA</w:t>
      </w:r>
      <w:r w:rsidRPr="00E90CED">
        <w:rPr>
          <w:rFonts w:eastAsia="Times New Roman" w:cstheme="minorHAnsi"/>
          <w:bCs/>
        </w:rPr>
        <w:t xml:space="preserve"> is the work product of the CTTI Advancing the Use of Central IRBs for Multicenter Clinical Trials </w:t>
      </w:r>
      <w:r>
        <w:rPr>
          <w:rFonts w:eastAsia="Times New Roman" w:cstheme="minorHAnsi"/>
          <w:bCs/>
        </w:rPr>
        <w:t>project team and an additional 46</w:t>
      </w:r>
      <w:r w:rsidRPr="00E90CED">
        <w:rPr>
          <w:rFonts w:eastAsia="Times New Roman" w:cstheme="minorHAnsi"/>
          <w:bCs/>
        </w:rPr>
        <w:t xml:space="preserve"> experts from the Human Research Protection Program community who came together dur</w:t>
      </w:r>
      <w:r>
        <w:rPr>
          <w:rFonts w:eastAsia="Times New Roman" w:cstheme="minorHAnsi"/>
          <w:bCs/>
        </w:rPr>
        <w:t>ing a 2-day expert meeting held June 12-13</w:t>
      </w:r>
      <w:r w:rsidRPr="00E90CED">
        <w:rPr>
          <w:rFonts w:eastAsia="Times New Roman" w:cstheme="minorHAnsi"/>
          <w:bCs/>
        </w:rPr>
        <w:t xml:space="preserve">, 2014 in Rockville, MD.  </w:t>
      </w:r>
    </w:p>
    <w:p w14:paraId="59131639" w14:textId="77777777" w:rsidR="0077678F" w:rsidRDefault="0077678F" w:rsidP="0077678F">
      <w:pPr>
        <w:spacing w:after="0"/>
        <w:rPr>
          <w:rFonts w:cstheme="minorHAnsi"/>
        </w:rPr>
      </w:pPr>
      <w:r>
        <w:rPr>
          <w:rFonts w:cstheme="minorHAnsi"/>
        </w:rPr>
        <w:t xml:space="preserve">Prior to the expert meeting, a request was made on the IRB Forum Listserv in July 2013 asking for members of the Institutional Review Board (IRB) community who allow reliance on or who serve as a central IRBs to share their template agreements with the CTTI project team.  Twenty institutions and organizations agreed to be part of the initial data collection process where template IRB agreements were reviewed to determine domains, the kinds of clauses included in each domain, and the frequency that those clauses appeared.  Once common domains and clauses were established, the CTTI Central IRB Advancement project team reviewed example clauses and created a working draft which was then further evaluated during an expert meeting and finally validated by attendees post meeting.  </w:t>
      </w:r>
    </w:p>
    <w:p w14:paraId="4C486ADD" w14:textId="77777777" w:rsidR="0077678F" w:rsidRPr="009C0655" w:rsidRDefault="0077678F" w:rsidP="0077678F">
      <w:pPr>
        <w:shd w:val="clear" w:color="auto" w:fill="FFFFFF"/>
        <w:spacing w:after="0" w:line="420" w:lineRule="atLeast"/>
        <w:outlineLvl w:val="4"/>
        <w:rPr>
          <w:rFonts w:eastAsia="Times New Roman" w:cstheme="minorHAnsi"/>
          <w:bCs/>
        </w:rPr>
      </w:pPr>
      <w:r w:rsidRPr="009C0655">
        <w:rPr>
          <w:rFonts w:eastAsia="Times New Roman" w:cstheme="minorHAnsi"/>
          <w:bCs/>
        </w:rPr>
        <w:t xml:space="preserve">What kinds of IRBs submitted their template agreements for review? </w:t>
      </w:r>
    </w:p>
    <w:p w14:paraId="1138782E" w14:textId="77777777" w:rsidR="0077678F" w:rsidRDefault="0077678F" w:rsidP="0077678F">
      <w:pPr>
        <w:shd w:val="clear" w:color="auto" w:fill="FFFFFF"/>
        <w:spacing w:after="0" w:line="200" w:lineRule="atLeast"/>
        <w:outlineLvl w:val="4"/>
        <w:rPr>
          <w:rFonts w:eastAsia="Times New Roman" w:cstheme="minorHAnsi"/>
          <w:bCs/>
        </w:rPr>
      </w:pPr>
      <w:r w:rsidRPr="00A00D11">
        <w:rPr>
          <w:rFonts w:eastAsia="Times New Roman" w:cstheme="minorHAnsi"/>
          <w:bCs/>
        </w:rPr>
        <w:t xml:space="preserve">Note: total </w:t>
      </w:r>
      <w:r>
        <w:rPr>
          <w:rFonts w:eastAsia="Times New Roman" w:cstheme="minorHAnsi"/>
          <w:bCs/>
        </w:rPr>
        <w:t xml:space="preserve">is </w:t>
      </w:r>
      <w:r w:rsidRPr="006E0B86">
        <w:rPr>
          <w:rFonts w:eastAsia="Times New Roman" w:cstheme="minorHAnsi"/>
          <w:bCs/>
        </w:rPr>
        <w:t>greater than 100% as IRBs may have been associated with more than one role</w:t>
      </w:r>
      <w:r w:rsidRPr="00A00D11">
        <w:rPr>
          <w:rFonts w:eastAsia="Times New Roman" w:cstheme="minorHAnsi"/>
          <w:bCs/>
        </w:rPr>
        <w:t>.</w:t>
      </w:r>
    </w:p>
    <w:p w14:paraId="3E6732A9" w14:textId="77777777" w:rsidR="0077678F" w:rsidRPr="00B82433" w:rsidRDefault="0077678F" w:rsidP="0077678F">
      <w:pPr>
        <w:pStyle w:val="ListParagraph"/>
        <w:numPr>
          <w:ilvl w:val="0"/>
          <w:numId w:val="16"/>
        </w:numPr>
        <w:spacing w:after="0"/>
        <w:rPr>
          <w:rFonts w:cstheme="minorHAnsi"/>
        </w:rPr>
      </w:pPr>
      <w:r w:rsidRPr="00B82433">
        <w:rPr>
          <w:rFonts w:cstheme="minorHAnsi"/>
        </w:rPr>
        <w:t>Institutional IRBs: 5</w:t>
      </w:r>
      <w:r>
        <w:rPr>
          <w:rFonts w:cstheme="minorHAnsi"/>
        </w:rPr>
        <w:t>6</w:t>
      </w:r>
      <w:r w:rsidRPr="00B82433">
        <w:rPr>
          <w:rFonts w:cstheme="minorHAnsi"/>
        </w:rPr>
        <w:t>%</w:t>
      </w:r>
    </w:p>
    <w:p w14:paraId="180F4ED8" w14:textId="77777777" w:rsidR="0077678F" w:rsidRPr="00B82433" w:rsidRDefault="0077678F" w:rsidP="0077678F">
      <w:pPr>
        <w:pStyle w:val="ListParagraph"/>
        <w:numPr>
          <w:ilvl w:val="0"/>
          <w:numId w:val="16"/>
        </w:numPr>
        <w:spacing w:after="0"/>
        <w:rPr>
          <w:rFonts w:cstheme="minorHAnsi"/>
        </w:rPr>
      </w:pPr>
      <w:r w:rsidRPr="00B82433">
        <w:rPr>
          <w:rFonts w:cstheme="minorHAnsi"/>
        </w:rPr>
        <w:t>Commercial</w:t>
      </w:r>
      <w:r>
        <w:rPr>
          <w:rFonts w:cstheme="minorHAnsi"/>
        </w:rPr>
        <w:t>/Independent IRBs: 31</w:t>
      </w:r>
      <w:r w:rsidRPr="00B82433">
        <w:rPr>
          <w:rFonts w:cstheme="minorHAnsi"/>
        </w:rPr>
        <w:t>%</w:t>
      </w:r>
    </w:p>
    <w:p w14:paraId="1E5078F5" w14:textId="77777777" w:rsidR="0077678F" w:rsidRPr="00B82433" w:rsidRDefault="0077678F" w:rsidP="0077678F">
      <w:pPr>
        <w:pStyle w:val="ListParagraph"/>
        <w:numPr>
          <w:ilvl w:val="0"/>
          <w:numId w:val="16"/>
        </w:numPr>
        <w:spacing w:after="0"/>
        <w:rPr>
          <w:rFonts w:cstheme="minorHAnsi"/>
        </w:rPr>
      </w:pPr>
      <w:r w:rsidRPr="00B82433">
        <w:rPr>
          <w:rFonts w:cstheme="minorHAnsi"/>
        </w:rPr>
        <w:t>IRBs associated with a federal sponsor: 30%</w:t>
      </w:r>
    </w:p>
    <w:p w14:paraId="103D033B" w14:textId="77777777" w:rsidR="0077678F" w:rsidRPr="00B82433" w:rsidRDefault="0077678F" w:rsidP="0077678F">
      <w:pPr>
        <w:pStyle w:val="ListParagraph"/>
        <w:numPr>
          <w:ilvl w:val="0"/>
          <w:numId w:val="16"/>
        </w:numPr>
        <w:spacing w:after="0"/>
        <w:rPr>
          <w:rFonts w:cstheme="minorHAnsi"/>
        </w:rPr>
      </w:pPr>
      <w:r w:rsidRPr="00B82433">
        <w:rPr>
          <w:rFonts w:cstheme="minorHAnsi"/>
        </w:rPr>
        <w:t xml:space="preserve">IRBs associated with a </w:t>
      </w:r>
      <w:r>
        <w:rPr>
          <w:rFonts w:cstheme="minorHAnsi"/>
        </w:rPr>
        <w:t>c</w:t>
      </w:r>
      <w:r w:rsidRPr="00B82433">
        <w:rPr>
          <w:rFonts w:cstheme="minorHAnsi"/>
        </w:rPr>
        <w:t xml:space="preserve">linical </w:t>
      </w:r>
      <w:r>
        <w:rPr>
          <w:rFonts w:cstheme="minorHAnsi"/>
        </w:rPr>
        <w:t>t</w:t>
      </w:r>
      <w:r w:rsidRPr="00B82433">
        <w:rPr>
          <w:rFonts w:cstheme="minorHAnsi"/>
        </w:rPr>
        <w:t xml:space="preserve">rial </w:t>
      </w:r>
      <w:r>
        <w:rPr>
          <w:rFonts w:cstheme="minorHAnsi"/>
        </w:rPr>
        <w:t>n</w:t>
      </w:r>
      <w:r w:rsidRPr="00B82433">
        <w:rPr>
          <w:rFonts w:cstheme="minorHAnsi"/>
        </w:rPr>
        <w:t>etwork: 30%</w:t>
      </w:r>
    </w:p>
    <w:p w14:paraId="0FB1B911" w14:textId="77777777" w:rsidR="0077678F" w:rsidRDefault="0077678F" w:rsidP="0077678F">
      <w:pPr>
        <w:shd w:val="clear" w:color="auto" w:fill="FFFFFF"/>
        <w:spacing w:after="0" w:line="240" w:lineRule="auto"/>
        <w:outlineLvl w:val="4"/>
        <w:rPr>
          <w:rFonts w:eastAsia="Times New Roman" w:cstheme="minorHAnsi"/>
          <w:bCs/>
        </w:rPr>
      </w:pPr>
    </w:p>
    <w:p w14:paraId="3015715B" w14:textId="77777777" w:rsidR="0077678F" w:rsidRPr="00E90CED" w:rsidRDefault="0077678F" w:rsidP="0077678F">
      <w:pPr>
        <w:shd w:val="clear" w:color="auto" w:fill="FFFFFF"/>
        <w:spacing w:after="0" w:line="240" w:lineRule="auto"/>
        <w:outlineLvl w:val="4"/>
        <w:rPr>
          <w:rFonts w:eastAsia="Times New Roman" w:cstheme="minorHAnsi"/>
          <w:bCs/>
        </w:rPr>
      </w:pPr>
    </w:p>
    <w:p w14:paraId="41AA8208" w14:textId="77777777" w:rsidR="0077678F" w:rsidRDefault="0077678F" w:rsidP="0077678F">
      <w:pPr>
        <w:shd w:val="clear" w:color="auto" w:fill="FFFFFF"/>
        <w:spacing w:after="0" w:line="240" w:lineRule="auto"/>
        <w:outlineLvl w:val="4"/>
        <w:rPr>
          <w:rFonts w:eastAsia="Times New Roman" w:cstheme="minorHAnsi"/>
          <w:bCs/>
        </w:rPr>
      </w:pPr>
      <w:r>
        <w:rPr>
          <w:rFonts w:eastAsia="Times New Roman" w:cstheme="minorHAnsi"/>
          <w:bCs/>
        </w:rPr>
        <w:t xml:space="preserve">This template IAA </w:t>
      </w:r>
      <w:r w:rsidRPr="00A67E2B">
        <w:rPr>
          <w:rFonts w:eastAsia="Times New Roman" w:cstheme="minorHAnsi"/>
          <w:bCs/>
        </w:rPr>
        <w:t>may be used as a tool to help organizations move forward with centralized IRB review where appropriate.</w:t>
      </w:r>
      <w:r>
        <w:rPr>
          <w:rFonts w:eastAsia="Times New Roman" w:cstheme="minorHAnsi"/>
          <w:bCs/>
        </w:rPr>
        <w:t xml:space="preserve">  It represents the consensus of meeting attendees and should not be construed as the opinion of any one individual attendee nor does it represent an explicit endorsement by the federal agencies in attendance.  </w:t>
      </w:r>
    </w:p>
    <w:p w14:paraId="2B02F816" w14:textId="339589A0" w:rsidR="001A46AF" w:rsidRDefault="001A46AF" w:rsidP="0077678F">
      <w:pPr>
        <w:shd w:val="clear" w:color="auto" w:fill="FFFFFF"/>
        <w:spacing w:after="0" w:line="240" w:lineRule="auto"/>
        <w:outlineLvl w:val="4"/>
        <w:rPr>
          <w:rFonts w:eastAsia="Times New Roman" w:cstheme="minorHAnsi"/>
          <w:bCs/>
        </w:rPr>
      </w:pPr>
    </w:p>
    <w:p w14:paraId="54650102" w14:textId="3BF18377" w:rsidR="001A46AF" w:rsidRPr="008F1A65" w:rsidRDefault="001A46AF" w:rsidP="008F1A65">
      <w:pPr>
        <w:widowControl w:val="0"/>
        <w:autoSpaceDE w:val="0"/>
        <w:autoSpaceDN w:val="0"/>
        <w:adjustRightInd w:val="0"/>
        <w:spacing w:after="0" w:line="240" w:lineRule="auto"/>
        <w:rPr>
          <w:rFonts w:ascii="Times New Roman" w:hAnsi="Times New Roman" w:cs="Times New Roman"/>
          <w:sz w:val="18"/>
          <w:szCs w:val="18"/>
        </w:rPr>
      </w:pPr>
      <w:r>
        <w:rPr>
          <w:rFonts w:eastAsia="Times New Roman" w:cstheme="minorHAnsi"/>
          <w:bCs/>
        </w:rPr>
        <w:br w:type="page"/>
      </w:r>
    </w:p>
    <w:p w14:paraId="41E47BD9" w14:textId="77777777" w:rsidR="00E325FF" w:rsidRPr="0057128B" w:rsidRDefault="001A46AF" w:rsidP="00E325FF">
      <w:pPr>
        <w:tabs>
          <w:tab w:val="center" w:pos="4680"/>
        </w:tabs>
        <w:ind w:left="-540" w:right="-900"/>
        <w:jc w:val="both"/>
        <w:outlineLvl w:val="0"/>
        <w:rPr>
          <w:rFonts w:cstheme="minorHAnsi"/>
          <w:sz w:val="24"/>
        </w:rPr>
      </w:pPr>
      <w:r w:rsidRPr="0057128B">
        <w:rPr>
          <w:rFonts w:cstheme="minorHAnsi"/>
          <w:b/>
          <w:bCs/>
          <w:sz w:val="24"/>
        </w:rPr>
        <w:lastRenderedPageBreak/>
        <w:t xml:space="preserve">Name of Organization Providing IRB Review </w:t>
      </w:r>
      <w:r w:rsidRPr="0057128B">
        <w:rPr>
          <w:rFonts w:cstheme="minorHAnsi"/>
          <w:bCs/>
          <w:sz w:val="24"/>
        </w:rPr>
        <w:t>(hereinafter, “Central IRB”)</w:t>
      </w:r>
      <w:r w:rsidRPr="0057128B">
        <w:rPr>
          <w:rFonts w:cstheme="minorHAnsi"/>
          <w:sz w:val="24"/>
        </w:rPr>
        <w:t xml:space="preserve">: </w:t>
      </w:r>
      <w:r w:rsidRPr="0057128B">
        <w:rPr>
          <w:rFonts w:cstheme="minorHAnsi"/>
          <w:sz w:val="24"/>
        </w:rPr>
        <w:fldChar w:fldCharType="begin">
          <w:ffData>
            <w:name w:val="Text1"/>
            <w:enabled/>
            <w:calcOnExit w:val="0"/>
            <w:textInput/>
          </w:ffData>
        </w:fldChar>
      </w:r>
      <w:r w:rsidRPr="0057128B">
        <w:rPr>
          <w:rFonts w:cstheme="minorHAnsi"/>
          <w:sz w:val="24"/>
        </w:rPr>
        <w:instrText xml:space="preserve"> FORMTEXT </w:instrText>
      </w:r>
      <w:r w:rsidRPr="0057128B">
        <w:rPr>
          <w:rFonts w:cstheme="minorHAnsi"/>
          <w:sz w:val="24"/>
        </w:rPr>
      </w:r>
      <w:r w:rsidRPr="0057128B">
        <w:rPr>
          <w:rFonts w:cstheme="minorHAnsi"/>
          <w:sz w:val="24"/>
        </w:rPr>
        <w:fldChar w:fldCharType="separate"/>
      </w:r>
      <w:r w:rsidRPr="0057128B">
        <w:rPr>
          <w:rFonts w:cstheme="minorHAnsi"/>
          <w:noProof/>
          <w:sz w:val="24"/>
        </w:rPr>
        <w:t> </w:t>
      </w:r>
      <w:r w:rsidRPr="0057128B">
        <w:rPr>
          <w:rFonts w:cstheme="minorHAnsi"/>
          <w:noProof/>
          <w:sz w:val="24"/>
        </w:rPr>
        <w:t> </w:t>
      </w:r>
      <w:r w:rsidRPr="0057128B">
        <w:rPr>
          <w:rFonts w:cstheme="minorHAnsi"/>
          <w:noProof/>
          <w:sz w:val="24"/>
        </w:rPr>
        <w:t> </w:t>
      </w:r>
      <w:r w:rsidRPr="0057128B">
        <w:rPr>
          <w:rFonts w:cstheme="minorHAnsi"/>
          <w:noProof/>
          <w:sz w:val="24"/>
        </w:rPr>
        <w:t> </w:t>
      </w:r>
      <w:r w:rsidRPr="0057128B">
        <w:rPr>
          <w:rFonts w:cstheme="minorHAnsi"/>
          <w:noProof/>
          <w:sz w:val="24"/>
        </w:rPr>
        <w:t> </w:t>
      </w:r>
      <w:r w:rsidRPr="0057128B">
        <w:rPr>
          <w:rFonts w:cstheme="minorHAnsi"/>
          <w:sz w:val="24"/>
        </w:rPr>
        <w:fldChar w:fldCharType="end"/>
      </w:r>
    </w:p>
    <w:tbl>
      <w:tblPr>
        <w:tblStyle w:val="TableGrid"/>
        <w:tblW w:w="0" w:type="auto"/>
        <w:tblInd w:w="-540" w:type="dxa"/>
        <w:tblLook w:val="04A0" w:firstRow="1" w:lastRow="0" w:firstColumn="1" w:lastColumn="0" w:noHBand="0" w:noVBand="1"/>
      </w:tblPr>
      <w:tblGrid>
        <w:gridCol w:w="4788"/>
        <w:gridCol w:w="4788"/>
      </w:tblGrid>
      <w:tr w:rsidR="00E325FF" w:rsidRPr="0057128B" w14:paraId="0F3BD0B3" w14:textId="77777777" w:rsidTr="00E325FF">
        <w:tc>
          <w:tcPr>
            <w:tcW w:w="4788" w:type="dxa"/>
          </w:tcPr>
          <w:p w14:paraId="757010AA" w14:textId="77777777" w:rsidR="00E325FF" w:rsidRPr="0057128B" w:rsidRDefault="00E325FF" w:rsidP="001A46AF">
            <w:pPr>
              <w:tabs>
                <w:tab w:val="center" w:pos="4680"/>
              </w:tabs>
              <w:ind w:right="-900"/>
              <w:jc w:val="both"/>
              <w:outlineLvl w:val="0"/>
              <w:rPr>
                <w:rFonts w:cstheme="minorHAnsi"/>
                <w:sz w:val="24"/>
              </w:rPr>
            </w:pPr>
            <w:r w:rsidRPr="0057128B">
              <w:rPr>
                <w:rFonts w:cstheme="minorHAnsi"/>
                <w:sz w:val="24"/>
              </w:rPr>
              <w:t>IRB Registration Number</w:t>
            </w:r>
          </w:p>
        </w:tc>
        <w:tc>
          <w:tcPr>
            <w:tcW w:w="4788" w:type="dxa"/>
          </w:tcPr>
          <w:p w14:paraId="673C4BFB" w14:textId="77777777" w:rsidR="00E325FF" w:rsidRPr="0057128B" w:rsidRDefault="00E325FF" w:rsidP="001A46AF">
            <w:pPr>
              <w:tabs>
                <w:tab w:val="center" w:pos="4680"/>
              </w:tabs>
              <w:ind w:right="-900"/>
              <w:jc w:val="both"/>
              <w:outlineLvl w:val="0"/>
              <w:rPr>
                <w:rFonts w:cstheme="minorHAnsi"/>
                <w:sz w:val="24"/>
              </w:rPr>
            </w:pPr>
          </w:p>
        </w:tc>
      </w:tr>
      <w:tr w:rsidR="00E325FF" w:rsidRPr="0057128B" w14:paraId="2D9E01E7" w14:textId="77777777" w:rsidTr="00E325FF">
        <w:tc>
          <w:tcPr>
            <w:tcW w:w="4788" w:type="dxa"/>
          </w:tcPr>
          <w:p w14:paraId="04C227D1" w14:textId="77777777" w:rsidR="00E325FF" w:rsidRPr="0057128B" w:rsidRDefault="00E325FF" w:rsidP="001A46AF">
            <w:pPr>
              <w:tabs>
                <w:tab w:val="center" w:pos="4680"/>
              </w:tabs>
              <w:ind w:right="-900"/>
              <w:jc w:val="both"/>
              <w:outlineLvl w:val="0"/>
              <w:rPr>
                <w:rFonts w:cstheme="minorHAnsi"/>
                <w:sz w:val="24"/>
              </w:rPr>
            </w:pPr>
            <w:r w:rsidRPr="0057128B">
              <w:rPr>
                <w:rFonts w:cstheme="minorHAnsi"/>
                <w:sz w:val="24"/>
              </w:rPr>
              <w:t>Street Address</w:t>
            </w:r>
          </w:p>
        </w:tc>
        <w:tc>
          <w:tcPr>
            <w:tcW w:w="4788" w:type="dxa"/>
          </w:tcPr>
          <w:p w14:paraId="277E26AA" w14:textId="77777777" w:rsidR="00E325FF" w:rsidRPr="0057128B" w:rsidRDefault="00E325FF" w:rsidP="001A46AF">
            <w:pPr>
              <w:tabs>
                <w:tab w:val="center" w:pos="4680"/>
              </w:tabs>
              <w:ind w:right="-900"/>
              <w:jc w:val="both"/>
              <w:outlineLvl w:val="0"/>
              <w:rPr>
                <w:rFonts w:cstheme="minorHAnsi"/>
                <w:sz w:val="24"/>
              </w:rPr>
            </w:pPr>
          </w:p>
        </w:tc>
      </w:tr>
      <w:tr w:rsidR="00E325FF" w:rsidRPr="0057128B" w14:paraId="2E85E5D2" w14:textId="77777777" w:rsidTr="00E325FF">
        <w:tc>
          <w:tcPr>
            <w:tcW w:w="4788" w:type="dxa"/>
          </w:tcPr>
          <w:p w14:paraId="21BBD2F6" w14:textId="77777777" w:rsidR="00E325FF" w:rsidRPr="0057128B" w:rsidRDefault="00E325FF" w:rsidP="001A46AF">
            <w:pPr>
              <w:tabs>
                <w:tab w:val="center" w:pos="4680"/>
              </w:tabs>
              <w:ind w:right="-900"/>
              <w:jc w:val="both"/>
              <w:outlineLvl w:val="0"/>
              <w:rPr>
                <w:rFonts w:cstheme="minorHAnsi"/>
                <w:sz w:val="24"/>
              </w:rPr>
            </w:pPr>
            <w:r w:rsidRPr="0057128B">
              <w:rPr>
                <w:rFonts w:cstheme="minorHAnsi"/>
                <w:sz w:val="24"/>
              </w:rPr>
              <w:t>City</w:t>
            </w:r>
          </w:p>
        </w:tc>
        <w:tc>
          <w:tcPr>
            <w:tcW w:w="4788" w:type="dxa"/>
          </w:tcPr>
          <w:p w14:paraId="3D98EB41" w14:textId="77777777" w:rsidR="00E325FF" w:rsidRPr="0057128B" w:rsidRDefault="00E325FF" w:rsidP="001A46AF">
            <w:pPr>
              <w:tabs>
                <w:tab w:val="center" w:pos="4680"/>
              </w:tabs>
              <w:ind w:right="-900"/>
              <w:jc w:val="both"/>
              <w:outlineLvl w:val="0"/>
              <w:rPr>
                <w:rFonts w:cstheme="minorHAnsi"/>
                <w:sz w:val="24"/>
              </w:rPr>
            </w:pPr>
          </w:p>
        </w:tc>
      </w:tr>
      <w:tr w:rsidR="00E325FF" w:rsidRPr="0057128B" w14:paraId="1CC41EDB" w14:textId="77777777" w:rsidTr="00E325FF">
        <w:tc>
          <w:tcPr>
            <w:tcW w:w="4788" w:type="dxa"/>
          </w:tcPr>
          <w:p w14:paraId="61CE6E85" w14:textId="77777777" w:rsidR="00E325FF" w:rsidRPr="0057128B" w:rsidRDefault="00E325FF" w:rsidP="001A46AF">
            <w:pPr>
              <w:tabs>
                <w:tab w:val="center" w:pos="4680"/>
              </w:tabs>
              <w:ind w:right="-900"/>
              <w:jc w:val="both"/>
              <w:outlineLvl w:val="0"/>
              <w:rPr>
                <w:rFonts w:cstheme="minorHAnsi"/>
                <w:sz w:val="24"/>
              </w:rPr>
            </w:pPr>
            <w:r w:rsidRPr="0057128B">
              <w:rPr>
                <w:rFonts w:cstheme="minorHAnsi"/>
                <w:sz w:val="24"/>
              </w:rPr>
              <w:t>State (if US)</w:t>
            </w:r>
          </w:p>
        </w:tc>
        <w:tc>
          <w:tcPr>
            <w:tcW w:w="4788" w:type="dxa"/>
          </w:tcPr>
          <w:p w14:paraId="4772DE39" w14:textId="77777777" w:rsidR="00E325FF" w:rsidRPr="0057128B" w:rsidRDefault="00E325FF" w:rsidP="001A46AF">
            <w:pPr>
              <w:tabs>
                <w:tab w:val="center" w:pos="4680"/>
              </w:tabs>
              <w:ind w:right="-900"/>
              <w:jc w:val="both"/>
              <w:outlineLvl w:val="0"/>
              <w:rPr>
                <w:rFonts w:cstheme="minorHAnsi"/>
                <w:sz w:val="24"/>
              </w:rPr>
            </w:pPr>
          </w:p>
        </w:tc>
      </w:tr>
      <w:tr w:rsidR="00E325FF" w:rsidRPr="0057128B" w14:paraId="4D6BB749" w14:textId="77777777" w:rsidTr="00E325FF">
        <w:tc>
          <w:tcPr>
            <w:tcW w:w="4788" w:type="dxa"/>
          </w:tcPr>
          <w:p w14:paraId="2AE06B7C" w14:textId="77777777" w:rsidR="00E325FF" w:rsidRPr="0057128B" w:rsidRDefault="00E325FF" w:rsidP="001A46AF">
            <w:pPr>
              <w:tabs>
                <w:tab w:val="center" w:pos="4680"/>
              </w:tabs>
              <w:ind w:right="-900"/>
              <w:jc w:val="both"/>
              <w:outlineLvl w:val="0"/>
              <w:rPr>
                <w:rFonts w:cstheme="minorHAnsi"/>
                <w:sz w:val="24"/>
              </w:rPr>
            </w:pPr>
            <w:r w:rsidRPr="0057128B">
              <w:rPr>
                <w:rFonts w:cstheme="minorHAnsi"/>
                <w:sz w:val="24"/>
              </w:rPr>
              <w:t>Zip/Postal Code</w:t>
            </w:r>
          </w:p>
        </w:tc>
        <w:tc>
          <w:tcPr>
            <w:tcW w:w="4788" w:type="dxa"/>
          </w:tcPr>
          <w:p w14:paraId="7E884929" w14:textId="77777777" w:rsidR="00E325FF" w:rsidRPr="0057128B" w:rsidRDefault="00E325FF" w:rsidP="001A46AF">
            <w:pPr>
              <w:tabs>
                <w:tab w:val="center" w:pos="4680"/>
              </w:tabs>
              <w:ind w:right="-900"/>
              <w:jc w:val="both"/>
              <w:outlineLvl w:val="0"/>
              <w:rPr>
                <w:rFonts w:cstheme="minorHAnsi"/>
                <w:sz w:val="24"/>
              </w:rPr>
            </w:pPr>
          </w:p>
        </w:tc>
      </w:tr>
      <w:tr w:rsidR="00E325FF" w:rsidRPr="0057128B" w14:paraId="0783A3AB" w14:textId="77777777" w:rsidTr="00E325FF">
        <w:tc>
          <w:tcPr>
            <w:tcW w:w="4788" w:type="dxa"/>
          </w:tcPr>
          <w:p w14:paraId="38633C11" w14:textId="77777777" w:rsidR="00E325FF" w:rsidRPr="0057128B" w:rsidRDefault="00E325FF" w:rsidP="001A46AF">
            <w:pPr>
              <w:tabs>
                <w:tab w:val="center" w:pos="4680"/>
              </w:tabs>
              <w:ind w:right="-900"/>
              <w:jc w:val="both"/>
              <w:outlineLvl w:val="0"/>
              <w:rPr>
                <w:rFonts w:cstheme="minorHAnsi"/>
                <w:sz w:val="24"/>
              </w:rPr>
            </w:pPr>
            <w:r w:rsidRPr="0057128B">
              <w:rPr>
                <w:rFonts w:cstheme="minorHAnsi"/>
                <w:sz w:val="24"/>
              </w:rPr>
              <w:t>Country</w:t>
            </w:r>
          </w:p>
        </w:tc>
        <w:tc>
          <w:tcPr>
            <w:tcW w:w="4788" w:type="dxa"/>
          </w:tcPr>
          <w:p w14:paraId="52043C21" w14:textId="77777777" w:rsidR="00E325FF" w:rsidRPr="0057128B" w:rsidRDefault="00E325FF" w:rsidP="001A46AF">
            <w:pPr>
              <w:tabs>
                <w:tab w:val="center" w:pos="4680"/>
              </w:tabs>
              <w:ind w:right="-900"/>
              <w:jc w:val="both"/>
              <w:outlineLvl w:val="0"/>
              <w:rPr>
                <w:rFonts w:cstheme="minorHAnsi"/>
                <w:sz w:val="24"/>
              </w:rPr>
            </w:pPr>
          </w:p>
        </w:tc>
      </w:tr>
    </w:tbl>
    <w:p w14:paraId="602A9D41" w14:textId="77777777" w:rsidR="00E325FF" w:rsidRPr="0057128B" w:rsidRDefault="00E325FF" w:rsidP="00701DEA">
      <w:pPr>
        <w:tabs>
          <w:tab w:val="center" w:pos="4680"/>
        </w:tabs>
        <w:ind w:right="-900"/>
        <w:jc w:val="both"/>
        <w:outlineLvl w:val="0"/>
        <w:rPr>
          <w:rFonts w:cstheme="minorHAnsi"/>
          <w:sz w:val="24"/>
        </w:rPr>
      </w:pPr>
    </w:p>
    <w:tbl>
      <w:tblPr>
        <w:tblStyle w:val="TableGrid"/>
        <w:tblW w:w="0" w:type="auto"/>
        <w:tblInd w:w="-540" w:type="dxa"/>
        <w:tblLook w:val="04A0" w:firstRow="1" w:lastRow="0" w:firstColumn="1" w:lastColumn="0" w:noHBand="0" w:noVBand="1"/>
      </w:tblPr>
      <w:tblGrid>
        <w:gridCol w:w="4788"/>
        <w:gridCol w:w="4788"/>
      </w:tblGrid>
      <w:tr w:rsidR="00E325FF" w:rsidRPr="0057128B" w14:paraId="109E7B15" w14:textId="77777777" w:rsidTr="00E325FF">
        <w:tc>
          <w:tcPr>
            <w:tcW w:w="4788" w:type="dxa"/>
          </w:tcPr>
          <w:p w14:paraId="5440ECB1" w14:textId="77777777" w:rsidR="00701DEA" w:rsidRDefault="00E325FF" w:rsidP="00E325FF">
            <w:pPr>
              <w:tabs>
                <w:tab w:val="center" w:pos="4680"/>
              </w:tabs>
              <w:ind w:right="-900"/>
              <w:jc w:val="both"/>
              <w:outlineLvl w:val="0"/>
              <w:rPr>
                <w:rFonts w:cstheme="minorHAnsi"/>
                <w:sz w:val="24"/>
              </w:rPr>
            </w:pPr>
            <w:r w:rsidRPr="0057128B">
              <w:rPr>
                <w:rFonts w:cstheme="minorHAnsi"/>
                <w:sz w:val="24"/>
              </w:rPr>
              <w:t xml:space="preserve">Name of Individual Responsible for </w:t>
            </w:r>
          </w:p>
          <w:p w14:paraId="5DDFA10D" w14:textId="59C531CB" w:rsidR="00E325FF" w:rsidRPr="0057128B" w:rsidRDefault="00E325FF" w:rsidP="00E325FF">
            <w:pPr>
              <w:tabs>
                <w:tab w:val="center" w:pos="4680"/>
              </w:tabs>
              <w:ind w:right="-900"/>
              <w:jc w:val="both"/>
              <w:outlineLvl w:val="0"/>
              <w:rPr>
                <w:rFonts w:cstheme="minorHAnsi"/>
                <w:sz w:val="24"/>
              </w:rPr>
            </w:pPr>
            <w:r w:rsidRPr="0057128B">
              <w:rPr>
                <w:rFonts w:cstheme="minorHAnsi"/>
                <w:sz w:val="24"/>
              </w:rPr>
              <w:t>Administration of the IAA</w:t>
            </w:r>
          </w:p>
        </w:tc>
        <w:tc>
          <w:tcPr>
            <w:tcW w:w="4788" w:type="dxa"/>
          </w:tcPr>
          <w:p w14:paraId="673252C7" w14:textId="77777777" w:rsidR="00E325FF" w:rsidRPr="0057128B" w:rsidRDefault="00E325FF" w:rsidP="00E325FF">
            <w:pPr>
              <w:tabs>
                <w:tab w:val="center" w:pos="4680"/>
              </w:tabs>
              <w:ind w:right="-900"/>
              <w:jc w:val="both"/>
              <w:outlineLvl w:val="0"/>
              <w:rPr>
                <w:rFonts w:cstheme="minorHAnsi"/>
                <w:sz w:val="24"/>
              </w:rPr>
            </w:pPr>
          </w:p>
        </w:tc>
      </w:tr>
      <w:tr w:rsidR="00E325FF" w:rsidRPr="0057128B" w14:paraId="4542C7A6" w14:textId="77777777" w:rsidTr="00E325FF">
        <w:tc>
          <w:tcPr>
            <w:tcW w:w="4788" w:type="dxa"/>
          </w:tcPr>
          <w:p w14:paraId="2AE47F7D" w14:textId="77777777" w:rsidR="00E325FF" w:rsidRPr="0057128B" w:rsidRDefault="00E325FF" w:rsidP="00E325FF">
            <w:pPr>
              <w:tabs>
                <w:tab w:val="center" w:pos="4680"/>
              </w:tabs>
              <w:ind w:right="-900"/>
              <w:jc w:val="both"/>
              <w:outlineLvl w:val="0"/>
              <w:rPr>
                <w:rFonts w:cstheme="minorHAnsi"/>
                <w:sz w:val="24"/>
              </w:rPr>
            </w:pPr>
            <w:r w:rsidRPr="0057128B">
              <w:rPr>
                <w:rFonts w:cstheme="minorHAnsi"/>
                <w:sz w:val="24"/>
              </w:rPr>
              <w:t>Title of Individual</w:t>
            </w:r>
          </w:p>
        </w:tc>
        <w:tc>
          <w:tcPr>
            <w:tcW w:w="4788" w:type="dxa"/>
          </w:tcPr>
          <w:p w14:paraId="1AFBB45B" w14:textId="77777777" w:rsidR="00E325FF" w:rsidRPr="0057128B" w:rsidRDefault="00E325FF" w:rsidP="00E325FF">
            <w:pPr>
              <w:tabs>
                <w:tab w:val="center" w:pos="4680"/>
              </w:tabs>
              <w:ind w:right="-900"/>
              <w:jc w:val="both"/>
              <w:outlineLvl w:val="0"/>
              <w:rPr>
                <w:rFonts w:cstheme="minorHAnsi"/>
                <w:sz w:val="24"/>
              </w:rPr>
            </w:pPr>
          </w:p>
        </w:tc>
      </w:tr>
      <w:tr w:rsidR="00E325FF" w:rsidRPr="0057128B" w14:paraId="3E4BBBC3" w14:textId="77777777" w:rsidTr="00E325FF">
        <w:tc>
          <w:tcPr>
            <w:tcW w:w="4788" w:type="dxa"/>
          </w:tcPr>
          <w:p w14:paraId="2DF1F4D0" w14:textId="77777777" w:rsidR="00E325FF" w:rsidRPr="0057128B" w:rsidRDefault="00E325FF" w:rsidP="00E325FF">
            <w:pPr>
              <w:tabs>
                <w:tab w:val="center" w:pos="4680"/>
              </w:tabs>
              <w:ind w:right="-900"/>
              <w:jc w:val="both"/>
              <w:outlineLvl w:val="0"/>
              <w:rPr>
                <w:rFonts w:cstheme="minorHAnsi"/>
                <w:sz w:val="24"/>
              </w:rPr>
            </w:pPr>
            <w:r w:rsidRPr="0057128B">
              <w:rPr>
                <w:rFonts w:cstheme="minorHAnsi"/>
                <w:sz w:val="24"/>
              </w:rPr>
              <w:t>Phone Number</w:t>
            </w:r>
          </w:p>
        </w:tc>
        <w:tc>
          <w:tcPr>
            <w:tcW w:w="4788" w:type="dxa"/>
          </w:tcPr>
          <w:p w14:paraId="36498A4F" w14:textId="77777777" w:rsidR="00E325FF" w:rsidRPr="0057128B" w:rsidRDefault="00E325FF" w:rsidP="00E325FF">
            <w:pPr>
              <w:tabs>
                <w:tab w:val="center" w:pos="4680"/>
              </w:tabs>
              <w:ind w:right="-900"/>
              <w:jc w:val="both"/>
              <w:outlineLvl w:val="0"/>
              <w:rPr>
                <w:rFonts w:cstheme="minorHAnsi"/>
                <w:sz w:val="24"/>
              </w:rPr>
            </w:pPr>
          </w:p>
        </w:tc>
      </w:tr>
      <w:tr w:rsidR="00E325FF" w:rsidRPr="0057128B" w14:paraId="5F42EABA" w14:textId="77777777" w:rsidTr="00E325FF">
        <w:tc>
          <w:tcPr>
            <w:tcW w:w="4788" w:type="dxa"/>
          </w:tcPr>
          <w:p w14:paraId="7A6EF11E" w14:textId="77777777" w:rsidR="00E325FF" w:rsidRPr="0057128B" w:rsidRDefault="00E325FF" w:rsidP="00E325FF">
            <w:pPr>
              <w:tabs>
                <w:tab w:val="center" w:pos="4680"/>
              </w:tabs>
              <w:ind w:right="-900"/>
              <w:jc w:val="both"/>
              <w:outlineLvl w:val="0"/>
              <w:rPr>
                <w:rFonts w:cstheme="minorHAnsi"/>
                <w:sz w:val="24"/>
              </w:rPr>
            </w:pPr>
            <w:r w:rsidRPr="0057128B">
              <w:rPr>
                <w:rFonts w:cstheme="minorHAnsi"/>
                <w:sz w:val="24"/>
              </w:rPr>
              <w:t>Email address</w:t>
            </w:r>
          </w:p>
        </w:tc>
        <w:tc>
          <w:tcPr>
            <w:tcW w:w="4788" w:type="dxa"/>
          </w:tcPr>
          <w:p w14:paraId="0D24FE78" w14:textId="77777777" w:rsidR="00E325FF" w:rsidRPr="0057128B" w:rsidRDefault="00E325FF" w:rsidP="00E325FF">
            <w:pPr>
              <w:tabs>
                <w:tab w:val="center" w:pos="4680"/>
              </w:tabs>
              <w:ind w:right="-900"/>
              <w:jc w:val="both"/>
              <w:outlineLvl w:val="0"/>
              <w:rPr>
                <w:rFonts w:cstheme="minorHAnsi"/>
                <w:sz w:val="24"/>
              </w:rPr>
            </w:pPr>
          </w:p>
        </w:tc>
      </w:tr>
    </w:tbl>
    <w:p w14:paraId="2533D70F" w14:textId="77777777" w:rsidR="00E325FF" w:rsidRPr="0057128B" w:rsidRDefault="00E325FF" w:rsidP="00C00AB5">
      <w:pPr>
        <w:tabs>
          <w:tab w:val="center" w:pos="4680"/>
        </w:tabs>
        <w:ind w:right="-900"/>
        <w:jc w:val="both"/>
        <w:outlineLvl w:val="0"/>
        <w:rPr>
          <w:rFonts w:cstheme="minorHAnsi"/>
          <w:sz w:val="24"/>
        </w:rPr>
      </w:pPr>
    </w:p>
    <w:p w14:paraId="50CE2D18" w14:textId="77777777" w:rsidR="001A46AF" w:rsidRPr="0057128B" w:rsidRDefault="001A46AF" w:rsidP="001A46AF">
      <w:pPr>
        <w:tabs>
          <w:tab w:val="center" w:pos="4680"/>
        </w:tabs>
        <w:ind w:left="-540" w:right="-900"/>
        <w:jc w:val="both"/>
        <w:outlineLvl w:val="0"/>
        <w:rPr>
          <w:rFonts w:cstheme="minorHAnsi"/>
          <w:sz w:val="24"/>
        </w:rPr>
      </w:pPr>
      <w:r w:rsidRPr="0057128B">
        <w:rPr>
          <w:rFonts w:cstheme="minorHAnsi"/>
          <w:b/>
          <w:bCs/>
          <w:sz w:val="24"/>
        </w:rPr>
        <w:t xml:space="preserve">Name of Institution Relying on the </w:t>
      </w:r>
      <w:r w:rsidR="00E325FF" w:rsidRPr="0057128B">
        <w:rPr>
          <w:rFonts w:cstheme="minorHAnsi"/>
          <w:b/>
          <w:bCs/>
          <w:sz w:val="24"/>
        </w:rPr>
        <w:t>Reviewing I</w:t>
      </w:r>
      <w:r w:rsidRPr="0057128B">
        <w:rPr>
          <w:rFonts w:cstheme="minorHAnsi"/>
          <w:b/>
          <w:bCs/>
          <w:sz w:val="24"/>
        </w:rPr>
        <w:t xml:space="preserve">RB </w:t>
      </w:r>
      <w:r w:rsidRPr="0057128B">
        <w:rPr>
          <w:rFonts w:cstheme="minorHAnsi"/>
          <w:sz w:val="24"/>
        </w:rPr>
        <w:t xml:space="preserve">(hereinafter, “Institution”): </w:t>
      </w:r>
      <w:bookmarkStart w:id="0" w:name="Text1"/>
      <w:r w:rsidRPr="0057128B">
        <w:rPr>
          <w:rFonts w:cstheme="minorHAnsi"/>
          <w:sz w:val="24"/>
        </w:rPr>
        <w:fldChar w:fldCharType="begin">
          <w:ffData>
            <w:name w:val="Text1"/>
            <w:enabled/>
            <w:calcOnExit w:val="0"/>
            <w:textInput/>
          </w:ffData>
        </w:fldChar>
      </w:r>
      <w:r w:rsidRPr="0057128B">
        <w:rPr>
          <w:rFonts w:cstheme="minorHAnsi"/>
          <w:sz w:val="24"/>
        </w:rPr>
        <w:instrText xml:space="preserve"> FORMTEXT </w:instrText>
      </w:r>
      <w:r w:rsidRPr="0057128B">
        <w:rPr>
          <w:rFonts w:cstheme="minorHAnsi"/>
          <w:sz w:val="24"/>
        </w:rPr>
      </w:r>
      <w:r w:rsidRPr="0057128B">
        <w:rPr>
          <w:rFonts w:cstheme="minorHAnsi"/>
          <w:sz w:val="24"/>
        </w:rPr>
        <w:fldChar w:fldCharType="separate"/>
      </w:r>
      <w:r w:rsidRPr="0057128B">
        <w:rPr>
          <w:rFonts w:cstheme="minorHAnsi"/>
          <w:noProof/>
          <w:sz w:val="24"/>
        </w:rPr>
        <w:t> </w:t>
      </w:r>
      <w:r w:rsidRPr="0057128B">
        <w:rPr>
          <w:rFonts w:cstheme="minorHAnsi"/>
          <w:noProof/>
          <w:sz w:val="24"/>
        </w:rPr>
        <w:t> </w:t>
      </w:r>
      <w:r w:rsidRPr="0057128B">
        <w:rPr>
          <w:rFonts w:cstheme="minorHAnsi"/>
          <w:noProof/>
          <w:sz w:val="24"/>
        </w:rPr>
        <w:t> </w:t>
      </w:r>
      <w:r w:rsidRPr="0057128B">
        <w:rPr>
          <w:rFonts w:cstheme="minorHAnsi"/>
          <w:noProof/>
          <w:sz w:val="24"/>
        </w:rPr>
        <w:t> </w:t>
      </w:r>
      <w:r w:rsidRPr="0057128B">
        <w:rPr>
          <w:rFonts w:cstheme="minorHAnsi"/>
          <w:noProof/>
          <w:sz w:val="24"/>
        </w:rPr>
        <w:t> </w:t>
      </w:r>
      <w:r w:rsidRPr="0057128B">
        <w:rPr>
          <w:rFonts w:cstheme="minorHAnsi"/>
          <w:sz w:val="24"/>
        </w:rPr>
        <w:fldChar w:fldCharType="end"/>
      </w:r>
      <w:bookmarkEnd w:id="0"/>
    </w:p>
    <w:tbl>
      <w:tblPr>
        <w:tblStyle w:val="TableGrid"/>
        <w:tblW w:w="0" w:type="auto"/>
        <w:tblInd w:w="-540" w:type="dxa"/>
        <w:tblLook w:val="04A0" w:firstRow="1" w:lastRow="0" w:firstColumn="1" w:lastColumn="0" w:noHBand="0" w:noVBand="1"/>
      </w:tblPr>
      <w:tblGrid>
        <w:gridCol w:w="4788"/>
        <w:gridCol w:w="4788"/>
      </w:tblGrid>
      <w:tr w:rsidR="00E325FF" w14:paraId="576DFD94" w14:textId="77777777" w:rsidTr="00E325FF">
        <w:tc>
          <w:tcPr>
            <w:tcW w:w="4788" w:type="dxa"/>
          </w:tcPr>
          <w:p w14:paraId="7D141D5F" w14:textId="77777777" w:rsidR="00701DEA" w:rsidRDefault="00E325FF" w:rsidP="00E325FF">
            <w:pPr>
              <w:tabs>
                <w:tab w:val="center" w:pos="4680"/>
              </w:tabs>
              <w:ind w:right="-900"/>
              <w:jc w:val="both"/>
              <w:outlineLvl w:val="0"/>
              <w:rPr>
                <w:rFonts w:cstheme="minorHAnsi"/>
              </w:rPr>
            </w:pPr>
            <w:r w:rsidRPr="0057128B">
              <w:rPr>
                <w:rFonts w:cstheme="minorHAnsi"/>
              </w:rPr>
              <w:t xml:space="preserve">Institution’s OHRP </w:t>
            </w:r>
            <w:proofErr w:type="spellStart"/>
            <w:r w:rsidRPr="0057128B">
              <w:rPr>
                <w:rFonts w:cstheme="minorHAnsi"/>
              </w:rPr>
              <w:t>Federalwide</w:t>
            </w:r>
            <w:proofErr w:type="spellEnd"/>
            <w:r w:rsidRPr="0057128B">
              <w:rPr>
                <w:rFonts w:cstheme="minorHAnsi"/>
              </w:rPr>
              <w:t xml:space="preserve"> Assurance </w:t>
            </w:r>
          </w:p>
          <w:p w14:paraId="10A4D8F9" w14:textId="07B7C38B" w:rsidR="00E325FF" w:rsidRDefault="00E325FF" w:rsidP="00E325FF">
            <w:pPr>
              <w:tabs>
                <w:tab w:val="center" w:pos="4680"/>
              </w:tabs>
              <w:ind w:right="-900"/>
              <w:jc w:val="both"/>
              <w:outlineLvl w:val="0"/>
              <w:rPr>
                <w:rFonts w:cstheme="minorHAnsi"/>
                <w:sz w:val="24"/>
              </w:rPr>
            </w:pPr>
            <w:r w:rsidRPr="0057128B">
              <w:rPr>
                <w:rFonts w:cstheme="minorHAnsi"/>
              </w:rPr>
              <w:t>(FWA) #, if applicable</w:t>
            </w:r>
          </w:p>
        </w:tc>
        <w:tc>
          <w:tcPr>
            <w:tcW w:w="4788" w:type="dxa"/>
          </w:tcPr>
          <w:p w14:paraId="1F248779" w14:textId="77777777" w:rsidR="00E325FF" w:rsidRDefault="00E325FF" w:rsidP="00E325FF">
            <w:pPr>
              <w:tabs>
                <w:tab w:val="center" w:pos="4680"/>
              </w:tabs>
              <w:ind w:right="-900"/>
              <w:jc w:val="both"/>
              <w:outlineLvl w:val="0"/>
              <w:rPr>
                <w:rFonts w:cstheme="minorHAnsi"/>
                <w:sz w:val="24"/>
              </w:rPr>
            </w:pPr>
          </w:p>
        </w:tc>
      </w:tr>
      <w:tr w:rsidR="00E325FF" w14:paraId="151C34A6" w14:textId="77777777" w:rsidTr="00E325FF">
        <w:tc>
          <w:tcPr>
            <w:tcW w:w="4788" w:type="dxa"/>
          </w:tcPr>
          <w:p w14:paraId="31A601B1" w14:textId="77777777" w:rsidR="00E325FF" w:rsidRDefault="00E325FF" w:rsidP="00E325FF">
            <w:pPr>
              <w:tabs>
                <w:tab w:val="center" w:pos="4680"/>
              </w:tabs>
              <w:ind w:right="-900"/>
              <w:jc w:val="both"/>
              <w:outlineLvl w:val="0"/>
              <w:rPr>
                <w:rFonts w:cstheme="minorHAnsi"/>
                <w:sz w:val="24"/>
              </w:rPr>
            </w:pPr>
            <w:r>
              <w:rPr>
                <w:rFonts w:cstheme="minorHAnsi"/>
                <w:sz w:val="24"/>
              </w:rPr>
              <w:t>Name of Institutional Official</w:t>
            </w:r>
          </w:p>
        </w:tc>
        <w:tc>
          <w:tcPr>
            <w:tcW w:w="4788" w:type="dxa"/>
          </w:tcPr>
          <w:p w14:paraId="489B9E7E" w14:textId="77777777" w:rsidR="00E325FF" w:rsidRDefault="00E325FF" w:rsidP="00E325FF">
            <w:pPr>
              <w:tabs>
                <w:tab w:val="center" w:pos="4680"/>
              </w:tabs>
              <w:ind w:right="-900"/>
              <w:jc w:val="both"/>
              <w:outlineLvl w:val="0"/>
              <w:rPr>
                <w:rFonts w:cstheme="minorHAnsi"/>
                <w:sz w:val="24"/>
              </w:rPr>
            </w:pPr>
          </w:p>
        </w:tc>
      </w:tr>
      <w:tr w:rsidR="00E325FF" w14:paraId="101B1F3F" w14:textId="77777777" w:rsidTr="00E325FF">
        <w:tc>
          <w:tcPr>
            <w:tcW w:w="4788" w:type="dxa"/>
          </w:tcPr>
          <w:p w14:paraId="761C74DB" w14:textId="77777777" w:rsidR="00E325FF" w:rsidRDefault="00E325FF" w:rsidP="00E325FF">
            <w:pPr>
              <w:tabs>
                <w:tab w:val="center" w:pos="4680"/>
              </w:tabs>
              <w:ind w:right="-900"/>
              <w:jc w:val="both"/>
              <w:outlineLvl w:val="0"/>
              <w:rPr>
                <w:rFonts w:cstheme="minorHAnsi"/>
                <w:sz w:val="24"/>
              </w:rPr>
            </w:pPr>
            <w:r>
              <w:rPr>
                <w:rFonts w:cstheme="minorHAnsi"/>
                <w:sz w:val="24"/>
              </w:rPr>
              <w:t>Street Address</w:t>
            </w:r>
          </w:p>
        </w:tc>
        <w:tc>
          <w:tcPr>
            <w:tcW w:w="4788" w:type="dxa"/>
          </w:tcPr>
          <w:p w14:paraId="3CBBEA5F" w14:textId="77777777" w:rsidR="00E325FF" w:rsidRDefault="00E325FF" w:rsidP="00E325FF">
            <w:pPr>
              <w:tabs>
                <w:tab w:val="center" w:pos="4680"/>
              </w:tabs>
              <w:ind w:right="-900"/>
              <w:jc w:val="both"/>
              <w:outlineLvl w:val="0"/>
              <w:rPr>
                <w:rFonts w:cstheme="minorHAnsi"/>
                <w:sz w:val="24"/>
              </w:rPr>
            </w:pPr>
          </w:p>
        </w:tc>
      </w:tr>
      <w:tr w:rsidR="00E325FF" w14:paraId="4B55D816" w14:textId="77777777" w:rsidTr="00E325FF">
        <w:tc>
          <w:tcPr>
            <w:tcW w:w="4788" w:type="dxa"/>
          </w:tcPr>
          <w:p w14:paraId="7B8A7A77" w14:textId="77777777" w:rsidR="00E325FF" w:rsidRDefault="00E325FF" w:rsidP="00E325FF">
            <w:pPr>
              <w:tabs>
                <w:tab w:val="center" w:pos="4680"/>
              </w:tabs>
              <w:ind w:right="-900"/>
              <w:jc w:val="both"/>
              <w:outlineLvl w:val="0"/>
              <w:rPr>
                <w:rFonts w:cstheme="minorHAnsi"/>
                <w:sz w:val="24"/>
              </w:rPr>
            </w:pPr>
            <w:r>
              <w:rPr>
                <w:rFonts w:cstheme="minorHAnsi"/>
                <w:sz w:val="24"/>
              </w:rPr>
              <w:t>City</w:t>
            </w:r>
          </w:p>
        </w:tc>
        <w:tc>
          <w:tcPr>
            <w:tcW w:w="4788" w:type="dxa"/>
          </w:tcPr>
          <w:p w14:paraId="0A892B7C" w14:textId="77777777" w:rsidR="00E325FF" w:rsidRDefault="00E325FF" w:rsidP="00E325FF">
            <w:pPr>
              <w:tabs>
                <w:tab w:val="center" w:pos="4680"/>
              </w:tabs>
              <w:ind w:right="-900"/>
              <w:jc w:val="both"/>
              <w:outlineLvl w:val="0"/>
              <w:rPr>
                <w:rFonts w:cstheme="minorHAnsi"/>
                <w:sz w:val="24"/>
              </w:rPr>
            </w:pPr>
          </w:p>
        </w:tc>
      </w:tr>
      <w:tr w:rsidR="00E325FF" w14:paraId="5FC4E772" w14:textId="77777777" w:rsidTr="00E325FF">
        <w:tc>
          <w:tcPr>
            <w:tcW w:w="4788" w:type="dxa"/>
          </w:tcPr>
          <w:p w14:paraId="374FABFE" w14:textId="77777777" w:rsidR="00E325FF" w:rsidRDefault="00E325FF" w:rsidP="00E325FF">
            <w:pPr>
              <w:tabs>
                <w:tab w:val="center" w:pos="4680"/>
              </w:tabs>
              <w:ind w:right="-900"/>
              <w:jc w:val="both"/>
              <w:outlineLvl w:val="0"/>
              <w:rPr>
                <w:rFonts w:cstheme="minorHAnsi"/>
                <w:sz w:val="24"/>
              </w:rPr>
            </w:pPr>
            <w:r>
              <w:rPr>
                <w:rFonts w:cstheme="minorHAnsi"/>
                <w:sz w:val="24"/>
              </w:rPr>
              <w:t>State (if US)</w:t>
            </w:r>
          </w:p>
        </w:tc>
        <w:tc>
          <w:tcPr>
            <w:tcW w:w="4788" w:type="dxa"/>
          </w:tcPr>
          <w:p w14:paraId="06860D9D" w14:textId="77777777" w:rsidR="00E325FF" w:rsidRDefault="00E325FF" w:rsidP="00E325FF">
            <w:pPr>
              <w:tabs>
                <w:tab w:val="center" w:pos="4680"/>
              </w:tabs>
              <w:ind w:right="-900"/>
              <w:jc w:val="both"/>
              <w:outlineLvl w:val="0"/>
              <w:rPr>
                <w:rFonts w:cstheme="minorHAnsi"/>
                <w:sz w:val="24"/>
              </w:rPr>
            </w:pPr>
          </w:p>
        </w:tc>
      </w:tr>
      <w:tr w:rsidR="00E325FF" w14:paraId="593EE483" w14:textId="77777777" w:rsidTr="00E325FF">
        <w:tc>
          <w:tcPr>
            <w:tcW w:w="4788" w:type="dxa"/>
          </w:tcPr>
          <w:p w14:paraId="1FEFEF16" w14:textId="77777777" w:rsidR="00E325FF" w:rsidRDefault="00E325FF" w:rsidP="00E325FF">
            <w:pPr>
              <w:tabs>
                <w:tab w:val="center" w:pos="4680"/>
              </w:tabs>
              <w:ind w:right="-900"/>
              <w:jc w:val="both"/>
              <w:outlineLvl w:val="0"/>
              <w:rPr>
                <w:rFonts w:cstheme="minorHAnsi"/>
                <w:sz w:val="24"/>
              </w:rPr>
            </w:pPr>
            <w:r>
              <w:rPr>
                <w:rFonts w:cstheme="minorHAnsi"/>
                <w:sz w:val="24"/>
              </w:rPr>
              <w:t>Zip/Postal Code</w:t>
            </w:r>
          </w:p>
        </w:tc>
        <w:tc>
          <w:tcPr>
            <w:tcW w:w="4788" w:type="dxa"/>
          </w:tcPr>
          <w:p w14:paraId="52B3DD55" w14:textId="77777777" w:rsidR="00E325FF" w:rsidRDefault="00E325FF" w:rsidP="00E325FF">
            <w:pPr>
              <w:tabs>
                <w:tab w:val="center" w:pos="4680"/>
              </w:tabs>
              <w:ind w:right="-900"/>
              <w:jc w:val="both"/>
              <w:outlineLvl w:val="0"/>
              <w:rPr>
                <w:rFonts w:cstheme="minorHAnsi"/>
                <w:sz w:val="24"/>
              </w:rPr>
            </w:pPr>
          </w:p>
        </w:tc>
      </w:tr>
      <w:tr w:rsidR="00E325FF" w14:paraId="0AEB672D" w14:textId="77777777" w:rsidTr="00E325FF">
        <w:tc>
          <w:tcPr>
            <w:tcW w:w="4788" w:type="dxa"/>
          </w:tcPr>
          <w:p w14:paraId="5CD15F3D" w14:textId="77777777" w:rsidR="00E325FF" w:rsidRDefault="00E325FF" w:rsidP="00E325FF">
            <w:pPr>
              <w:tabs>
                <w:tab w:val="center" w:pos="4680"/>
              </w:tabs>
              <w:ind w:right="-900"/>
              <w:jc w:val="both"/>
              <w:outlineLvl w:val="0"/>
              <w:rPr>
                <w:rFonts w:cstheme="minorHAnsi"/>
                <w:sz w:val="24"/>
              </w:rPr>
            </w:pPr>
            <w:r>
              <w:rPr>
                <w:rFonts w:cstheme="minorHAnsi"/>
                <w:sz w:val="24"/>
              </w:rPr>
              <w:t>Country</w:t>
            </w:r>
          </w:p>
        </w:tc>
        <w:tc>
          <w:tcPr>
            <w:tcW w:w="4788" w:type="dxa"/>
          </w:tcPr>
          <w:p w14:paraId="673F8558" w14:textId="77777777" w:rsidR="00E325FF" w:rsidRDefault="00E325FF" w:rsidP="00E325FF">
            <w:pPr>
              <w:tabs>
                <w:tab w:val="center" w:pos="4680"/>
              </w:tabs>
              <w:ind w:right="-900"/>
              <w:jc w:val="both"/>
              <w:outlineLvl w:val="0"/>
              <w:rPr>
                <w:rFonts w:cstheme="minorHAnsi"/>
                <w:sz w:val="24"/>
              </w:rPr>
            </w:pPr>
          </w:p>
        </w:tc>
      </w:tr>
    </w:tbl>
    <w:p w14:paraId="03E1D389" w14:textId="77777777" w:rsidR="00E325FF" w:rsidRDefault="00E325FF" w:rsidP="00E325FF">
      <w:pPr>
        <w:autoSpaceDE w:val="0"/>
        <w:autoSpaceDN w:val="0"/>
        <w:spacing w:after="0" w:line="240" w:lineRule="auto"/>
        <w:ind w:right="-900"/>
        <w:jc w:val="both"/>
        <w:rPr>
          <w:rFonts w:cstheme="minorHAnsi"/>
        </w:rPr>
      </w:pPr>
    </w:p>
    <w:tbl>
      <w:tblPr>
        <w:tblStyle w:val="TableGrid"/>
        <w:tblW w:w="0" w:type="auto"/>
        <w:tblInd w:w="-540" w:type="dxa"/>
        <w:tblLook w:val="04A0" w:firstRow="1" w:lastRow="0" w:firstColumn="1" w:lastColumn="0" w:noHBand="0" w:noVBand="1"/>
      </w:tblPr>
      <w:tblGrid>
        <w:gridCol w:w="4788"/>
        <w:gridCol w:w="4788"/>
      </w:tblGrid>
      <w:tr w:rsidR="00E325FF" w14:paraId="2B0D8A94" w14:textId="77777777" w:rsidTr="00E325FF">
        <w:tc>
          <w:tcPr>
            <w:tcW w:w="4788" w:type="dxa"/>
          </w:tcPr>
          <w:p w14:paraId="2FD5730E" w14:textId="77777777" w:rsidR="00701DEA" w:rsidRDefault="00E325FF" w:rsidP="00E325FF">
            <w:pPr>
              <w:tabs>
                <w:tab w:val="center" w:pos="4680"/>
              </w:tabs>
              <w:ind w:right="-900"/>
              <w:jc w:val="both"/>
              <w:outlineLvl w:val="0"/>
              <w:rPr>
                <w:rFonts w:cstheme="minorHAnsi"/>
                <w:sz w:val="24"/>
              </w:rPr>
            </w:pPr>
            <w:r>
              <w:rPr>
                <w:rFonts w:cstheme="minorHAnsi"/>
                <w:sz w:val="24"/>
              </w:rPr>
              <w:t xml:space="preserve">Name of Individual Responsible for </w:t>
            </w:r>
          </w:p>
          <w:p w14:paraId="097CEC5D" w14:textId="2AABA579" w:rsidR="00E325FF" w:rsidRDefault="00E325FF" w:rsidP="00E325FF">
            <w:pPr>
              <w:tabs>
                <w:tab w:val="center" w:pos="4680"/>
              </w:tabs>
              <w:ind w:right="-900"/>
              <w:jc w:val="both"/>
              <w:outlineLvl w:val="0"/>
              <w:rPr>
                <w:rFonts w:cstheme="minorHAnsi"/>
                <w:sz w:val="24"/>
              </w:rPr>
            </w:pPr>
            <w:r>
              <w:rPr>
                <w:rFonts w:cstheme="minorHAnsi"/>
                <w:sz w:val="24"/>
              </w:rPr>
              <w:t>Administration of the IAA</w:t>
            </w:r>
          </w:p>
        </w:tc>
        <w:tc>
          <w:tcPr>
            <w:tcW w:w="4788" w:type="dxa"/>
          </w:tcPr>
          <w:p w14:paraId="18846B1A" w14:textId="77777777" w:rsidR="00E325FF" w:rsidRDefault="00E325FF" w:rsidP="00E325FF">
            <w:pPr>
              <w:tabs>
                <w:tab w:val="center" w:pos="4680"/>
              </w:tabs>
              <w:ind w:right="-900"/>
              <w:jc w:val="both"/>
              <w:outlineLvl w:val="0"/>
              <w:rPr>
                <w:rFonts w:cstheme="minorHAnsi"/>
                <w:sz w:val="24"/>
              </w:rPr>
            </w:pPr>
          </w:p>
        </w:tc>
      </w:tr>
      <w:tr w:rsidR="00E325FF" w14:paraId="4FDEF5B3" w14:textId="77777777" w:rsidTr="00E325FF">
        <w:tc>
          <w:tcPr>
            <w:tcW w:w="4788" w:type="dxa"/>
          </w:tcPr>
          <w:p w14:paraId="418A2A34" w14:textId="77777777" w:rsidR="00E325FF" w:rsidRDefault="00E325FF" w:rsidP="00E325FF">
            <w:pPr>
              <w:tabs>
                <w:tab w:val="center" w:pos="4680"/>
              </w:tabs>
              <w:ind w:right="-900"/>
              <w:jc w:val="both"/>
              <w:outlineLvl w:val="0"/>
              <w:rPr>
                <w:rFonts w:cstheme="minorHAnsi"/>
                <w:sz w:val="24"/>
              </w:rPr>
            </w:pPr>
            <w:r>
              <w:rPr>
                <w:rFonts w:cstheme="minorHAnsi"/>
                <w:sz w:val="24"/>
              </w:rPr>
              <w:t>Title of Individual</w:t>
            </w:r>
          </w:p>
        </w:tc>
        <w:tc>
          <w:tcPr>
            <w:tcW w:w="4788" w:type="dxa"/>
          </w:tcPr>
          <w:p w14:paraId="6C81EFF2" w14:textId="77777777" w:rsidR="00E325FF" w:rsidRDefault="00E325FF" w:rsidP="00E325FF">
            <w:pPr>
              <w:tabs>
                <w:tab w:val="center" w:pos="4680"/>
              </w:tabs>
              <w:ind w:right="-900"/>
              <w:jc w:val="both"/>
              <w:outlineLvl w:val="0"/>
              <w:rPr>
                <w:rFonts w:cstheme="minorHAnsi"/>
                <w:sz w:val="24"/>
              </w:rPr>
            </w:pPr>
          </w:p>
        </w:tc>
      </w:tr>
      <w:tr w:rsidR="00E325FF" w14:paraId="54A4CEA4" w14:textId="77777777" w:rsidTr="00E325FF">
        <w:tc>
          <w:tcPr>
            <w:tcW w:w="4788" w:type="dxa"/>
          </w:tcPr>
          <w:p w14:paraId="3784A553" w14:textId="77777777" w:rsidR="00E325FF" w:rsidRDefault="00E325FF" w:rsidP="00E325FF">
            <w:pPr>
              <w:tabs>
                <w:tab w:val="center" w:pos="4680"/>
              </w:tabs>
              <w:ind w:right="-900"/>
              <w:jc w:val="both"/>
              <w:outlineLvl w:val="0"/>
              <w:rPr>
                <w:rFonts w:cstheme="minorHAnsi"/>
                <w:sz w:val="24"/>
              </w:rPr>
            </w:pPr>
            <w:r>
              <w:rPr>
                <w:rFonts w:cstheme="minorHAnsi"/>
                <w:sz w:val="24"/>
              </w:rPr>
              <w:t>Phone Number</w:t>
            </w:r>
          </w:p>
        </w:tc>
        <w:tc>
          <w:tcPr>
            <w:tcW w:w="4788" w:type="dxa"/>
          </w:tcPr>
          <w:p w14:paraId="76C73E0F" w14:textId="77777777" w:rsidR="00E325FF" w:rsidRDefault="00E325FF" w:rsidP="00E325FF">
            <w:pPr>
              <w:tabs>
                <w:tab w:val="center" w:pos="4680"/>
              </w:tabs>
              <w:ind w:right="-900"/>
              <w:jc w:val="both"/>
              <w:outlineLvl w:val="0"/>
              <w:rPr>
                <w:rFonts w:cstheme="minorHAnsi"/>
                <w:sz w:val="24"/>
              </w:rPr>
            </w:pPr>
          </w:p>
        </w:tc>
      </w:tr>
      <w:tr w:rsidR="00E325FF" w14:paraId="6E809215" w14:textId="77777777" w:rsidTr="00E325FF">
        <w:tc>
          <w:tcPr>
            <w:tcW w:w="4788" w:type="dxa"/>
          </w:tcPr>
          <w:p w14:paraId="519859E5" w14:textId="77777777" w:rsidR="00E325FF" w:rsidRDefault="00E325FF" w:rsidP="00E325FF">
            <w:pPr>
              <w:tabs>
                <w:tab w:val="center" w:pos="4680"/>
              </w:tabs>
              <w:ind w:right="-900"/>
              <w:jc w:val="both"/>
              <w:outlineLvl w:val="0"/>
              <w:rPr>
                <w:rFonts w:cstheme="minorHAnsi"/>
                <w:sz w:val="24"/>
              </w:rPr>
            </w:pPr>
            <w:r>
              <w:rPr>
                <w:rFonts w:cstheme="minorHAnsi"/>
                <w:sz w:val="24"/>
              </w:rPr>
              <w:t>Email address</w:t>
            </w:r>
          </w:p>
        </w:tc>
        <w:tc>
          <w:tcPr>
            <w:tcW w:w="4788" w:type="dxa"/>
          </w:tcPr>
          <w:p w14:paraId="5CBD8ABE" w14:textId="77777777" w:rsidR="00E325FF" w:rsidRDefault="00E325FF" w:rsidP="00E325FF">
            <w:pPr>
              <w:tabs>
                <w:tab w:val="center" w:pos="4680"/>
              </w:tabs>
              <w:ind w:right="-900"/>
              <w:jc w:val="both"/>
              <w:outlineLvl w:val="0"/>
              <w:rPr>
                <w:rFonts w:cstheme="minorHAnsi"/>
                <w:sz w:val="24"/>
              </w:rPr>
            </w:pPr>
          </w:p>
        </w:tc>
      </w:tr>
    </w:tbl>
    <w:p w14:paraId="55712185" w14:textId="77777777" w:rsidR="00F360D2" w:rsidRDefault="00F360D2" w:rsidP="00F360D2">
      <w:pPr>
        <w:autoSpaceDE w:val="0"/>
        <w:autoSpaceDN w:val="0"/>
        <w:spacing w:after="0" w:line="240" w:lineRule="auto"/>
        <w:ind w:right="-907"/>
        <w:jc w:val="both"/>
        <w:rPr>
          <w:rFonts w:cstheme="minorHAnsi"/>
        </w:rPr>
      </w:pPr>
    </w:p>
    <w:p w14:paraId="701FC8C0" w14:textId="77777777" w:rsidR="001A46AF" w:rsidRPr="00F360D2" w:rsidRDefault="001A46AF" w:rsidP="00F360D2">
      <w:pPr>
        <w:pStyle w:val="ListParagraph"/>
        <w:numPr>
          <w:ilvl w:val="0"/>
          <w:numId w:val="17"/>
        </w:numPr>
        <w:autoSpaceDE w:val="0"/>
        <w:autoSpaceDN w:val="0"/>
        <w:spacing w:after="0" w:line="240" w:lineRule="auto"/>
        <w:ind w:right="-907"/>
        <w:jc w:val="both"/>
        <w:rPr>
          <w:rFonts w:cstheme="minorHAnsi"/>
        </w:rPr>
      </w:pPr>
      <w:r w:rsidRPr="00F360D2">
        <w:rPr>
          <w:rFonts w:cstheme="minorHAnsi"/>
          <w:b/>
          <w:bCs/>
          <w:i/>
          <w:sz w:val="24"/>
        </w:rPr>
        <w:t>Scope of the Agreement</w:t>
      </w:r>
      <w:r w:rsidRPr="00F360D2">
        <w:rPr>
          <w:rFonts w:cstheme="minorHAnsi"/>
          <w:i/>
          <w:sz w:val="24"/>
        </w:rPr>
        <w:t xml:space="preserve">: </w:t>
      </w:r>
    </w:p>
    <w:p w14:paraId="0E655B00" w14:textId="77777777" w:rsidR="00F360D2" w:rsidRPr="00F360D2" w:rsidRDefault="00F360D2" w:rsidP="00F360D2">
      <w:pPr>
        <w:pStyle w:val="ListParagraph"/>
        <w:autoSpaceDE w:val="0"/>
        <w:autoSpaceDN w:val="0"/>
        <w:spacing w:after="0" w:line="240" w:lineRule="auto"/>
        <w:ind w:right="-907"/>
        <w:jc w:val="both"/>
        <w:rPr>
          <w:rFonts w:cstheme="minorHAnsi"/>
        </w:rPr>
      </w:pPr>
    </w:p>
    <w:p w14:paraId="57201EDB" w14:textId="3F0092D3" w:rsidR="00F360D2" w:rsidRPr="00522C1F" w:rsidRDefault="001A46AF" w:rsidP="00522C1F">
      <w:pPr>
        <w:pStyle w:val="ListParagraph"/>
        <w:numPr>
          <w:ilvl w:val="1"/>
          <w:numId w:val="17"/>
        </w:numPr>
        <w:tabs>
          <w:tab w:val="center" w:pos="4680"/>
        </w:tabs>
        <w:outlineLvl w:val="0"/>
        <w:rPr>
          <w:rFonts w:cstheme="minorHAnsi"/>
        </w:rPr>
      </w:pPr>
      <w:r w:rsidRPr="00F360D2">
        <w:rPr>
          <w:rFonts w:cstheme="minorHAnsi"/>
        </w:rPr>
        <w:t>The Officials signing below agree that Institution shall rely on Central IRB for review and continuing oversight of human subject research covered by the Institution’s FWA, if applicable.</w:t>
      </w:r>
    </w:p>
    <w:p w14:paraId="064C91DA" w14:textId="77777777" w:rsidR="00F360D2" w:rsidRDefault="001A46AF" w:rsidP="001A46AF">
      <w:pPr>
        <w:tabs>
          <w:tab w:val="center" w:pos="4680"/>
        </w:tabs>
        <w:outlineLvl w:val="0"/>
        <w:rPr>
          <w:rFonts w:cstheme="minorHAnsi"/>
          <w:u w:val="single"/>
        </w:rPr>
      </w:pPr>
      <w:r w:rsidRPr="0057128B">
        <w:rPr>
          <w:rFonts w:cstheme="minorHAnsi"/>
          <w:u w:val="single"/>
        </w:rPr>
        <w:t>OR, if project specific</w:t>
      </w:r>
    </w:p>
    <w:p w14:paraId="428406F3" w14:textId="77777777" w:rsidR="001A46AF" w:rsidRPr="00F360D2" w:rsidRDefault="001A46AF" w:rsidP="001A46AF">
      <w:pPr>
        <w:tabs>
          <w:tab w:val="center" w:pos="4680"/>
        </w:tabs>
        <w:outlineLvl w:val="0"/>
        <w:rPr>
          <w:rFonts w:cstheme="minorHAnsi"/>
          <w:u w:val="single"/>
        </w:rPr>
      </w:pPr>
      <w:r w:rsidRPr="00A57F69">
        <w:rPr>
          <w:rFonts w:cstheme="minorHAnsi"/>
        </w:rPr>
        <w:t xml:space="preserve">The Officials signing below agree that Institution shall rely on </w:t>
      </w:r>
      <w:r w:rsidRPr="006A3E15">
        <w:rPr>
          <w:rFonts w:cstheme="minorHAnsi"/>
        </w:rPr>
        <w:t>Central IRB</w:t>
      </w:r>
      <w:r w:rsidRPr="00A57F69">
        <w:rPr>
          <w:rFonts w:cstheme="minorHAnsi"/>
        </w:rPr>
        <w:t xml:space="preserve"> for review and continuing oversight</w:t>
      </w:r>
      <w:r>
        <w:rPr>
          <w:rFonts w:cstheme="minorHAnsi"/>
        </w:rPr>
        <w:t xml:space="preserve"> of the following human subject</w:t>
      </w:r>
      <w:r w:rsidRPr="00A57F69">
        <w:rPr>
          <w:rFonts w:cstheme="minorHAnsi"/>
        </w:rPr>
        <w:t xml:space="preserve"> research covered by the Institution’s FWA:   </w:t>
      </w:r>
    </w:p>
    <w:tbl>
      <w:tblPr>
        <w:tblStyle w:val="TableGrid"/>
        <w:tblW w:w="0" w:type="auto"/>
        <w:tblLook w:val="04A0" w:firstRow="1" w:lastRow="0" w:firstColumn="1" w:lastColumn="0" w:noHBand="0" w:noVBand="1"/>
      </w:tblPr>
      <w:tblGrid>
        <w:gridCol w:w="4788"/>
        <w:gridCol w:w="4788"/>
      </w:tblGrid>
      <w:tr w:rsidR="00DB7FCA" w14:paraId="2ADC1930" w14:textId="77777777" w:rsidTr="00DB7FCA">
        <w:tc>
          <w:tcPr>
            <w:tcW w:w="4788" w:type="dxa"/>
          </w:tcPr>
          <w:p w14:paraId="5E0B7F4D" w14:textId="77777777" w:rsidR="00DB7FCA" w:rsidRDefault="00DB7FCA" w:rsidP="001A46AF">
            <w:pPr>
              <w:tabs>
                <w:tab w:val="left" w:pos="4050"/>
              </w:tabs>
              <w:outlineLvl w:val="0"/>
              <w:rPr>
                <w:rFonts w:cstheme="minorHAnsi"/>
              </w:rPr>
            </w:pPr>
            <w:r>
              <w:rPr>
                <w:rFonts w:cstheme="minorHAnsi"/>
              </w:rPr>
              <w:lastRenderedPageBreak/>
              <w:t>Title of Research Project</w:t>
            </w:r>
          </w:p>
        </w:tc>
        <w:tc>
          <w:tcPr>
            <w:tcW w:w="4788" w:type="dxa"/>
          </w:tcPr>
          <w:p w14:paraId="7A1FA3CE" w14:textId="77777777" w:rsidR="00DB7FCA" w:rsidRDefault="00DB7FCA" w:rsidP="001A46AF">
            <w:pPr>
              <w:tabs>
                <w:tab w:val="left" w:pos="4050"/>
              </w:tabs>
              <w:outlineLvl w:val="0"/>
              <w:rPr>
                <w:rFonts w:cstheme="minorHAnsi"/>
              </w:rPr>
            </w:pPr>
          </w:p>
        </w:tc>
      </w:tr>
      <w:tr w:rsidR="00DB7FCA" w14:paraId="38BB0C34" w14:textId="77777777" w:rsidTr="00DB7FCA">
        <w:tc>
          <w:tcPr>
            <w:tcW w:w="4788" w:type="dxa"/>
          </w:tcPr>
          <w:p w14:paraId="58BF09F2" w14:textId="77777777" w:rsidR="00DB7FCA" w:rsidRDefault="00DB7FCA" w:rsidP="001A46AF">
            <w:pPr>
              <w:tabs>
                <w:tab w:val="left" w:pos="4050"/>
              </w:tabs>
              <w:outlineLvl w:val="0"/>
              <w:rPr>
                <w:rFonts w:cstheme="minorHAnsi"/>
              </w:rPr>
            </w:pPr>
            <w:r>
              <w:rPr>
                <w:rFonts w:cstheme="minorHAnsi"/>
              </w:rPr>
              <w:t>Name of Principal Investigator</w:t>
            </w:r>
          </w:p>
        </w:tc>
        <w:tc>
          <w:tcPr>
            <w:tcW w:w="4788" w:type="dxa"/>
          </w:tcPr>
          <w:p w14:paraId="33ED7C01" w14:textId="77777777" w:rsidR="00DB7FCA" w:rsidRDefault="00DB7FCA" w:rsidP="001A46AF">
            <w:pPr>
              <w:tabs>
                <w:tab w:val="left" w:pos="4050"/>
              </w:tabs>
              <w:outlineLvl w:val="0"/>
              <w:rPr>
                <w:rFonts w:cstheme="minorHAnsi"/>
              </w:rPr>
            </w:pPr>
          </w:p>
        </w:tc>
      </w:tr>
      <w:tr w:rsidR="00DB7FCA" w14:paraId="123918B2" w14:textId="77777777" w:rsidTr="00DB7FCA">
        <w:tc>
          <w:tcPr>
            <w:tcW w:w="4788" w:type="dxa"/>
          </w:tcPr>
          <w:p w14:paraId="7ACFF88F" w14:textId="77777777" w:rsidR="00DB7FCA" w:rsidRDefault="00DB7FCA" w:rsidP="001A46AF">
            <w:pPr>
              <w:tabs>
                <w:tab w:val="left" w:pos="4050"/>
              </w:tabs>
              <w:outlineLvl w:val="0"/>
              <w:rPr>
                <w:rFonts w:cstheme="minorHAnsi"/>
              </w:rPr>
            </w:pPr>
            <w:r>
              <w:rPr>
                <w:rFonts w:cstheme="minorHAnsi"/>
              </w:rPr>
              <w:t>Name of Sponsor</w:t>
            </w:r>
          </w:p>
        </w:tc>
        <w:tc>
          <w:tcPr>
            <w:tcW w:w="4788" w:type="dxa"/>
          </w:tcPr>
          <w:p w14:paraId="177F85B4" w14:textId="77777777" w:rsidR="00DB7FCA" w:rsidRDefault="00DB7FCA" w:rsidP="001A46AF">
            <w:pPr>
              <w:tabs>
                <w:tab w:val="left" w:pos="4050"/>
              </w:tabs>
              <w:outlineLvl w:val="0"/>
              <w:rPr>
                <w:rFonts w:cstheme="minorHAnsi"/>
              </w:rPr>
            </w:pPr>
          </w:p>
        </w:tc>
      </w:tr>
      <w:tr w:rsidR="00DB7FCA" w14:paraId="7A51C986" w14:textId="77777777" w:rsidTr="00DB7FCA">
        <w:tc>
          <w:tcPr>
            <w:tcW w:w="4788" w:type="dxa"/>
          </w:tcPr>
          <w:p w14:paraId="33751106" w14:textId="77777777" w:rsidR="00DB7FCA" w:rsidRDefault="00DB7FCA" w:rsidP="001A46AF">
            <w:pPr>
              <w:tabs>
                <w:tab w:val="left" w:pos="4050"/>
              </w:tabs>
              <w:outlineLvl w:val="0"/>
              <w:rPr>
                <w:rFonts w:cstheme="minorHAnsi"/>
              </w:rPr>
            </w:pPr>
            <w:r>
              <w:rPr>
                <w:rFonts w:cstheme="minorHAnsi"/>
              </w:rPr>
              <w:t>Name of Funding Agency</w:t>
            </w:r>
          </w:p>
        </w:tc>
        <w:tc>
          <w:tcPr>
            <w:tcW w:w="4788" w:type="dxa"/>
          </w:tcPr>
          <w:p w14:paraId="2D1ADB0A" w14:textId="77777777" w:rsidR="00DB7FCA" w:rsidRDefault="00DB7FCA" w:rsidP="001A46AF">
            <w:pPr>
              <w:tabs>
                <w:tab w:val="left" w:pos="4050"/>
              </w:tabs>
              <w:outlineLvl w:val="0"/>
              <w:rPr>
                <w:rFonts w:cstheme="minorHAnsi"/>
              </w:rPr>
            </w:pPr>
          </w:p>
        </w:tc>
      </w:tr>
      <w:tr w:rsidR="00DB7FCA" w14:paraId="2D05CA18" w14:textId="77777777" w:rsidTr="00DB7FCA">
        <w:tc>
          <w:tcPr>
            <w:tcW w:w="4788" w:type="dxa"/>
          </w:tcPr>
          <w:p w14:paraId="2EAD110B" w14:textId="77777777" w:rsidR="00DB7FCA" w:rsidRDefault="00DB7FCA" w:rsidP="001A46AF">
            <w:pPr>
              <w:tabs>
                <w:tab w:val="left" w:pos="4050"/>
              </w:tabs>
              <w:outlineLvl w:val="0"/>
              <w:rPr>
                <w:rFonts w:cstheme="minorHAnsi"/>
              </w:rPr>
            </w:pPr>
            <w:r>
              <w:rPr>
                <w:rFonts w:cstheme="minorHAnsi"/>
              </w:rPr>
              <w:t>Award Number, if any</w:t>
            </w:r>
          </w:p>
        </w:tc>
        <w:tc>
          <w:tcPr>
            <w:tcW w:w="4788" w:type="dxa"/>
          </w:tcPr>
          <w:p w14:paraId="4073941C" w14:textId="77777777" w:rsidR="00DB7FCA" w:rsidRDefault="00DB7FCA" w:rsidP="001A46AF">
            <w:pPr>
              <w:tabs>
                <w:tab w:val="left" w:pos="4050"/>
              </w:tabs>
              <w:outlineLvl w:val="0"/>
              <w:rPr>
                <w:rFonts w:cstheme="minorHAnsi"/>
              </w:rPr>
            </w:pPr>
          </w:p>
        </w:tc>
      </w:tr>
    </w:tbl>
    <w:p w14:paraId="337968DE" w14:textId="77777777" w:rsidR="001A46AF" w:rsidRPr="00A57F69" w:rsidRDefault="001A46AF" w:rsidP="001A46AF">
      <w:pPr>
        <w:tabs>
          <w:tab w:val="left" w:pos="5040"/>
        </w:tabs>
        <w:spacing w:after="0" w:line="240" w:lineRule="auto"/>
        <w:rPr>
          <w:rFonts w:cstheme="minorHAnsi"/>
        </w:rPr>
      </w:pPr>
    </w:p>
    <w:p w14:paraId="53B8E3A4" w14:textId="77777777" w:rsidR="00F360D2" w:rsidRDefault="001A46AF" w:rsidP="00F360D2">
      <w:pPr>
        <w:pStyle w:val="ListParagraph"/>
        <w:numPr>
          <w:ilvl w:val="1"/>
          <w:numId w:val="17"/>
        </w:numPr>
        <w:rPr>
          <w:rFonts w:cstheme="minorHAnsi"/>
          <w:iCs/>
        </w:rPr>
      </w:pPr>
      <w:r w:rsidRPr="00F360D2">
        <w:rPr>
          <w:rFonts w:cstheme="minorHAnsi"/>
        </w:rPr>
        <w:t xml:space="preserve">This Agreement does not preclude any party from participating in any other IRB authorization agreements that it may have or enter with other entities for human subject research other than the study for which review is ceded to the Central IRB under this Agreement. </w:t>
      </w:r>
      <w:r w:rsidRPr="00F360D2">
        <w:rPr>
          <w:rFonts w:cstheme="minorHAnsi"/>
          <w:iCs/>
        </w:rPr>
        <w:t xml:space="preserve">This document must be kept on file by all parties and provided to FDA, OHRP, and/or other applicable regulatory agencies upon request.  This Agreement may be executed in any number of counterparts, either in original, emailed or faxed form. </w:t>
      </w:r>
    </w:p>
    <w:p w14:paraId="7701DFFE" w14:textId="77777777" w:rsidR="00CE5A17" w:rsidRDefault="00CE5A17" w:rsidP="00CE5A17">
      <w:pPr>
        <w:pStyle w:val="ListParagraph"/>
        <w:ind w:left="740"/>
        <w:rPr>
          <w:rFonts w:cstheme="minorHAnsi"/>
          <w:iCs/>
        </w:rPr>
      </w:pPr>
    </w:p>
    <w:p w14:paraId="1DFB162D" w14:textId="77777777" w:rsidR="00F360D2" w:rsidRPr="00F360D2" w:rsidRDefault="00F360D2" w:rsidP="00F360D2">
      <w:pPr>
        <w:pStyle w:val="ListParagraph"/>
        <w:numPr>
          <w:ilvl w:val="1"/>
          <w:numId w:val="17"/>
        </w:numPr>
        <w:rPr>
          <w:rFonts w:cstheme="minorHAnsi"/>
          <w:iCs/>
        </w:rPr>
      </w:pPr>
      <w:r>
        <w:t>T</w:t>
      </w:r>
      <w:r w:rsidRPr="000424D7">
        <w:t>he Central IRB will follow Institution/Central IRB (pick one)’s policies and procedures pertaining to documentation and review.  For the purposes of conducting the IRB review, Institution/ Central IRB (pick one) will identify and interpret the requirements of applicable state or local laws, and regulations.  Institution shall have the ability to discuss these interpretations with the Central IRB</w:t>
      </w:r>
    </w:p>
    <w:p w14:paraId="448E7C69" w14:textId="77777777" w:rsidR="00F360D2" w:rsidRDefault="00F360D2" w:rsidP="00F360D2">
      <w:pPr>
        <w:pStyle w:val="ListParagraph"/>
        <w:ind w:left="740"/>
        <w:rPr>
          <w:rFonts w:cstheme="minorHAnsi"/>
          <w:iCs/>
        </w:rPr>
      </w:pPr>
    </w:p>
    <w:p w14:paraId="2947AD99" w14:textId="77777777" w:rsidR="00C00AB5" w:rsidRPr="00CE5A17" w:rsidRDefault="001A46AF" w:rsidP="00C00AB5">
      <w:pPr>
        <w:pStyle w:val="ListParagraph"/>
        <w:numPr>
          <w:ilvl w:val="0"/>
          <w:numId w:val="17"/>
        </w:numPr>
        <w:rPr>
          <w:rFonts w:cstheme="minorHAnsi"/>
          <w:iCs/>
        </w:rPr>
      </w:pPr>
      <w:r w:rsidRPr="00F360D2">
        <w:rPr>
          <w:rFonts w:cstheme="minorHAnsi"/>
          <w:b/>
          <w:i/>
          <w:iCs/>
          <w:sz w:val="24"/>
        </w:rPr>
        <w:t>Resp</w:t>
      </w:r>
      <w:r w:rsidR="00C00AB5">
        <w:rPr>
          <w:rFonts w:cstheme="minorHAnsi"/>
          <w:b/>
          <w:i/>
          <w:iCs/>
          <w:sz w:val="24"/>
        </w:rPr>
        <w:t>onsibilities of the Central IRB</w:t>
      </w:r>
    </w:p>
    <w:p w14:paraId="3DDB9E2C" w14:textId="77777777" w:rsidR="00CE5A17" w:rsidRPr="00C00AB5" w:rsidRDefault="00CE5A17" w:rsidP="00CE5A17">
      <w:pPr>
        <w:pStyle w:val="ListParagraph"/>
        <w:rPr>
          <w:rFonts w:cstheme="minorHAnsi"/>
          <w:iCs/>
        </w:rPr>
      </w:pPr>
    </w:p>
    <w:p w14:paraId="2D4FE4CA" w14:textId="77777777" w:rsidR="00F360D2" w:rsidRDefault="00C00AB5" w:rsidP="00C00AB5">
      <w:pPr>
        <w:pStyle w:val="ListParagraph"/>
        <w:numPr>
          <w:ilvl w:val="1"/>
          <w:numId w:val="17"/>
        </w:numPr>
        <w:rPr>
          <w:rFonts w:cstheme="minorHAnsi"/>
          <w:iCs/>
        </w:rPr>
      </w:pPr>
      <w:r w:rsidRPr="00C00AB5">
        <w:rPr>
          <w:rFonts w:cstheme="minorHAnsi"/>
          <w:iCs/>
          <w:sz w:val="24"/>
        </w:rPr>
        <w:t>T</w:t>
      </w:r>
      <w:r w:rsidR="001A46AF" w:rsidRPr="0057128B">
        <w:rPr>
          <w:rFonts w:cstheme="minorHAnsi"/>
          <w:iCs/>
        </w:rPr>
        <w:t xml:space="preserve">he review performed by </w:t>
      </w:r>
      <w:r w:rsidR="001A46AF" w:rsidRPr="0057128B">
        <w:rPr>
          <w:rFonts w:cstheme="minorHAnsi"/>
        </w:rPr>
        <w:t xml:space="preserve">Central IRB </w:t>
      </w:r>
      <w:r w:rsidR="001A46AF" w:rsidRPr="0057128B">
        <w:rPr>
          <w:rFonts w:cstheme="minorHAnsi"/>
          <w:iCs/>
        </w:rPr>
        <w:t>will meet the human subject protection requirements of the Common Rule (e.g., 45 CFR 46) and applicable FDA regulations (e.g., 21 CFR Parts 50,</w:t>
      </w:r>
      <w:r w:rsidR="001A46AF" w:rsidRPr="00C00AB5">
        <w:rPr>
          <w:rFonts w:cstheme="minorHAnsi"/>
          <w:iCs/>
        </w:rPr>
        <w:t xml:space="preserve"> 56, 312, 812).  </w:t>
      </w:r>
      <w:r w:rsidR="001A46AF" w:rsidRPr="00C00AB5">
        <w:rPr>
          <w:rFonts w:cstheme="minorHAnsi"/>
        </w:rPr>
        <w:t xml:space="preserve">Central IRB </w:t>
      </w:r>
      <w:r w:rsidR="001A46AF" w:rsidRPr="00C00AB5">
        <w:rPr>
          <w:rFonts w:cstheme="minorHAnsi"/>
          <w:iCs/>
        </w:rPr>
        <w:t>will follow written procedures for reporting its findings and actions to the PI, Sponsor, and appropriate officials at the Institution</w:t>
      </w:r>
      <w:r w:rsidR="00F360D2" w:rsidRPr="00C00AB5">
        <w:rPr>
          <w:rFonts w:cstheme="minorHAnsi"/>
          <w:iCs/>
        </w:rPr>
        <w:t xml:space="preserve"> and federal agencies as appropriate. </w:t>
      </w:r>
      <w:r w:rsidR="001A46AF" w:rsidRPr="00C00AB5">
        <w:rPr>
          <w:rFonts w:cstheme="minorHAnsi"/>
          <w:iCs/>
        </w:rPr>
        <w:t xml:space="preserve">Relevant minutes of IRB meetings may be made available to the Institution by </w:t>
      </w:r>
      <w:r w:rsidR="001A46AF" w:rsidRPr="00C00AB5">
        <w:rPr>
          <w:rFonts w:cstheme="minorHAnsi"/>
        </w:rPr>
        <w:t xml:space="preserve">Central IRB </w:t>
      </w:r>
      <w:r w:rsidR="001A46AF" w:rsidRPr="00C00AB5">
        <w:rPr>
          <w:rFonts w:cstheme="minorHAnsi"/>
          <w:iCs/>
        </w:rPr>
        <w:t xml:space="preserve">upon request.  </w:t>
      </w:r>
    </w:p>
    <w:p w14:paraId="6D08D4F3" w14:textId="77777777" w:rsidR="00CE5A17" w:rsidRPr="00C00AB5" w:rsidRDefault="00CE5A17" w:rsidP="00CE5A17">
      <w:pPr>
        <w:pStyle w:val="ListParagraph"/>
        <w:ind w:left="740"/>
        <w:rPr>
          <w:rFonts w:cstheme="minorHAnsi"/>
          <w:iCs/>
        </w:rPr>
      </w:pPr>
    </w:p>
    <w:p w14:paraId="06DE57A1" w14:textId="77777777" w:rsidR="00C00AB5" w:rsidRPr="00C00AB5" w:rsidRDefault="001A46AF" w:rsidP="00C00AB5">
      <w:pPr>
        <w:pStyle w:val="ListParagraph"/>
        <w:numPr>
          <w:ilvl w:val="1"/>
          <w:numId w:val="17"/>
        </w:numPr>
        <w:rPr>
          <w:rFonts w:cstheme="minorHAnsi"/>
          <w:iCs/>
        </w:rPr>
      </w:pPr>
      <w:r w:rsidRPr="00F360D2">
        <w:rPr>
          <w:rFonts w:cstheme="minorHAnsi"/>
        </w:rPr>
        <w:t xml:space="preserve">Central IRB services shall include, but not be limited to: </w:t>
      </w:r>
    </w:p>
    <w:p w14:paraId="1AD47DF4" w14:textId="77777777" w:rsidR="00C00AB5" w:rsidRPr="00C00AB5" w:rsidRDefault="001A46AF" w:rsidP="00CE5A17">
      <w:pPr>
        <w:pStyle w:val="ListParagraph"/>
        <w:numPr>
          <w:ilvl w:val="2"/>
          <w:numId w:val="20"/>
        </w:numPr>
        <w:rPr>
          <w:rFonts w:cstheme="minorHAnsi"/>
          <w:iCs/>
        </w:rPr>
      </w:pPr>
      <w:proofErr w:type="gramStart"/>
      <w:r w:rsidRPr="00C00AB5">
        <w:rPr>
          <w:rFonts w:cstheme="minorHAnsi"/>
        </w:rPr>
        <w:t>review</w:t>
      </w:r>
      <w:proofErr w:type="gramEnd"/>
      <w:r w:rsidRPr="00C00AB5">
        <w:rPr>
          <w:rFonts w:cstheme="minorHAnsi"/>
        </w:rPr>
        <w:t xml:space="preserve"> and approval or disapproval of new protocols; </w:t>
      </w:r>
    </w:p>
    <w:p w14:paraId="64F0B189" w14:textId="7DAFBC48" w:rsidR="00C00AB5" w:rsidRPr="00C00AB5" w:rsidRDefault="00C00AB5" w:rsidP="00CE5A17">
      <w:pPr>
        <w:pStyle w:val="ListParagraph"/>
        <w:numPr>
          <w:ilvl w:val="2"/>
          <w:numId w:val="20"/>
        </w:numPr>
        <w:rPr>
          <w:rFonts w:cstheme="minorHAnsi"/>
          <w:iCs/>
        </w:rPr>
      </w:pPr>
      <w:proofErr w:type="gramStart"/>
      <w:r>
        <w:rPr>
          <w:rFonts w:cstheme="minorHAnsi"/>
        </w:rPr>
        <w:t>r</w:t>
      </w:r>
      <w:r w:rsidR="001A46AF" w:rsidRPr="00C00AB5">
        <w:rPr>
          <w:rFonts w:cstheme="minorHAnsi"/>
        </w:rPr>
        <w:t>eview</w:t>
      </w:r>
      <w:proofErr w:type="gramEnd"/>
      <w:r w:rsidR="001A46AF" w:rsidRPr="00C00AB5">
        <w:rPr>
          <w:rFonts w:cstheme="minorHAnsi"/>
        </w:rPr>
        <w:t xml:space="preserve"> and approval, disapproval or</w:t>
      </w:r>
      <w:r>
        <w:rPr>
          <w:rFonts w:cstheme="minorHAnsi"/>
        </w:rPr>
        <w:t xml:space="preserve"> modification of consent forms</w:t>
      </w:r>
      <w:r w:rsidR="009744DF">
        <w:rPr>
          <w:rFonts w:cstheme="minorHAnsi"/>
        </w:rPr>
        <w:t xml:space="preserve"> or waivers of informed consent</w:t>
      </w:r>
      <w:r>
        <w:rPr>
          <w:rFonts w:cstheme="minorHAnsi"/>
        </w:rPr>
        <w:t>;</w:t>
      </w:r>
    </w:p>
    <w:p w14:paraId="00D7C1F2" w14:textId="77777777" w:rsidR="00C00AB5" w:rsidRPr="00C00AB5" w:rsidRDefault="00F360D2" w:rsidP="00CE5A17">
      <w:pPr>
        <w:pStyle w:val="ListParagraph"/>
        <w:numPr>
          <w:ilvl w:val="2"/>
          <w:numId w:val="20"/>
        </w:numPr>
        <w:rPr>
          <w:rFonts w:cstheme="minorHAnsi"/>
          <w:iCs/>
        </w:rPr>
      </w:pPr>
      <w:proofErr w:type="gramStart"/>
      <w:r w:rsidRPr="00C00AB5">
        <w:rPr>
          <w:rFonts w:cstheme="minorHAnsi"/>
        </w:rPr>
        <w:t>review</w:t>
      </w:r>
      <w:proofErr w:type="gramEnd"/>
      <w:r w:rsidRPr="00C00AB5">
        <w:rPr>
          <w:rFonts w:cstheme="minorHAnsi"/>
        </w:rPr>
        <w:t xml:space="preserve"> and approval of modifications to protocols;</w:t>
      </w:r>
    </w:p>
    <w:p w14:paraId="703806FA" w14:textId="77777777" w:rsidR="00C00AB5" w:rsidRPr="00C00AB5" w:rsidRDefault="00C00AB5" w:rsidP="00CE5A17">
      <w:pPr>
        <w:pStyle w:val="ListParagraph"/>
        <w:numPr>
          <w:ilvl w:val="2"/>
          <w:numId w:val="20"/>
        </w:numPr>
        <w:rPr>
          <w:rFonts w:cstheme="minorHAnsi"/>
          <w:iCs/>
        </w:rPr>
      </w:pPr>
      <w:proofErr w:type="gramStart"/>
      <w:r>
        <w:rPr>
          <w:rFonts w:cstheme="minorHAnsi"/>
        </w:rPr>
        <w:t>r</w:t>
      </w:r>
      <w:r w:rsidR="001A46AF" w:rsidRPr="00C00AB5">
        <w:rPr>
          <w:rFonts w:cstheme="minorHAnsi"/>
        </w:rPr>
        <w:t>eview</w:t>
      </w:r>
      <w:proofErr w:type="gramEnd"/>
      <w:r w:rsidR="001A46AF" w:rsidRPr="00C00AB5">
        <w:rPr>
          <w:rFonts w:cstheme="minorHAnsi"/>
        </w:rPr>
        <w:t xml:space="preserve"> and approval or disapproval of the investigator(s) and changes in research;</w:t>
      </w:r>
    </w:p>
    <w:p w14:paraId="30708927" w14:textId="77777777" w:rsidR="00C00AB5" w:rsidRPr="00C00AB5" w:rsidRDefault="001A46AF" w:rsidP="00CE5A17">
      <w:pPr>
        <w:pStyle w:val="ListParagraph"/>
        <w:numPr>
          <w:ilvl w:val="2"/>
          <w:numId w:val="20"/>
        </w:numPr>
        <w:rPr>
          <w:rFonts w:cstheme="minorHAnsi"/>
          <w:iCs/>
        </w:rPr>
      </w:pPr>
      <w:proofErr w:type="gramStart"/>
      <w:r w:rsidRPr="00C00AB5">
        <w:rPr>
          <w:rFonts w:cstheme="minorHAnsi"/>
        </w:rPr>
        <w:t>collection</w:t>
      </w:r>
      <w:proofErr w:type="gramEnd"/>
      <w:r w:rsidRPr="00C00AB5">
        <w:rPr>
          <w:rFonts w:cstheme="minorHAnsi"/>
        </w:rPr>
        <w:t xml:space="preserve"> of reports of unanticipated problems and serious o</w:t>
      </w:r>
      <w:r w:rsidR="00C00AB5">
        <w:rPr>
          <w:rFonts w:cstheme="minorHAnsi"/>
        </w:rPr>
        <w:t>r continuing noncompliance;</w:t>
      </w:r>
    </w:p>
    <w:p w14:paraId="684A6493" w14:textId="77777777" w:rsidR="00CE5A17" w:rsidRPr="00CE5A17" w:rsidRDefault="001A46AF" w:rsidP="00CE5A17">
      <w:pPr>
        <w:pStyle w:val="ListParagraph"/>
        <w:numPr>
          <w:ilvl w:val="2"/>
          <w:numId w:val="20"/>
        </w:numPr>
        <w:rPr>
          <w:rFonts w:cstheme="minorHAnsi"/>
          <w:iCs/>
        </w:rPr>
      </w:pPr>
      <w:proofErr w:type="gramStart"/>
      <w:r w:rsidRPr="00C00AB5">
        <w:rPr>
          <w:rFonts w:cstheme="minorHAnsi"/>
        </w:rPr>
        <w:t>maintenance</w:t>
      </w:r>
      <w:proofErr w:type="gramEnd"/>
      <w:r w:rsidRPr="00C00AB5">
        <w:rPr>
          <w:rFonts w:cstheme="minorHAnsi"/>
        </w:rPr>
        <w:t xml:space="preserve"> of required IRB records pursuant to applicable federal regulations</w:t>
      </w:r>
      <w:r w:rsidR="00F360D2" w:rsidRPr="00C00AB5">
        <w:rPr>
          <w:rFonts w:cstheme="minorHAnsi"/>
        </w:rPr>
        <w:t xml:space="preserve">. </w:t>
      </w:r>
    </w:p>
    <w:p w14:paraId="09013937" w14:textId="77777777" w:rsidR="001A46AF" w:rsidRPr="00CE5A17" w:rsidRDefault="001A46AF" w:rsidP="00CE5A17">
      <w:pPr>
        <w:pStyle w:val="ListParagraph"/>
        <w:numPr>
          <w:ilvl w:val="2"/>
          <w:numId w:val="20"/>
        </w:numPr>
        <w:rPr>
          <w:rFonts w:cstheme="minorHAnsi"/>
          <w:iCs/>
        </w:rPr>
      </w:pPr>
      <w:proofErr w:type="gramStart"/>
      <w:r w:rsidRPr="00CE5A17">
        <w:rPr>
          <w:rFonts w:cstheme="minorHAnsi"/>
        </w:rPr>
        <w:t>continuing</w:t>
      </w:r>
      <w:proofErr w:type="gramEnd"/>
      <w:r w:rsidRPr="00CE5A17">
        <w:rPr>
          <w:rFonts w:cstheme="minorHAnsi"/>
        </w:rPr>
        <w:t xml:space="preserve"> review of certain new research studies appropriate to the degree of risk in such studies.  Central IRB agrees to conduct at leas</w:t>
      </w:r>
      <w:r w:rsidR="00F360D2" w:rsidRPr="00CE5A17">
        <w:rPr>
          <w:rFonts w:cstheme="minorHAnsi"/>
        </w:rPr>
        <w:t xml:space="preserve">t an annual review of each </w:t>
      </w:r>
      <w:proofErr w:type="gramStart"/>
      <w:r w:rsidR="00F360D2" w:rsidRPr="00CE5A17">
        <w:rPr>
          <w:rFonts w:cstheme="minorHAnsi"/>
        </w:rPr>
        <w:t>non exempt</w:t>
      </w:r>
      <w:proofErr w:type="gramEnd"/>
      <w:r w:rsidR="00F360D2" w:rsidRPr="00CE5A17">
        <w:rPr>
          <w:rFonts w:cstheme="minorHAnsi"/>
        </w:rPr>
        <w:t xml:space="preserve"> study</w:t>
      </w:r>
      <w:r w:rsidRPr="00CE5A17">
        <w:rPr>
          <w:rFonts w:cstheme="minorHAnsi"/>
        </w:rPr>
        <w:t>.</w:t>
      </w:r>
    </w:p>
    <w:p w14:paraId="0EFCB658" w14:textId="77777777" w:rsidR="00CE5A17" w:rsidRPr="00CE5A17" w:rsidRDefault="00CE5A17" w:rsidP="00CE5A17">
      <w:pPr>
        <w:pStyle w:val="ListParagraph"/>
        <w:ind w:left="1080"/>
        <w:rPr>
          <w:rFonts w:cstheme="minorHAnsi"/>
          <w:iCs/>
        </w:rPr>
      </w:pPr>
    </w:p>
    <w:p w14:paraId="0FEC0CC3" w14:textId="77777777" w:rsidR="00F360D2" w:rsidRPr="00CE5A17" w:rsidRDefault="001A46AF" w:rsidP="00F360D2">
      <w:pPr>
        <w:pStyle w:val="ListParagraph"/>
        <w:numPr>
          <w:ilvl w:val="1"/>
          <w:numId w:val="17"/>
        </w:numPr>
        <w:spacing w:after="0" w:line="240" w:lineRule="auto"/>
        <w:rPr>
          <w:rFonts w:cstheme="minorHAnsi"/>
          <w:iCs/>
        </w:rPr>
      </w:pPr>
      <w:r w:rsidRPr="005D5587">
        <w:rPr>
          <w:rFonts w:cstheme="minorHAnsi"/>
        </w:rPr>
        <w:lastRenderedPageBreak/>
        <w:t>Central IRB shall promptly notify the Principal Investigator (</w:t>
      </w:r>
      <w:r w:rsidR="00F360D2">
        <w:rPr>
          <w:rFonts w:cstheme="minorHAnsi"/>
        </w:rPr>
        <w:t>PI) of the study as designated on the IRB protocol submission</w:t>
      </w:r>
      <w:r w:rsidRPr="005D5587">
        <w:rPr>
          <w:rFonts w:cstheme="minorHAnsi"/>
        </w:rPr>
        <w:t xml:space="preserve"> of all IRB decisions and shall make available to the PI all applicable study related documents including but not limited to approved protocols, consent forms, surveys, and decision letters. </w:t>
      </w:r>
    </w:p>
    <w:p w14:paraId="6DB2508E" w14:textId="77777777" w:rsidR="00CE5A17" w:rsidRPr="00F360D2" w:rsidRDefault="00CE5A17" w:rsidP="00CE5A17">
      <w:pPr>
        <w:pStyle w:val="ListParagraph"/>
        <w:spacing w:after="0" w:line="240" w:lineRule="auto"/>
        <w:ind w:left="740"/>
        <w:rPr>
          <w:rFonts w:cstheme="minorHAnsi"/>
          <w:iCs/>
        </w:rPr>
      </w:pPr>
    </w:p>
    <w:p w14:paraId="6CC94EDF" w14:textId="77777777" w:rsidR="00C00AB5" w:rsidRPr="00C00AB5" w:rsidRDefault="001A46AF" w:rsidP="00C00AB5">
      <w:pPr>
        <w:pStyle w:val="ListParagraph"/>
        <w:numPr>
          <w:ilvl w:val="1"/>
          <w:numId w:val="17"/>
        </w:numPr>
        <w:spacing w:after="0" w:line="240" w:lineRule="auto"/>
        <w:rPr>
          <w:rFonts w:cstheme="minorHAnsi"/>
          <w:iCs/>
        </w:rPr>
      </w:pPr>
      <w:r w:rsidRPr="00F360D2">
        <w:rPr>
          <w:rFonts w:cstheme="minorHAnsi"/>
        </w:rPr>
        <w:t>Central</w:t>
      </w:r>
      <w:r w:rsidRPr="00F360D2">
        <w:rPr>
          <w:rFonts w:cstheme="minorHAnsi"/>
          <w:b/>
        </w:rPr>
        <w:t xml:space="preserve"> </w:t>
      </w:r>
      <w:r w:rsidRPr="00F360D2">
        <w:rPr>
          <w:rFonts w:cstheme="minorHAnsi"/>
        </w:rPr>
        <w:t>IRB shall notify the insti</w:t>
      </w:r>
      <w:r w:rsidR="00C00AB5">
        <w:rPr>
          <w:rFonts w:cstheme="minorHAnsi"/>
        </w:rPr>
        <w:t xml:space="preserve">tution </w:t>
      </w:r>
      <w:r w:rsidRPr="00F360D2">
        <w:rPr>
          <w:rFonts w:cstheme="minorHAnsi"/>
        </w:rPr>
        <w:t xml:space="preserve">promptly </w:t>
      </w:r>
    </w:p>
    <w:p w14:paraId="01E3A173" w14:textId="77777777" w:rsidR="00C00AB5" w:rsidRPr="00C00AB5" w:rsidRDefault="001A46AF" w:rsidP="00CE5A17">
      <w:pPr>
        <w:pStyle w:val="ListParagraph"/>
        <w:numPr>
          <w:ilvl w:val="2"/>
          <w:numId w:val="21"/>
        </w:numPr>
        <w:spacing w:after="0" w:line="240" w:lineRule="auto"/>
        <w:rPr>
          <w:rFonts w:cstheme="minorHAnsi"/>
          <w:iCs/>
        </w:rPr>
      </w:pPr>
      <w:proofErr w:type="gramStart"/>
      <w:r w:rsidRPr="00C00AB5">
        <w:rPr>
          <w:rFonts w:cstheme="minorHAnsi"/>
        </w:rPr>
        <w:t>if</w:t>
      </w:r>
      <w:proofErr w:type="gramEnd"/>
      <w:r w:rsidRPr="00C00AB5">
        <w:rPr>
          <w:rFonts w:cstheme="minorHAnsi"/>
        </w:rPr>
        <w:t xml:space="preserve"> there is ever a suspension or restriction of the IRB’s autho</w:t>
      </w:r>
      <w:r w:rsidR="00C00AB5" w:rsidRPr="00C00AB5">
        <w:rPr>
          <w:rFonts w:cstheme="minorHAnsi"/>
        </w:rPr>
        <w:t>rization to review studies;</w:t>
      </w:r>
    </w:p>
    <w:p w14:paraId="14B56390" w14:textId="77777777" w:rsidR="00C00AB5" w:rsidRPr="00C00AB5" w:rsidRDefault="001A46AF" w:rsidP="00CE5A17">
      <w:pPr>
        <w:pStyle w:val="ListParagraph"/>
        <w:numPr>
          <w:ilvl w:val="2"/>
          <w:numId w:val="21"/>
        </w:numPr>
        <w:spacing w:after="0" w:line="240" w:lineRule="auto"/>
        <w:rPr>
          <w:rFonts w:cstheme="minorHAnsi"/>
          <w:iCs/>
        </w:rPr>
      </w:pPr>
      <w:proofErr w:type="gramStart"/>
      <w:r w:rsidRPr="00C00AB5">
        <w:rPr>
          <w:rFonts w:cstheme="minorHAnsi"/>
        </w:rPr>
        <w:t>of</w:t>
      </w:r>
      <w:proofErr w:type="gramEnd"/>
      <w:r w:rsidRPr="00C00AB5">
        <w:rPr>
          <w:rFonts w:cstheme="minorHAnsi"/>
        </w:rPr>
        <w:t xml:space="preserve"> any changes in Central IRB operating procedures or practices that might affect the institution’s reliance on Central</w:t>
      </w:r>
      <w:r w:rsidRPr="00C00AB5">
        <w:rPr>
          <w:rFonts w:cstheme="minorHAnsi"/>
          <w:b/>
        </w:rPr>
        <w:t xml:space="preserve"> </w:t>
      </w:r>
      <w:r w:rsidR="00C00AB5" w:rsidRPr="00C00AB5">
        <w:rPr>
          <w:rFonts w:cstheme="minorHAnsi"/>
        </w:rPr>
        <w:t>IRB reviews;</w:t>
      </w:r>
    </w:p>
    <w:p w14:paraId="0DB95A4B" w14:textId="77777777" w:rsidR="00C00AB5" w:rsidRPr="00C00AB5" w:rsidRDefault="001A46AF" w:rsidP="00CE5A17">
      <w:pPr>
        <w:pStyle w:val="ListParagraph"/>
        <w:numPr>
          <w:ilvl w:val="2"/>
          <w:numId w:val="21"/>
        </w:numPr>
        <w:spacing w:after="0" w:line="240" w:lineRule="auto"/>
        <w:rPr>
          <w:rFonts w:cstheme="minorHAnsi"/>
          <w:iCs/>
        </w:rPr>
      </w:pPr>
      <w:proofErr w:type="gramStart"/>
      <w:r w:rsidRPr="00C00AB5">
        <w:rPr>
          <w:rFonts w:cstheme="minorHAnsi"/>
        </w:rPr>
        <w:t>of</w:t>
      </w:r>
      <w:proofErr w:type="gramEnd"/>
      <w:r w:rsidRPr="00C00AB5">
        <w:rPr>
          <w:rFonts w:cstheme="minorHAnsi"/>
        </w:rPr>
        <w:t xml:space="preserve"> complaints from human subjects enrolled i</w:t>
      </w:r>
      <w:r w:rsidR="00C00AB5" w:rsidRPr="00C00AB5">
        <w:rPr>
          <w:rFonts w:cstheme="minorHAnsi"/>
        </w:rPr>
        <w:t>n studies at the institution;</w:t>
      </w:r>
    </w:p>
    <w:p w14:paraId="1AC9A499" w14:textId="77777777" w:rsidR="00C00AB5" w:rsidRPr="00C00AB5" w:rsidRDefault="00C00AB5" w:rsidP="00CE5A17">
      <w:pPr>
        <w:pStyle w:val="ListParagraph"/>
        <w:numPr>
          <w:ilvl w:val="2"/>
          <w:numId w:val="21"/>
        </w:numPr>
        <w:spacing w:after="0" w:line="240" w:lineRule="auto"/>
        <w:rPr>
          <w:rFonts w:cstheme="minorHAnsi"/>
          <w:iCs/>
        </w:rPr>
      </w:pPr>
      <w:proofErr w:type="gramStart"/>
      <w:r w:rsidRPr="00C00AB5">
        <w:rPr>
          <w:rFonts w:cstheme="minorHAnsi"/>
        </w:rPr>
        <w:t>of</w:t>
      </w:r>
      <w:proofErr w:type="gramEnd"/>
      <w:r w:rsidR="001A46AF" w:rsidRPr="00C00AB5">
        <w:rPr>
          <w:rFonts w:cstheme="minorHAnsi"/>
        </w:rPr>
        <w:t xml:space="preserve"> unanticipated</w:t>
      </w:r>
      <w:r w:rsidR="001A46AF" w:rsidRPr="00C00AB5">
        <w:rPr>
          <w:rFonts w:cstheme="minorHAnsi"/>
          <w:iCs/>
        </w:rPr>
        <w:t xml:space="preserve"> </w:t>
      </w:r>
      <w:r w:rsidR="001A46AF" w:rsidRPr="00C00AB5">
        <w:rPr>
          <w:rFonts w:cstheme="minorHAnsi"/>
        </w:rPr>
        <w:t>problems involving injury or risks to subjec</w:t>
      </w:r>
      <w:r w:rsidRPr="00C00AB5">
        <w:rPr>
          <w:rFonts w:cstheme="minorHAnsi"/>
        </w:rPr>
        <w:t>ts or others in the study;</w:t>
      </w:r>
    </w:p>
    <w:p w14:paraId="44BC41A5" w14:textId="77777777" w:rsidR="00C00AB5" w:rsidRPr="00C00AB5" w:rsidRDefault="00C00AB5" w:rsidP="00CE5A17">
      <w:pPr>
        <w:pStyle w:val="ListParagraph"/>
        <w:numPr>
          <w:ilvl w:val="2"/>
          <w:numId w:val="21"/>
        </w:numPr>
        <w:spacing w:after="0" w:line="240" w:lineRule="auto"/>
        <w:rPr>
          <w:rFonts w:cstheme="minorHAnsi"/>
          <w:iCs/>
        </w:rPr>
      </w:pPr>
      <w:proofErr w:type="gramStart"/>
      <w:r w:rsidRPr="00C00AB5">
        <w:rPr>
          <w:rFonts w:cstheme="minorHAnsi"/>
        </w:rPr>
        <w:t>i</w:t>
      </w:r>
      <w:r w:rsidR="001A46AF" w:rsidRPr="00C00AB5">
        <w:rPr>
          <w:rFonts w:cstheme="minorHAnsi"/>
        </w:rPr>
        <w:t>f</w:t>
      </w:r>
      <w:proofErr w:type="gramEnd"/>
      <w:r w:rsidR="001A46AF" w:rsidRPr="00C00AB5">
        <w:rPr>
          <w:rFonts w:cstheme="minorHAnsi"/>
        </w:rPr>
        <w:t xml:space="preserve"> the Central IRB determines that serious or continuing non-compliance has occurred, and any steps the Central IRB deems necessary for reme</w:t>
      </w:r>
      <w:r w:rsidRPr="00C00AB5">
        <w:rPr>
          <w:rFonts w:cstheme="minorHAnsi"/>
        </w:rPr>
        <w:t>diation of  non-compliance;</w:t>
      </w:r>
    </w:p>
    <w:p w14:paraId="052F3C66" w14:textId="77777777" w:rsidR="00C00AB5" w:rsidRPr="00C00AB5" w:rsidRDefault="001A46AF" w:rsidP="00CE5A17">
      <w:pPr>
        <w:pStyle w:val="ListParagraph"/>
        <w:numPr>
          <w:ilvl w:val="2"/>
          <w:numId w:val="21"/>
        </w:numPr>
        <w:spacing w:after="0" w:line="240" w:lineRule="auto"/>
        <w:rPr>
          <w:rFonts w:cstheme="minorHAnsi"/>
          <w:iCs/>
        </w:rPr>
      </w:pPr>
      <w:proofErr w:type="gramStart"/>
      <w:r w:rsidRPr="00C00AB5">
        <w:rPr>
          <w:rFonts w:cstheme="minorHAnsi"/>
        </w:rPr>
        <w:t>of</w:t>
      </w:r>
      <w:proofErr w:type="gramEnd"/>
      <w:r w:rsidRPr="00C00AB5">
        <w:rPr>
          <w:rFonts w:cstheme="minorHAnsi"/>
        </w:rPr>
        <w:t xml:space="preserve"> suspension or t</w:t>
      </w:r>
      <w:r w:rsidR="00C00AB5" w:rsidRPr="00C00AB5">
        <w:rPr>
          <w:rFonts w:cstheme="minorHAnsi"/>
        </w:rPr>
        <w:t>ermination of IRB approval;</w:t>
      </w:r>
    </w:p>
    <w:p w14:paraId="002CC649" w14:textId="77777777" w:rsidR="00C00AB5" w:rsidRPr="00C00AB5" w:rsidRDefault="001A46AF" w:rsidP="00CE5A17">
      <w:pPr>
        <w:pStyle w:val="ListParagraph"/>
        <w:numPr>
          <w:ilvl w:val="2"/>
          <w:numId w:val="21"/>
        </w:numPr>
        <w:spacing w:after="0" w:line="240" w:lineRule="auto"/>
        <w:rPr>
          <w:rFonts w:cstheme="minorHAnsi"/>
          <w:iCs/>
        </w:rPr>
      </w:pPr>
      <w:proofErr w:type="gramStart"/>
      <w:r w:rsidRPr="00C00AB5">
        <w:rPr>
          <w:rFonts w:eastAsia="Calibri" w:cstheme="minorHAnsi"/>
        </w:rPr>
        <w:t>of</w:t>
      </w:r>
      <w:proofErr w:type="gramEnd"/>
      <w:r w:rsidRPr="00C00AB5">
        <w:rPr>
          <w:rFonts w:eastAsia="Calibri" w:cstheme="minorHAnsi"/>
        </w:rPr>
        <w:t xml:space="preserve"> any communication with the FDA, OHRP or funding agency of matters relevant to human subject protections and relating to th</w:t>
      </w:r>
      <w:r w:rsidR="00C00AB5" w:rsidRPr="00C00AB5">
        <w:rPr>
          <w:rFonts w:eastAsia="Calibri" w:cstheme="minorHAnsi"/>
        </w:rPr>
        <w:t>e institution’s studies; or</w:t>
      </w:r>
    </w:p>
    <w:p w14:paraId="50BF9EF5" w14:textId="77777777" w:rsidR="001A46AF" w:rsidRPr="00C00AB5" w:rsidRDefault="001A46AF" w:rsidP="00CE5A17">
      <w:pPr>
        <w:pStyle w:val="ListParagraph"/>
        <w:numPr>
          <w:ilvl w:val="2"/>
          <w:numId w:val="21"/>
        </w:numPr>
        <w:spacing w:after="0" w:line="240" w:lineRule="auto"/>
        <w:rPr>
          <w:rFonts w:cstheme="minorHAnsi"/>
          <w:iCs/>
        </w:rPr>
      </w:pPr>
      <w:proofErr w:type="gramStart"/>
      <w:r w:rsidRPr="00C00AB5">
        <w:rPr>
          <w:rFonts w:eastAsia="Calibri" w:cstheme="minorHAnsi"/>
        </w:rPr>
        <w:t>changes</w:t>
      </w:r>
      <w:proofErr w:type="gramEnd"/>
      <w:r w:rsidRPr="00C00AB5">
        <w:rPr>
          <w:rFonts w:eastAsia="Calibri" w:cstheme="minorHAnsi"/>
        </w:rPr>
        <w:t xml:space="preserve"> in accreditation status, if applicable. </w:t>
      </w:r>
    </w:p>
    <w:p w14:paraId="6241FEEF" w14:textId="77777777" w:rsidR="001A46AF" w:rsidRPr="00313A84" w:rsidRDefault="001A46AF" w:rsidP="001A46AF">
      <w:pPr>
        <w:spacing w:after="0" w:line="240" w:lineRule="auto"/>
      </w:pPr>
    </w:p>
    <w:p w14:paraId="71FBCE1B" w14:textId="4AE43FCB" w:rsidR="009744DF" w:rsidRPr="00522C1F" w:rsidRDefault="001A46AF" w:rsidP="009744DF">
      <w:pPr>
        <w:pStyle w:val="ListParagraph"/>
        <w:numPr>
          <w:ilvl w:val="1"/>
          <w:numId w:val="17"/>
        </w:numPr>
        <w:jc w:val="both"/>
        <w:rPr>
          <w:rFonts w:cstheme="minorHAnsi"/>
          <w:i/>
          <w:iCs/>
        </w:rPr>
      </w:pPr>
      <w:r w:rsidRPr="00CE5A17">
        <w:rPr>
          <w:rFonts w:cstheme="minorHAnsi"/>
          <w:b/>
          <w:i/>
          <w:iCs/>
        </w:rPr>
        <w:t>HIPAA</w:t>
      </w:r>
      <w:r w:rsidR="00C00AB5" w:rsidRPr="00CE5A17">
        <w:rPr>
          <w:rFonts w:cstheme="minorHAnsi"/>
          <w:b/>
          <w:i/>
          <w:iCs/>
        </w:rPr>
        <w:t xml:space="preserve"> </w:t>
      </w:r>
      <w:r w:rsidR="00C00AB5" w:rsidRPr="0057128B">
        <w:rPr>
          <w:rFonts w:cstheme="minorHAnsi"/>
          <w:b/>
          <w:i/>
          <w:iCs/>
        </w:rPr>
        <w:t>If applicable (optional)</w:t>
      </w:r>
      <w:r w:rsidR="00CE5A17">
        <w:rPr>
          <w:rFonts w:cstheme="minorHAnsi"/>
          <w:i/>
          <w:iCs/>
        </w:rPr>
        <w:t xml:space="preserve"> </w:t>
      </w:r>
      <w:r w:rsidRPr="00CE5A17">
        <w:rPr>
          <w:rFonts w:cstheme="minorHAnsi"/>
        </w:rPr>
        <w:t xml:space="preserve">Central IRB </w:t>
      </w:r>
      <w:r w:rsidRPr="00451FBF">
        <w:t xml:space="preserve">will perform those determinations required by the Health Insurance Portability and Accountability Act of 1996 and its implementing regulations (collectively, “HIPAA”) with respect to the use and disclosure of Protected Health Information (“PHI”) for the research protocol in this Agreement, including authorization and waivers of authorization for use and disclosure of PHI.  </w:t>
      </w:r>
      <w:r w:rsidRPr="00CE5A17">
        <w:rPr>
          <w:iCs/>
          <w:color w:val="000000"/>
        </w:rPr>
        <w:t>If it becomes necessary for the parties to use or disclose PHI in any way not covered by the existing authorization or waiver of authorization, then the parties will work together to determine any additional steps necessary to ensure that the required information is used or disclosed in a HIPAA-compliant manner</w:t>
      </w:r>
    </w:p>
    <w:p w14:paraId="317033AD" w14:textId="77777777" w:rsidR="00522C1F" w:rsidRPr="00522C1F" w:rsidRDefault="00522C1F" w:rsidP="00522C1F">
      <w:pPr>
        <w:pStyle w:val="ListParagraph"/>
        <w:ind w:left="740"/>
        <w:jc w:val="both"/>
        <w:rPr>
          <w:rFonts w:cstheme="minorHAnsi"/>
          <w:i/>
          <w:iCs/>
        </w:rPr>
      </w:pPr>
    </w:p>
    <w:p w14:paraId="77590EB9" w14:textId="77777777" w:rsidR="00C00AB5" w:rsidRDefault="001A46AF" w:rsidP="00C00AB5">
      <w:pPr>
        <w:pStyle w:val="ListParagraph"/>
        <w:numPr>
          <w:ilvl w:val="0"/>
          <w:numId w:val="17"/>
        </w:numPr>
        <w:jc w:val="both"/>
        <w:rPr>
          <w:rFonts w:cstheme="minorHAnsi"/>
          <w:b/>
          <w:i/>
          <w:iCs/>
          <w:sz w:val="24"/>
        </w:rPr>
      </w:pPr>
      <w:r w:rsidRPr="00162F42">
        <w:rPr>
          <w:rFonts w:cstheme="minorHAnsi"/>
          <w:b/>
          <w:i/>
          <w:iCs/>
          <w:sz w:val="24"/>
        </w:rPr>
        <w:t>Responsibilities of the Institution</w:t>
      </w:r>
    </w:p>
    <w:p w14:paraId="2E96BFD3" w14:textId="77777777" w:rsidR="00CE5A17" w:rsidRPr="00701DEA" w:rsidRDefault="00CE5A17" w:rsidP="00CE5A17">
      <w:pPr>
        <w:pStyle w:val="ListParagraph"/>
        <w:jc w:val="both"/>
        <w:rPr>
          <w:rFonts w:cstheme="minorHAnsi"/>
          <w:i/>
          <w:iCs/>
          <w:sz w:val="24"/>
        </w:rPr>
      </w:pPr>
    </w:p>
    <w:p w14:paraId="6849DBCA" w14:textId="77777777" w:rsidR="00C00AB5" w:rsidRPr="00CE5A17" w:rsidRDefault="001A46AF" w:rsidP="00C00AB5">
      <w:pPr>
        <w:pStyle w:val="ListParagraph"/>
        <w:numPr>
          <w:ilvl w:val="1"/>
          <w:numId w:val="17"/>
        </w:numPr>
        <w:jc w:val="both"/>
        <w:rPr>
          <w:rFonts w:cstheme="minorHAnsi"/>
          <w:b/>
          <w:i/>
          <w:iCs/>
          <w:sz w:val="24"/>
        </w:rPr>
      </w:pPr>
      <w:r w:rsidRPr="00701DEA">
        <w:rPr>
          <w:rFonts w:cstheme="minorHAnsi"/>
          <w:iCs/>
        </w:rPr>
        <w:t>Th</w:t>
      </w:r>
      <w:r w:rsidRPr="00C00AB5">
        <w:rPr>
          <w:rFonts w:cstheme="minorHAnsi"/>
          <w:iCs/>
        </w:rPr>
        <w:t>e Institution shall ensure investigator compliance with</w:t>
      </w:r>
      <w:r w:rsidRPr="00C00AB5">
        <w:rPr>
          <w:rFonts w:cstheme="minorHAnsi"/>
          <w:i/>
          <w:iCs/>
        </w:rPr>
        <w:t xml:space="preserve"> </w:t>
      </w:r>
      <w:r w:rsidRPr="00C00AB5">
        <w:rPr>
          <w:rFonts w:cstheme="minorHAnsi"/>
        </w:rPr>
        <w:t>the protocol, IRB</w:t>
      </w:r>
      <w:r w:rsidRPr="00C00AB5">
        <w:rPr>
          <w:rFonts w:cstheme="minorHAnsi"/>
          <w:iCs/>
        </w:rPr>
        <w:t xml:space="preserve"> determinations, applicable federal and state regulations, sponsor requirements, and if applicable with the terms of its OHRP-approved FWA.  </w:t>
      </w:r>
    </w:p>
    <w:p w14:paraId="7481C1ED" w14:textId="77777777" w:rsidR="00CE5A17" w:rsidRPr="00C00AB5" w:rsidRDefault="00CE5A17" w:rsidP="00CE5A17">
      <w:pPr>
        <w:pStyle w:val="ListParagraph"/>
        <w:ind w:left="740"/>
        <w:jc w:val="both"/>
        <w:rPr>
          <w:rFonts w:cstheme="minorHAnsi"/>
          <w:b/>
          <w:i/>
          <w:iCs/>
          <w:sz w:val="24"/>
        </w:rPr>
      </w:pPr>
    </w:p>
    <w:p w14:paraId="30F9905E" w14:textId="77777777" w:rsidR="00CE5A17" w:rsidRPr="00CE5A17" w:rsidRDefault="00C00AB5" w:rsidP="00CE5A17">
      <w:pPr>
        <w:pStyle w:val="ListParagraph"/>
        <w:numPr>
          <w:ilvl w:val="1"/>
          <w:numId w:val="17"/>
        </w:numPr>
        <w:jc w:val="both"/>
        <w:rPr>
          <w:rFonts w:cstheme="minorHAnsi"/>
          <w:b/>
          <w:i/>
          <w:iCs/>
          <w:sz w:val="24"/>
        </w:rPr>
      </w:pPr>
      <w:r>
        <w:rPr>
          <w:rFonts w:cstheme="minorHAnsi"/>
          <w:iCs/>
        </w:rPr>
        <w:t xml:space="preserve">The institution shall </w:t>
      </w:r>
      <w:r w:rsidRPr="000424D7">
        <w:t>ensure prompt reporting to the IRB of proposed changes in a research activity, and ensure that such changes in approved research, during the period for which IRB approval has already been given, may not be initiated without IRB review and approval except when necessary to eliminate apparent immediate hazards to the subject.</w:t>
      </w:r>
    </w:p>
    <w:p w14:paraId="712435F2" w14:textId="77777777" w:rsidR="00AE088F" w:rsidRPr="00AE088F" w:rsidRDefault="00AE088F" w:rsidP="00AE088F">
      <w:pPr>
        <w:pStyle w:val="ListParagraph"/>
        <w:ind w:left="740"/>
        <w:jc w:val="both"/>
        <w:rPr>
          <w:rFonts w:cstheme="minorHAnsi"/>
          <w:b/>
          <w:i/>
          <w:iCs/>
          <w:sz w:val="24"/>
        </w:rPr>
      </w:pPr>
    </w:p>
    <w:p w14:paraId="15366FEA" w14:textId="77777777" w:rsidR="00AE088F" w:rsidRPr="00AE088F" w:rsidRDefault="00AE088F" w:rsidP="00AE088F">
      <w:pPr>
        <w:pStyle w:val="ListParagraph"/>
        <w:numPr>
          <w:ilvl w:val="1"/>
          <w:numId w:val="17"/>
        </w:numPr>
        <w:jc w:val="both"/>
        <w:rPr>
          <w:rFonts w:cstheme="minorHAnsi"/>
          <w:b/>
          <w:i/>
          <w:iCs/>
          <w:sz w:val="24"/>
        </w:rPr>
      </w:pPr>
      <w:r>
        <w:rPr>
          <w:rFonts w:cstheme="minorHAnsi"/>
        </w:rPr>
        <w:lastRenderedPageBreak/>
        <w:t>I</w:t>
      </w:r>
      <w:r w:rsidR="001A46AF" w:rsidRPr="00C00AB5">
        <w:rPr>
          <w:rFonts w:cstheme="minorHAnsi"/>
        </w:rPr>
        <w:t>nstitution shall provide all information reasonably required by Central IRB in order to conduct its reviews and will facilitate Central IRB access to Institution expertise when needed.  Institution cannot approve any research study that has been disapproved by the Central IRB. Institution may, however, disapprove any study approved by the Central IRB.  Institution agrees to abide by the decisions of the Central IRB and shall use its best efforts to ensure that the human subject research performed by Institution shall be conducted in accordance with those decisions.</w:t>
      </w:r>
    </w:p>
    <w:p w14:paraId="6470262B" w14:textId="77777777" w:rsidR="00AE088F" w:rsidRPr="00AE088F" w:rsidRDefault="00AE088F" w:rsidP="00AE088F">
      <w:pPr>
        <w:pStyle w:val="ListParagraph"/>
        <w:ind w:left="740"/>
        <w:jc w:val="both"/>
        <w:rPr>
          <w:rFonts w:cstheme="minorHAnsi"/>
          <w:b/>
          <w:i/>
          <w:iCs/>
          <w:sz w:val="24"/>
        </w:rPr>
      </w:pPr>
    </w:p>
    <w:p w14:paraId="3D75285F" w14:textId="77777777" w:rsidR="00C00AB5" w:rsidRDefault="001A46AF" w:rsidP="00C00AB5">
      <w:pPr>
        <w:pStyle w:val="ListParagraph"/>
        <w:numPr>
          <w:ilvl w:val="1"/>
          <w:numId w:val="17"/>
        </w:numPr>
        <w:jc w:val="both"/>
        <w:rPr>
          <w:rFonts w:cstheme="minorHAnsi"/>
          <w:b/>
          <w:i/>
          <w:iCs/>
          <w:sz w:val="24"/>
        </w:rPr>
      </w:pPr>
      <w:r>
        <w:t>I</w:t>
      </w:r>
      <w:r w:rsidRPr="008751F0">
        <w:t xml:space="preserve">nstitution shall ensure that investigators and other study personnel at the institution are qualified and have appropriate resources to conduct the research, including but not limited to education and training in human research protection regulations. </w:t>
      </w:r>
      <w:r>
        <w:t xml:space="preserve">  The institution shall provide documentation of training and education, as requested by the </w:t>
      </w:r>
      <w:r w:rsidRPr="00C00AB5">
        <w:rPr>
          <w:rFonts w:cstheme="minorHAnsi"/>
        </w:rPr>
        <w:t>Central IRB</w:t>
      </w:r>
      <w:r>
        <w:t>.</w:t>
      </w:r>
    </w:p>
    <w:p w14:paraId="529A9BCD" w14:textId="77777777" w:rsidR="00AE088F" w:rsidRPr="00AE088F" w:rsidRDefault="00AE088F" w:rsidP="00AE088F">
      <w:pPr>
        <w:pStyle w:val="ListParagraph"/>
        <w:ind w:left="740"/>
        <w:jc w:val="both"/>
        <w:rPr>
          <w:rFonts w:cstheme="minorHAnsi"/>
          <w:b/>
          <w:i/>
          <w:iCs/>
          <w:sz w:val="24"/>
        </w:rPr>
      </w:pPr>
    </w:p>
    <w:p w14:paraId="1057F8C4" w14:textId="77777777" w:rsidR="00C00AB5" w:rsidRDefault="00C00AB5" w:rsidP="00C00AB5">
      <w:pPr>
        <w:pStyle w:val="ListParagraph"/>
        <w:numPr>
          <w:ilvl w:val="1"/>
          <w:numId w:val="17"/>
        </w:numPr>
        <w:jc w:val="both"/>
        <w:rPr>
          <w:rFonts w:cstheme="minorHAnsi"/>
          <w:b/>
          <w:i/>
          <w:iCs/>
          <w:sz w:val="24"/>
        </w:rPr>
      </w:pPr>
      <w:r>
        <w:t>I</w:t>
      </w:r>
      <w:r w:rsidR="001A46AF" w:rsidRPr="00830F01">
        <w:t>nstitution shall ensure an institutional process exists by which complaints about the study can be made by local study participants or others</w:t>
      </w:r>
      <w:r w:rsidR="001A46AF" w:rsidRPr="002B44DF">
        <w:t>.  Complaints that meet criteria as a potential unanticipated problem involving risk</w:t>
      </w:r>
      <w:r w:rsidR="001A46AF">
        <w:t>s</w:t>
      </w:r>
      <w:r w:rsidR="001A46AF" w:rsidRPr="002B44DF">
        <w:t xml:space="preserve"> to subjects or others </w:t>
      </w:r>
      <w:r w:rsidR="001A46AF">
        <w:t xml:space="preserve">or serious or continuing noncompliance </w:t>
      </w:r>
      <w:r w:rsidR="001A46AF" w:rsidRPr="002B44DF">
        <w:t>must be reported to the Central IRB</w:t>
      </w:r>
      <w:r w:rsidR="001A46AF">
        <w:t xml:space="preserve"> in accordance with the timeframe specified by the Central IRB.</w:t>
      </w:r>
    </w:p>
    <w:p w14:paraId="19EF4342" w14:textId="77777777" w:rsidR="00AE088F" w:rsidRPr="00AE088F" w:rsidRDefault="00AE088F" w:rsidP="00AE088F">
      <w:pPr>
        <w:pStyle w:val="ListParagraph"/>
        <w:ind w:left="740"/>
        <w:jc w:val="both"/>
        <w:rPr>
          <w:rFonts w:cstheme="minorHAnsi"/>
          <w:b/>
          <w:i/>
          <w:iCs/>
          <w:sz w:val="24"/>
        </w:rPr>
      </w:pPr>
    </w:p>
    <w:p w14:paraId="0AF3FC78" w14:textId="77777777" w:rsidR="00C00AB5" w:rsidRPr="00C00AB5" w:rsidRDefault="001A46AF" w:rsidP="00C00AB5">
      <w:pPr>
        <w:pStyle w:val="ListParagraph"/>
        <w:numPr>
          <w:ilvl w:val="1"/>
          <w:numId w:val="17"/>
        </w:numPr>
        <w:jc w:val="both"/>
        <w:rPr>
          <w:rFonts w:cstheme="minorHAnsi"/>
          <w:b/>
          <w:i/>
          <w:iCs/>
          <w:sz w:val="24"/>
        </w:rPr>
      </w:pPr>
      <w:r>
        <w:t>Institution shall c</w:t>
      </w:r>
      <w:r w:rsidRPr="00D732F7">
        <w:t xml:space="preserve">ooperate with any Central IRB investigation regarding serious or continuing noncompliance or an unanticipated problem </w:t>
      </w:r>
      <w:r>
        <w:t>involving</w:t>
      </w:r>
      <w:r w:rsidRPr="00830F01">
        <w:t xml:space="preserve"> risk to subjects or others </w:t>
      </w:r>
      <w:r w:rsidRPr="00D732F7">
        <w:t xml:space="preserve">related to the study at the institution. Nothing in this Agreement shall prevent either party from conducting its own investigation. </w:t>
      </w:r>
      <w:r>
        <w:t>However, Central IRB shall have primary authority to determine whether serious or continuing noncompliance or unanticipated problems involving risks to subjects or others have occurred.</w:t>
      </w:r>
      <w:r w:rsidRPr="00D732F7">
        <w:t xml:space="preserve"> </w:t>
      </w:r>
    </w:p>
    <w:p w14:paraId="4D2931A1" w14:textId="77777777" w:rsidR="00AE088F" w:rsidRPr="00AE088F" w:rsidRDefault="00AE088F" w:rsidP="00AE088F">
      <w:pPr>
        <w:pStyle w:val="ListParagraph"/>
        <w:ind w:left="740"/>
        <w:jc w:val="both"/>
        <w:rPr>
          <w:rFonts w:cstheme="minorHAnsi"/>
          <w:b/>
          <w:i/>
          <w:iCs/>
          <w:sz w:val="24"/>
        </w:rPr>
      </w:pPr>
    </w:p>
    <w:p w14:paraId="4061C382" w14:textId="77777777" w:rsidR="00C00AB5" w:rsidRPr="00C00AB5" w:rsidRDefault="001A46AF" w:rsidP="00C00AB5">
      <w:pPr>
        <w:pStyle w:val="ListParagraph"/>
        <w:numPr>
          <w:ilvl w:val="1"/>
          <w:numId w:val="17"/>
        </w:numPr>
        <w:jc w:val="both"/>
        <w:rPr>
          <w:rFonts w:cstheme="minorHAnsi"/>
          <w:b/>
          <w:i/>
          <w:iCs/>
          <w:sz w:val="24"/>
        </w:rPr>
      </w:pPr>
      <w:r w:rsidRPr="00C00AB5">
        <w:rPr>
          <w:rFonts w:cstheme="minorHAnsi"/>
        </w:rPr>
        <w:t xml:space="preserve">Institution shall </w:t>
      </w:r>
      <w:r w:rsidRPr="00313A84">
        <w:t>notify the</w:t>
      </w:r>
      <w:r w:rsidR="00C00AB5">
        <w:t xml:space="preserve"> Central IRB promptly:</w:t>
      </w:r>
    </w:p>
    <w:p w14:paraId="019619CA" w14:textId="77777777" w:rsidR="00C00AB5" w:rsidRPr="00C00AB5" w:rsidRDefault="001A46AF" w:rsidP="00CE5A17">
      <w:pPr>
        <w:pStyle w:val="ListParagraph"/>
        <w:numPr>
          <w:ilvl w:val="2"/>
          <w:numId w:val="22"/>
        </w:numPr>
        <w:jc w:val="both"/>
        <w:rPr>
          <w:rFonts w:cstheme="minorHAnsi"/>
          <w:b/>
          <w:i/>
          <w:iCs/>
          <w:sz w:val="24"/>
        </w:rPr>
      </w:pPr>
      <w:proofErr w:type="gramStart"/>
      <w:r w:rsidRPr="00313A84">
        <w:t>if</w:t>
      </w:r>
      <w:proofErr w:type="gramEnd"/>
      <w:r w:rsidRPr="00313A84">
        <w:t xml:space="preserve"> there is ever a suspension or restriction of the</w:t>
      </w:r>
      <w:r>
        <w:t xml:space="preserve"> Institution’s authorization or ability to conduct</w:t>
      </w:r>
      <w:r w:rsidR="00C00AB5">
        <w:t xml:space="preserve"> studies; </w:t>
      </w:r>
    </w:p>
    <w:p w14:paraId="7667F966" w14:textId="77777777" w:rsidR="00C00AB5" w:rsidRPr="00C00AB5" w:rsidRDefault="001A46AF" w:rsidP="00CE5A17">
      <w:pPr>
        <w:pStyle w:val="ListParagraph"/>
        <w:numPr>
          <w:ilvl w:val="2"/>
          <w:numId w:val="22"/>
        </w:numPr>
        <w:jc w:val="both"/>
        <w:rPr>
          <w:rFonts w:cstheme="minorHAnsi"/>
          <w:b/>
          <w:i/>
          <w:iCs/>
          <w:sz w:val="24"/>
        </w:rPr>
      </w:pPr>
      <w:proofErr w:type="gramStart"/>
      <w:r w:rsidRPr="00C00AB5">
        <w:rPr>
          <w:rFonts w:cstheme="minorHAnsi"/>
        </w:rPr>
        <w:t>of</w:t>
      </w:r>
      <w:proofErr w:type="gramEnd"/>
      <w:r w:rsidRPr="00C00AB5">
        <w:rPr>
          <w:rFonts w:cstheme="minorHAnsi"/>
        </w:rPr>
        <w:t xml:space="preserve"> any changes in institutional operating procedures or practices that might affect </w:t>
      </w:r>
      <w:r w:rsidRPr="00313A84">
        <w:t>the</w:t>
      </w:r>
      <w:r>
        <w:t xml:space="preserve"> Central IRB’s ability to review for the institution</w:t>
      </w:r>
      <w:r w:rsidR="00C00AB5">
        <w:t>;</w:t>
      </w:r>
    </w:p>
    <w:p w14:paraId="0DD7C5E7" w14:textId="77777777" w:rsidR="00C00AB5" w:rsidRPr="00C00AB5" w:rsidRDefault="001A46AF" w:rsidP="00CE5A17">
      <w:pPr>
        <w:pStyle w:val="ListParagraph"/>
        <w:numPr>
          <w:ilvl w:val="2"/>
          <w:numId w:val="22"/>
        </w:numPr>
        <w:jc w:val="both"/>
        <w:rPr>
          <w:rFonts w:cstheme="minorHAnsi"/>
          <w:b/>
          <w:i/>
          <w:iCs/>
          <w:sz w:val="24"/>
        </w:rPr>
      </w:pPr>
      <w:proofErr w:type="gramStart"/>
      <w:r>
        <w:t>of</w:t>
      </w:r>
      <w:proofErr w:type="gramEnd"/>
      <w:r>
        <w:t xml:space="preserve"> complaints from human subjects enrolled in studies reviewed by the Central IRB which involve potential unanticipated problems involving </w:t>
      </w:r>
      <w:r w:rsidR="00C00AB5">
        <w:t>risks to subjects or others;</w:t>
      </w:r>
    </w:p>
    <w:p w14:paraId="29CFFA13" w14:textId="77777777" w:rsidR="00C00AB5" w:rsidRPr="00C00AB5" w:rsidRDefault="001A46AF" w:rsidP="00CE5A17">
      <w:pPr>
        <w:pStyle w:val="ListParagraph"/>
        <w:numPr>
          <w:ilvl w:val="2"/>
          <w:numId w:val="22"/>
        </w:numPr>
        <w:jc w:val="both"/>
        <w:rPr>
          <w:rFonts w:cstheme="minorHAnsi"/>
          <w:b/>
          <w:i/>
          <w:iCs/>
          <w:sz w:val="24"/>
        </w:rPr>
      </w:pPr>
      <w:proofErr w:type="gramStart"/>
      <w:r>
        <w:t>of</w:t>
      </w:r>
      <w:proofErr w:type="gramEnd"/>
      <w:r>
        <w:t xml:space="preserve"> </w:t>
      </w:r>
      <w:r w:rsidRPr="00313A84">
        <w:t>unanticipated</w:t>
      </w:r>
      <w:r w:rsidRPr="00C00AB5">
        <w:rPr>
          <w:rFonts w:cstheme="minorHAnsi"/>
          <w:iCs/>
        </w:rPr>
        <w:t xml:space="preserve"> </w:t>
      </w:r>
      <w:r w:rsidRPr="00313A84">
        <w:t xml:space="preserve">problems involving injury or risks to subjects or others </w:t>
      </w:r>
      <w:r>
        <w:t>in a study</w:t>
      </w:r>
      <w:r w:rsidR="00C00AB5">
        <w:t xml:space="preserve"> reviewed by the Central IRB;</w:t>
      </w:r>
    </w:p>
    <w:p w14:paraId="2AB9657F" w14:textId="77777777" w:rsidR="00C00AB5" w:rsidRPr="00C00AB5" w:rsidRDefault="001A46AF" w:rsidP="00CE5A17">
      <w:pPr>
        <w:pStyle w:val="ListParagraph"/>
        <w:numPr>
          <w:ilvl w:val="2"/>
          <w:numId w:val="22"/>
        </w:numPr>
        <w:jc w:val="both"/>
        <w:rPr>
          <w:rFonts w:cstheme="minorHAnsi"/>
          <w:b/>
          <w:i/>
          <w:iCs/>
          <w:sz w:val="24"/>
        </w:rPr>
      </w:pPr>
      <w:proofErr w:type="gramStart"/>
      <w:r w:rsidRPr="00313A84">
        <w:t>if</w:t>
      </w:r>
      <w:proofErr w:type="gramEnd"/>
      <w:r w:rsidRPr="00313A84">
        <w:t xml:space="preserve"> the </w:t>
      </w:r>
      <w:r>
        <w:t xml:space="preserve">Institution believes that </w:t>
      </w:r>
      <w:r w:rsidRPr="00313A84">
        <w:t>serious or continuing non-compliance has occurred</w:t>
      </w:r>
      <w:r>
        <w:t xml:space="preserve"> in a study reviewed by the Central IRB</w:t>
      </w:r>
      <w:r w:rsidRPr="00313A84">
        <w:t xml:space="preserve">, and any steps the </w:t>
      </w:r>
      <w:r>
        <w:t>Institution</w:t>
      </w:r>
      <w:r w:rsidRPr="00313A84">
        <w:t xml:space="preserve"> deems necessary for remediation of </w:t>
      </w:r>
      <w:r w:rsidR="00C00AB5">
        <w:t xml:space="preserve"> non-compliance;</w:t>
      </w:r>
    </w:p>
    <w:p w14:paraId="257794A0" w14:textId="77777777" w:rsidR="00C00AB5" w:rsidRPr="00C00AB5" w:rsidRDefault="001A46AF" w:rsidP="00CE5A17">
      <w:pPr>
        <w:pStyle w:val="ListParagraph"/>
        <w:numPr>
          <w:ilvl w:val="2"/>
          <w:numId w:val="22"/>
        </w:numPr>
        <w:jc w:val="both"/>
        <w:rPr>
          <w:rFonts w:cstheme="minorHAnsi"/>
          <w:b/>
          <w:i/>
          <w:iCs/>
          <w:sz w:val="24"/>
        </w:rPr>
      </w:pPr>
      <w:proofErr w:type="gramStart"/>
      <w:r>
        <w:t>of</w:t>
      </w:r>
      <w:proofErr w:type="gramEnd"/>
      <w:r>
        <w:t xml:space="preserve"> suspension or termination of Institutional ap</w:t>
      </w:r>
      <w:r w:rsidR="00C00AB5">
        <w:t>proval;</w:t>
      </w:r>
    </w:p>
    <w:p w14:paraId="778D8FA5" w14:textId="77777777" w:rsidR="00C00AB5" w:rsidRPr="00C00AB5" w:rsidRDefault="001A46AF" w:rsidP="00CE5A17">
      <w:pPr>
        <w:pStyle w:val="ListParagraph"/>
        <w:numPr>
          <w:ilvl w:val="2"/>
          <w:numId w:val="22"/>
        </w:numPr>
        <w:jc w:val="both"/>
        <w:rPr>
          <w:rFonts w:cstheme="minorHAnsi"/>
          <w:b/>
          <w:i/>
          <w:iCs/>
          <w:sz w:val="24"/>
        </w:rPr>
      </w:pPr>
      <w:proofErr w:type="gramStart"/>
      <w:r w:rsidRPr="00C00AB5">
        <w:rPr>
          <w:rFonts w:eastAsia="Calibri" w:cstheme="minorHAnsi"/>
        </w:rPr>
        <w:lastRenderedPageBreak/>
        <w:t>of</w:t>
      </w:r>
      <w:proofErr w:type="gramEnd"/>
      <w:r w:rsidRPr="00C00AB5">
        <w:rPr>
          <w:rFonts w:eastAsia="Calibri" w:cstheme="minorHAnsi"/>
        </w:rPr>
        <w:t xml:space="preserve"> any communication with the FDA, OHRP or funding agency relating to the institution’s studies being reviewed by the Central IRB</w:t>
      </w:r>
      <w:r w:rsidR="00395B1F" w:rsidRPr="00C00AB5">
        <w:rPr>
          <w:rFonts w:eastAsia="Calibri" w:cstheme="minorHAnsi"/>
        </w:rPr>
        <w:t>;</w:t>
      </w:r>
    </w:p>
    <w:p w14:paraId="0CCC9EC3" w14:textId="77777777" w:rsidR="00CE5A17" w:rsidRPr="00CE5A17" w:rsidRDefault="001A46AF" w:rsidP="00CE5A17">
      <w:pPr>
        <w:pStyle w:val="ListParagraph"/>
        <w:numPr>
          <w:ilvl w:val="2"/>
          <w:numId w:val="22"/>
        </w:numPr>
        <w:jc w:val="both"/>
        <w:rPr>
          <w:rFonts w:cstheme="minorHAnsi"/>
          <w:b/>
          <w:i/>
          <w:iCs/>
          <w:sz w:val="24"/>
        </w:rPr>
      </w:pPr>
      <w:proofErr w:type="gramStart"/>
      <w:r w:rsidRPr="00C00AB5">
        <w:rPr>
          <w:rFonts w:eastAsia="Calibri" w:cstheme="minorHAnsi"/>
        </w:rPr>
        <w:t>changes</w:t>
      </w:r>
      <w:proofErr w:type="gramEnd"/>
      <w:r w:rsidRPr="00C00AB5">
        <w:rPr>
          <w:rFonts w:eastAsia="Calibri" w:cstheme="minorHAnsi"/>
        </w:rPr>
        <w:t xml:space="preserve"> in accreditation status, if applicable.</w:t>
      </w:r>
    </w:p>
    <w:p w14:paraId="20F34F05" w14:textId="77777777" w:rsidR="00CE5A17" w:rsidRPr="00CE5A17" w:rsidRDefault="00CE5A17" w:rsidP="00CE5A17">
      <w:pPr>
        <w:pStyle w:val="ListParagraph"/>
        <w:ind w:left="2160"/>
        <w:jc w:val="both"/>
        <w:rPr>
          <w:rFonts w:cstheme="minorHAnsi"/>
          <w:b/>
          <w:i/>
          <w:iCs/>
          <w:sz w:val="24"/>
        </w:rPr>
      </w:pPr>
    </w:p>
    <w:p w14:paraId="312B44CA" w14:textId="77777777" w:rsidR="001A46AF" w:rsidRPr="00CE5A17" w:rsidRDefault="00CE5A17" w:rsidP="00CE5A17">
      <w:pPr>
        <w:pStyle w:val="ListParagraph"/>
        <w:numPr>
          <w:ilvl w:val="1"/>
          <w:numId w:val="17"/>
        </w:numPr>
        <w:jc w:val="both"/>
        <w:rPr>
          <w:rFonts w:cstheme="minorHAnsi"/>
          <w:b/>
          <w:i/>
          <w:iCs/>
          <w:sz w:val="24"/>
        </w:rPr>
      </w:pPr>
      <w:r w:rsidRPr="00CE5A17">
        <w:rPr>
          <w:i/>
          <w:szCs w:val="20"/>
        </w:rPr>
        <w:t xml:space="preserve">  </w:t>
      </w:r>
      <w:r w:rsidR="001A46AF" w:rsidRPr="00CE5A17">
        <w:rPr>
          <w:b/>
          <w:i/>
          <w:szCs w:val="20"/>
        </w:rPr>
        <w:t>Federally Funded Studies</w:t>
      </w:r>
      <w:r w:rsidRPr="00CE5A17">
        <w:rPr>
          <w:b/>
          <w:i/>
          <w:szCs w:val="20"/>
        </w:rPr>
        <w:t xml:space="preserve"> (optional, if applicable):</w:t>
      </w:r>
      <w:r>
        <w:rPr>
          <w:i/>
          <w:szCs w:val="20"/>
        </w:rPr>
        <w:t xml:space="preserve"> </w:t>
      </w:r>
      <w:r w:rsidR="001A46AF" w:rsidRPr="00CE5A17">
        <w:rPr>
          <w:rFonts w:cstheme="minorHAnsi"/>
          <w:i/>
          <w:iCs/>
        </w:rPr>
        <w:t xml:space="preserve">Institution will maintain a current, approved </w:t>
      </w:r>
      <w:proofErr w:type="spellStart"/>
      <w:r w:rsidR="001A46AF" w:rsidRPr="00CE5A17">
        <w:rPr>
          <w:rFonts w:cstheme="minorHAnsi"/>
          <w:i/>
          <w:iCs/>
        </w:rPr>
        <w:t>Federalwide</w:t>
      </w:r>
      <w:proofErr w:type="spellEnd"/>
      <w:r w:rsidR="001A46AF" w:rsidRPr="00CE5A17">
        <w:rPr>
          <w:rFonts w:cstheme="minorHAnsi"/>
          <w:i/>
          <w:iCs/>
        </w:rPr>
        <w:t xml:space="preserve"> Assurance (FWA) with OHRP for the duration of this Agreement.  </w:t>
      </w:r>
      <w:r w:rsidR="001A46AF" w:rsidRPr="00CE5A17">
        <w:rPr>
          <w:rFonts w:cstheme="minorHAnsi"/>
          <w:bCs/>
          <w:i/>
          <w:iCs/>
        </w:rPr>
        <w:t xml:space="preserve">The Institution </w:t>
      </w:r>
      <w:r w:rsidR="001A46AF" w:rsidRPr="00CE5A17">
        <w:rPr>
          <w:rFonts w:cstheme="minorHAnsi"/>
          <w:i/>
          <w:iCs/>
        </w:rPr>
        <w:t xml:space="preserve">will notify the Central IRB promptly in writing if its FWA is </w:t>
      </w:r>
      <w:r w:rsidRPr="00CE5A17">
        <w:rPr>
          <w:rFonts w:cstheme="minorHAnsi"/>
          <w:i/>
          <w:iCs/>
        </w:rPr>
        <w:t>suspended or</w:t>
      </w:r>
      <w:r w:rsidR="001A46AF" w:rsidRPr="00CE5A17">
        <w:rPr>
          <w:rFonts w:cstheme="minorHAnsi"/>
          <w:i/>
          <w:iCs/>
        </w:rPr>
        <w:t xml:space="preserve"> expires for any reason.</w:t>
      </w:r>
    </w:p>
    <w:p w14:paraId="63FAC848" w14:textId="77777777" w:rsidR="00CE5A17" w:rsidRPr="00CE5A17" w:rsidRDefault="00CE5A17" w:rsidP="00CE5A17">
      <w:pPr>
        <w:pStyle w:val="ListParagraph"/>
        <w:ind w:left="740"/>
        <w:jc w:val="both"/>
        <w:rPr>
          <w:rFonts w:cstheme="minorHAnsi"/>
          <w:b/>
          <w:i/>
          <w:iCs/>
          <w:sz w:val="24"/>
        </w:rPr>
      </w:pPr>
    </w:p>
    <w:p w14:paraId="26E25643" w14:textId="77777777" w:rsidR="00CE5A17" w:rsidRPr="00CE5A17" w:rsidRDefault="001A46AF" w:rsidP="00CE5A17">
      <w:pPr>
        <w:pStyle w:val="ListParagraph"/>
        <w:numPr>
          <w:ilvl w:val="0"/>
          <w:numId w:val="17"/>
        </w:numPr>
        <w:ind w:left="0"/>
        <w:jc w:val="both"/>
        <w:rPr>
          <w:rFonts w:cstheme="minorHAnsi"/>
          <w:b/>
          <w:i/>
          <w:iCs/>
          <w:sz w:val="24"/>
          <w:szCs w:val="24"/>
        </w:rPr>
      </w:pPr>
      <w:r w:rsidRPr="00CE5A17">
        <w:rPr>
          <w:rFonts w:cstheme="minorHAnsi"/>
          <w:b/>
          <w:i/>
          <w:iCs/>
          <w:sz w:val="24"/>
          <w:szCs w:val="24"/>
        </w:rPr>
        <w:t>Joint Responsibilities</w:t>
      </w:r>
    </w:p>
    <w:p w14:paraId="54141597" w14:textId="77777777" w:rsidR="00CE5A17" w:rsidRDefault="00CE5A17" w:rsidP="00CE5A17">
      <w:pPr>
        <w:pStyle w:val="ListParagraph"/>
        <w:ind w:left="0"/>
        <w:jc w:val="both"/>
        <w:rPr>
          <w:rFonts w:cstheme="minorHAnsi"/>
          <w:b/>
          <w:i/>
          <w:iCs/>
        </w:rPr>
      </w:pPr>
    </w:p>
    <w:p w14:paraId="218D261D" w14:textId="77777777" w:rsidR="00CE5A17" w:rsidRPr="00CE5A17" w:rsidRDefault="001A46AF" w:rsidP="001A46AF">
      <w:pPr>
        <w:pStyle w:val="ListParagraph"/>
        <w:numPr>
          <w:ilvl w:val="1"/>
          <w:numId w:val="17"/>
        </w:numPr>
        <w:jc w:val="both"/>
        <w:rPr>
          <w:rFonts w:cstheme="minorHAnsi"/>
          <w:b/>
          <w:i/>
          <w:iCs/>
        </w:rPr>
      </w:pPr>
      <w:r w:rsidRPr="00CE5A17">
        <w:rPr>
          <w:rFonts w:cstheme="minorHAnsi"/>
          <w:b/>
          <w:iCs/>
        </w:rPr>
        <w:t>Confidentiality</w:t>
      </w:r>
      <w:r w:rsidR="00CE5A17">
        <w:rPr>
          <w:rFonts w:cstheme="minorHAnsi"/>
          <w:b/>
          <w:iCs/>
        </w:rPr>
        <w:t xml:space="preserve"> </w:t>
      </w:r>
      <w:r w:rsidRPr="00CE5A17">
        <w:rPr>
          <w:rFonts w:cstheme="minorHAnsi"/>
          <w:iCs/>
        </w:rPr>
        <w:t xml:space="preserve">Each party is authorized to exchange information pursuant to this Agreement and agrees to treat such information as confidential (Confidential Information). No Party shall disclose Confidential Information received pursuant to this Agreement to any individual or entity other than another Party without prior written approval of all Parties. Notwithstanding the foregoing, nothing in this Agreement shall be construed to restrict a Party from disclosing Confidential Information as required by law, subpoena, court order, or other governmental order or request.   </w:t>
      </w:r>
      <w:r w:rsidRPr="00CE5A17">
        <w:rPr>
          <w:rFonts w:cstheme="minorHAnsi"/>
        </w:rPr>
        <w:t xml:space="preserve">Institution shall cause Principal Investigator and all other research personnel to comply with the terms and conditions of this section in the same manner as such terms and conditions apply to Institution.  This section shall survive the termination of this Agreement.  </w:t>
      </w:r>
    </w:p>
    <w:p w14:paraId="3EFBDB5C" w14:textId="77777777" w:rsidR="00AE088F" w:rsidRPr="00AE088F" w:rsidRDefault="00AE088F" w:rsidP="00AE088F">
      <w:pPr>
        <w:pStyle w:val="ListParagraph"/>
        <w:ind w:left="740"/>
        <w:jc w:val="both"/>
        <w:rPr>
          <w:rFonts w:cstheme="minorHAnsi"/>
          <w:b/>
          <w:iCs/>
        </w:rPr>
      </w:pPr>
    </w:p>
    <w:p w14:paraId="5F1B346F" w14:textId="77777777" w:rsidR="00CE5A17" w:rsidRDefault="001A46AF" w:rsidP="00CE5A17">
      <w:pPr>
        <w:pStyle w:val="ListParagraph"/>
        <w:numPr>
          <w:ilvl w:val="1"/>
          <w:numId w:val="17"/>
        </w:numPr>
        <w:jc w:val="both"/>
        <w:rPr>
          <w:rFonts w:cstheme="minorHAnsi"/>
          <w:b/>
          <w:iCs/>
        </w:rPr>
      </w:pPr>
      <w:r w:rsidRPr="00CE5A17">
        <w:rPr>
          <w:b/>
          <w:szCs w:val="20"/>
        </w:rPr>
        <w:t>Protected Health Information</w:t>
      </w:r>
      <w:r w:rsidR="00CE5A17" w:rsidRPr="00CE5A17">
        <w:rPr>
          <w:b/>
          <w:szCs w:val="20"/>
        </w:rPr>
        <w:t xml:space="preserve"> (Optional, if applicable)</w:t>
      </w:r>
      <w:r w:rsidR="00CE5A17">
        <w:rPr>
          <w:b/>
          <w:szCs w:val="20"/>
        </w:rPr>
        <w:t xml:space="preserve"> </w:t>
      </w:r>
      <w:r w:rsidRPr="00CE5A17">
        <w:rPr>
          <w:rFonts w:cstheme="minorHAnsi"/>
        </w:rPr>
        <w:t>The parties shall hold in confidence the identity of the participants in any Studies and shall comply with applicable laws regarding confidentiality of</w:t>
      </w:r>
      <w:r w:rsidRPr="00EF2E15">
        <w:t xml:space="preserve"> </w:t>
      </w:r>
      <w:proofErr w:type="gramStart"/>
      <w:r>
        <w:t>individually-identifiable</w:t>
      </w:r>
      <w:proofErr w:type="gramEnd"/>
      <w:r>
        <w:t xml:space="preserve"> subject information and the requirements of any authorization executed by subjects for a given study. </w:t>
      </w:r>
      <w:r w:rsidRPr="00CE5A17">
        <w:rPr>
          <w:rFonts w:cstheme="minorHAnsi"/>
        </w:rPr>
        <w:t xml:space="preserve"> . Each party shall comply with all applicable laws and regulations, including, but not limited to, HIPAA, relating to the use and disclosure and privacy and security of individually identifiable health information of human subjects (“</w:t>
      </w:r>
      <w:r w:rsidRPr="00CE5A17">
        <w:rPr>
          <w:rFonts w:cstheme="minorHAnsi"/>
          <w:b/>
        </w:rPr>
        <w:t>Subject Health Information</w:t>
      </w:r>
      <w:r w:rsidRPr="00CE5A17">
        <w:rPr>
          <w:rFonts w:cstheme="minorHAnsi"/>
        </w:rPr>
        <w:t>”).  Each party shall use and disclose Subject Health Information</w:t>
      </w:r>
      <w:r w:rsidRPr="00EF2E15">
        <w:t xml:space="preserve"> </w:t>
      </w:r>
      <w:r>
        <w:t>only as authorized by the subject or legally-authorized representative</w:t>
      </w:r>
      <w:r w:rsidRPr="00CE5A17">
        <w:rPr>
          <w:rFonts w:cstheme="minorHAnsi"/>
        </w:rPr>
        <w:t xml:space="preserve"> pursuant to subjects’ written authorization and informed consent forms.  Each party shall notify the other party orally and in writing within twenty-four (24) hours of its discovery of any Subject Health Information in its possession, which is improperly </w:t>
      </w:r>
      <w:r>
        <w:t>used or disclosed in violation of HIPAA or the applicable subject authorization</w:t>
      </w:r>
      <w:r w:rsidRPr="00CE5A17">
        <w:rPr>
          <w:rFonts w:cstheme="minorHAnsi"/>
        </w:rPr>
        <w:t xml:space="preserve">, and serious or continuing noncompliance.  The parties shall cooperate with each other in taking such steps as are deemed appropriate, to enjoin misuse, regain possession of the data, and otherwise protect each parties’ rights and subjects’ privacy.  </w:t>
      </w:r>
      <w:r>
        <w:t>It is expressly understood that, by providing review services as described herein, Central IRB shall not be regarded as a “Business Associate” of Institution</w:t>
      </w:r>
    </w:p>
    <w:p w14:paraId="31B76243" w14:textId="77777777" w:rsidR="00AE088F" w:rsidRDefault="00AE088F" w:rsidP="00AE088F">
      <w:pPr>
        <w:pStyle w:val="ListParagraph"/>
        <w:ind w:left="740"/>
        <w:jc w:val="both"/>
        <w:rPr>
          <w:rFonts w:cstheme="minorHAnsi"/>
          <w:b/>
          <w:iCs/>
        </w:rPr>
      </w:pPr>
    </w:p>
    <w:p w14:paraId="6341794F" w14:textId="77777777" w:rsidR="00CE5A17" w:rsidRDefault="001A46AF" w:rsidP="00CE5A17">
      <w:pPr>
        <w:pStyle w:val="ListParagraph"/>
        <w:numPr>
          <w:ilvl w:val="1"/>
          <w:numId w:val="17"/>
        </w:numPr>
        <w:jc w:val="both"/>
        <w:rPr>
          <w:rFonts w:cstheme="minorHAnsi"/>
          <w:b/>
          <w:iCs/>
        </w:rPr>
      </w:pPr>
      <w:r w:rsidRPr="00CE5A17">
        <w:rPr>
          <w:rFonts w:cstheme="minorHAnsi"/>
          <w:b/>
          <w:iCs/>
        </w:rPr>
        <w:lastRenderedPageBreak/>
        <w:t>Record Keeping</w:t>
      </w:r>
      <w:r w:rsidR="00CE5A17">
        <w:rPr>
          <w:rFonts w:cstheme="minorHAnsi"/>
          <w:b/>
          <w:iCs/>
        </w:rPr>
        <w:t xml:space="preserve"> </w:t>
      </w:r>
      <w:r w:rsidRPr="00CE5A17">
        <w:rPr>
          <w:rFonts w:cstheme="minorHAnsi"/>
          <w:iCs/>
        </w:rPr>
        <w:t>Central IRB and Institution agree to maintain records in compliance with all applicable federal, state, and local regulations regarding record retention and agree to make to records</w:t>
      </w:r>
      <w:r w:rsidRPr="00EF2E15">
        <w:t xml:space="preserve"> </w:t>
      </w:r>
      <w:r>
        <w:t>available when and as required by law.</w:t>
      </w:r>
      <w:r w:rsidRPr="00CE5A17">
        <w:rPr>
          <w:rFonts w:cstheme="minorHAnsi"/>
          <w:iCs/>
        </w:rPr>
        <w:t xml:space="preserve"> </w:t>
      </w:r>
    </w:p>
    <w:p w14:paraId="61D7A4CA" w14:textId="77777777" w:rsidR="00AE088F" w:rsidRDefault="00AE088F" w:rsidP="00AE088F">
      <w:pPr>
        <w:pStyle w:val="ListParagraph"/>
        <w:ind w:left="740"/>
        <w:jc w:val="both"/>
        <w:rPr>
          <w:rFonts w:cstheme="minorHAnsi"/>
          <w:b/>
          <w:iCs/>
        </w:rPr>
      </w:pPr>
    </w:p>
    <w:p w14:paraId="28D9B21A" w14:textId="77777777" w:rsidR="00CE5A17" w:rsidRDefault="001A46AF" w:rsidP="00CE5A17">
      <w:pPr>
        <w:pStyle w:val="ListParagraph"/>
        <w:numPr>
          <w:ilvl w:val="1"/>
          <w:numId w:val="17"/>
        </w:numPr>
        <w:jc w:val="both"/>
        <w:rPr>
          <w:rFonts w:cstheme="minorHAnsi"/>
          <w:b/>
          <w:iCs/>
        </w:rPr>
      </w:pPr>
      <w:r w:rsidRPr="00CE5A17">
        <w:rPr>
          <w:rFonts w:cstheme="minorHAnsi"/>
          <w:b/>
          <w:iCs/>
        </w:rPr>
        <w:t>Federal Regulatory Agency Review</w:t>
      </w:r>
      <w:r w:rsidR="00CE5A17">
        <w:rPr>
          <w:rFonts w:cstheme="minorHAnsi"/>
          <w:b/>
          <w:iCs/>
        </w:rPr>
        <w:t xml:space="preserve"> </w:t>
      </w:r>
      <w:r w:rsidRPr="00CE5A17">
        <w:rPr>
          <w:rFonts w:cstheme="minorHAnsi"/>
          <w:iCs/>
        </w:rPr>
        <w:t xml:space="preserve">Central IRB and Institution agree to notify the other party when a federal regulatory agency has or will conduct an audit or review of a study applicable to this authorization agreement and will notify each party of the outcome of the review.    </w:t>
      </w:r>
    </w:p>
    <w:p w14:paraId="42924552" w14:textId="77777777" w:rsidR="00AE088F" w:rsidRDefault="00AE088F" w:rsidP="00AE088F">
      <w:pPr>
        <w:pStyle w:val="ListParagraph"/>
        <w:ind w:left="740"/>
        <w:jc w:val="both"/>
        <w:rPr>
          <w:rFonts w:cstheme="minorHAnsi"/>
          <w:b/>
          <w:iCs/>
        </w:rPr>
      </w:pPr>
    </w:p>
    <w:p w14:paraId="007A2546" w14:textId="77777777" w:rsidR="001A46AF" w:rsidRPr="00CE5A17" w:rsidRDefault="001A46AF" w:rsidP="001A46AF">
      <w:pPr>
        <w:pStyle w:val="ListParagraph"/>
        <w:numPr>
          <w:ilvl w:val="1"/>
          <w:numId w:val="17"/>
        </w:numPr>
        <w:jc w:val="both"/>
        <w:rPr>
          <w:rFonts w:cstheme="minorHAnsi"/>
          <w:b/>
          <w:iCs/>
        </w:rPr>
      </w:pPr>
      <w:r w:rsidRPr="00CE5A17">
        <w:rPr>
          <w:rFonts w:cstheme="minorHAnsi"/>
          <w:b/>
          <w:iCs/>
        </w:rPr>
        <w:t xml:space="preserve">Inspection </w:t>
      </w:r>
      <w:r w:rsidRPr="00CE5A17">
        <w:rPr>
          <w:rFonts w:cstheme="minorHAnsi"/>
        </w:rPr>
        <w:t>Central</w:t>
      </w:r>
      <w:r w:rsidRPr="00CE5A17">
        <w:rPr>
          <w:rFonts w:cstheme="minorHAnsi"/>
          <w:b/>
        </w:rPr>
        <w:t xml:space="preserve"> </w:t>
      </w:r>
      <w:r w:rsidRPr="00CE5A17">
        <w:rPr>
          <w:rFonts w:cstheme="minorHAnsi"/>
        </w:rPr>
        <w:t>IRB</w:t>
      </w:r>
      <w:r w:rsidRPr="00CE5A17">
        <w:rPr>
          <w:rFonts w:cstheme="minorHAnsi"/>
          <w:iCs/>
        </w:rPr>
        <w:t xml:space="preserve"> or its authorized representatives shall be permitted upon request to: (1) examine and inspect Institution’s facilities used for the performance of its research, including storage and use of any investigational products; (2) observe the conduct of the research performed at the Institution; (3) inspect and copy all documents relating to its studies, including study records and informed consent documents, investigational product logs, required licenses, certificates and accreditations; and (4) interview all necessary personnel involved in the research conduct of its studies. </w:t>
      </w:r>
    </w:p>
    <w:p w14:paraId="68F490AB" w14:textId="77777777" w:rsidR="00CE5A17" w:rsidRDefault="001A46AF" w:rsidP="00CE5A17">
      <w:pPr>
        <w:ind w:left="720"/>
        <w:rPr>
          <w:rFonts w:cstheme="minorHAnsi"/>
          <w:iCs/>
        </w:rPr>
      </w:pPr>
      <w:r>
        <w:rPr>
          <w:rFonts w:cstheme="minorHAnsi"/>
          <w:iCs/>
        </w:rPr>
        <w:t>Likewise the Institution shall be permitted</w:t>
      </w:r>
      <w:r w:rsidRPr="00BD2376">
        <w:rPr>
          <w:rFonts w:cstheme="minorHAnsi"/>
          <w:iCs/>
        </w:rPr>
        <w:t xml:space="preserve"> </w:t>
      </w:r>
      <w:r>
        <w:rPr>
          <w:rFonts w:cstheme="minorHAnsi"/>
          <w:iCs/>
        </w:rPr>
        <w:t>upon request to (1) obtain copies of all applicable IRB correspondence pertaining to activities hereunder; (2) review Central IRB’s policies, procedures, roster and other information pertinent to board functions; and (3</w:t>
      </w:r>
      <w:r w:rsidRPr="00A57F69">
        <w:rPr>
          <w:rFonts w:cstheme="minorHAnsi"/>
          <w:iCs/>
        </w:rPr>
        <w:t>) inspect and copy all documents relating to its studies, including</w:t>
      </w:r>
      <w:r>
        <w:rPr>
          <w:rFonts w:cstheme="minorHAnsi"/>
          <w:iCs/>
        </w:rPr>
        <w:t xml:space="preserve"> but not limited to</w:t>
      </w:r>
      <w:r w:rsidRPr="00A57F69">
        <w:rPr>
          <w:rFonts w:cstheme="minorHAnsi"/>
          <w:iCs/>
        </w:rPr>
        <w:t xml:space="preserve"> </w:t>
      </w:r>
      <w:r>
        <w:rPr>
          <w:rFonts w:cstheme="minorHAnsi"/>
          <w:iCs/>
        </w:rPr>
        <w:t>protocols</w:t>
      </w:r>
      <w:r w:rsidRPr="00A57F69">
        <w:rPr>
          <w:rFonts w:cstheme="minorHAnsi"/>
          <w:iCs/>
        </w:rPr>
        <w:t xml:space="preserve"> and informed consent document</w:t>
      </w:r>
      <w:r>
        <w:rPr>
          <w:rFonts w:cstheme="minorHAnsi"/>
          <w:iCs/>
        </w:rPr>
        <w:t>s</w:t>
      </w:r>
      <w:r w:rsidRPr="00A57F69">
        <w:rPr>
          <w:rFonts w:cstheme="minorHAnsi"/>
          <w:iCs/>
        </w:rPr>
        <w:t xml:space="preserve">, investigational </w:t>
      </w:r>
      <w:r>
        <w:rPr>
          <w:rFonts w:cstheme="minorHAnsi"/>
          <w:iCs/>
        </w:rPr>
        <w:t>drug brochures</w:t>
      </w:r>
      <w:r w:rsidRPr="00A57F69">
        <w:rPr>
          <w:rFonts w:cstheme="minorHAnsi"/>
          <w:iCs/>
        </w:rPr>
        <w:t>,</w:t>
      </w:r>
      <w:r>
        <w:rPr>
          <w:rFonts w:cstheme="minorHAnsi"/>
          <w:iCs/>
        </w:rPr>
        <w:t xml:space="preserve"> reports, unanticipated problems, reports of noncompliance,</w:t>
      </w:r>
      <w:r w:rsidRPr="00A57F69">
        <w:rPr>
          <w:rFonts w:cstheme="minorHAnsi"/>
          <w:iCs/>
        </w:rPr>
        <w:t xml:space="preserve"> required licenses, </w:t>
      </w:r>
      <w:r>
        <w:rPr>
          <w:rFonts w:cstheme="minorHAnsi"/>
          <w:iCs/>
        </w:rPr>
        <w:t>certificates and accreditations</w:t>
      </w:r>
      <w:r w:rsidRPr="00A57F69">
        <w:rPr>
          <w:rFonts w:cstheme="minorHAnsi"/>
          <w:iCs/>
        </w:rPr>
        <w:t xml:space="preserve">. </w:t>
      </w:r>
    </w:p>
    <w:p w14:paraId="095EF0B4" w14:textId="77777777" w:rsidR="00CE5A17" w:rsidRPr="00CE5A17" w:rsidRDefault="001A46AF" w:rsidP="00CE5A17">
      <w:pPr>
        <w:pStyle w:val="ListParagraph"/>
        <w:numPr>
          <w:ilvl w:val="1"/>
          <w:numId w:val="17"/>
        </w:numPr>
        <w:rPr>
          <w:rFonts w:cstheme="minorHAnsi"/>
          <w:b/>
          <w:iCs/>
        </w:rPr>
      </w:pPr>
      <w:r w:rsidRPr="00CE5A17">
        <w:rPr>
          <w:rFonts w:cstheme="minorHAnsi"/>
          <w:b/>
          <w:iCs/>
        </w:rPr>
        <w:t>Reporting to Sponsor, Federal Agencies, or other oversight entities</w:t>
      </w:r>
      <w:r w:rsidR="00CE5A17">
        <w:rPr>
          <w:rFonts w:cstheme="minorHAnsi"/>
          <w:b/>
          <w:iCs/>
        </w:rPr>
        <w:t xml:space="preserve"> </w:t>
      </w:r>
      <w:r w:rsidRPr="00CE5A17">
        <w:rPr>
          <w:rFonts w:cstheme="minorHAnsi"/>
        </w:rPr>
        <w:t>If the Central IRB</w:t>
      </w:r>
      <w:r w:rsidR="00CE5A17" w:rsidRPr="00CE5A17">
        <w:rPr>
          <w:rFonts w:cstheme="minorHAnsi"/>
        </w:rPr>
        <w:t xml:space="preserve"> or Institution</w:t>
      </w:r>
      <w:r w:rsidRPr="00CE5A17">
        <w:rPr>
          <w:rFonts w:cstheme="minorHAnsi"/>
        </w:rPr>
        <w:t xml:space="preserve"> determines that it must report the findings of an investigation to sponsor, OHRP, the FDA and/or other oversight entities, it will notify the Institution in advance.    </w:t>
      </w:r>
      <w:r w:rsidRPr="00CE5A17">
        <w:rPr>
          <w:rFonts w:cstheme="minorHAnsi"/>
          <w:iCs/>
          <w:snapToGrid w:val="0"/>
        </w:rPr>
        <w:t xml:space="preserve">The </w:t>
      </w:r>
      <w:r w:rsidRPr="00CE5A17">
        <w:rPr>
          <w:rFonts w:cstheme="minorHAnsi"/>
          <w:iCs/>
        </w:rPr>
        <w:t>party making the report will share the</w:t>
      </w:r>
      <w:r w:rsidRPr="00CE5A17">
        <w:rPr>
          <w:rFonts w:cstheme="minorHAnsi"/>
          <w:iCs/>
          <w:snapToGrid w:val="0"/>
        </w:rPr>
        <w:t xml:space="preserve"> report with the other party before it is sent to the sponsor/oversight authority, and will copy the other parties’ institutional official(s) and designees</w:t>
      </w:r>
      <w:r w:rsidRPr="00CE5A17">
        <w:rPr>
          <w:rFonts w:cstheme="minorHAnsi"/>
          <w:iCs/>
        </w:rPr>
        <w:t xml:space="preserve">.  </w:t>
      </w:r>
      <w:r w:rsidRPr="00CE5A17">
        <w:rPr>
          <w:rFonts w:cstheme="minorHAnsi"/>
        </w:rPr>
        <w:t>Nothing in this Agreement shall be construed to prevent prompt reporting, or an Institution or Central IRB from making its own report to OHRP, the FDA, in accordance with its written procedures, or from taking additional remediation steps.</w:t>
      </w:r>
    </w:p>
    <w:p w14:paraId="1A44DCA5" w14:textId="77777777" w:rsidR="00CE5A17" w:rsidRDefault="00CE5A17" w:rsidP="00CE5A17">
      <w:pPr>
        <w:pStyle w:val="ListParagraph"/>
        <w:ind w:left="740"/>
        <w:rPr>
          <w:rFonts w:cstheme="minorHAnsi"/>
          <w:b/>
          <w:iCs/>
        </w:rPr>
      </w:pPr>
    </w:p>
    <w:p w14:paraId="711F1628" w14:textId="60B9F9DF" w:rsidR="009744DF" w:rsidRPr="009744DF" w:rsidRDefault="001A46AF" w:rsidP="009744DF">
      <w:pPr>
        <w:pStyle w:val="ListParagraph"/>
        <w:numPr>
          <w:ilvl w:val="1"/>
          <w:numId w:val="17"/>
        </w:numPr>
        <w:rPr>
          <w:rFonts w:cstheme="minorHAnsi"/>
          <w:b/>
          <w:iCs/>
        </w:rPr>
      </w:pPr>
      <w:r w:rsidRPr="00CE5A17">
        <w:rPr>
          <w:b/>
        </w:rPr>
        <w:t>Conflict of Interest Review</w:t>
      </w:r>
      <w:r w:rsidR="00CE5A17">
        <w:rPr>
          <w:rFonts w:cstheme="minorHAnsi"/>
          <w:b/>
          <w:iCs/>
        </w:rPr>
        <w:t xml:space="preserve"> </w:t>
      </w:r>
      <w:r w:rsidRPr="00CE5A17">
        <w:rPr>
          <w:iCs/>
        </w:rPr>
        <w:t xml:space="preserve">The Institution may </w:t>
      </w:r>
      <w:r w:rsidRPr="00D45BEF">
        <w:t>perform its own investigator conflict of interest analysis under its relevant policies.</w:t>
      </w:r>
      <w:r>
        <w:t xml:space="preserve"> </w:t>
      </w:r>
      <w:r w:rsidRPr="005D5587">
        <w:t>Any applicable</w:t>
      </w:r>
      <w:r>
        <w:t xml:space="preserve"> conflict</w:t>
      </w:r>
      <w:r w:rsidRPr="005D5587">
        <w:t xml:space="preserve"> of interest and associated</w:t>
      </w:r>
      <w:r>
        <w:t xml:space="preserve"> management plan</w:t>
      </w:r>
      <w:r w:rsidRPr="005D5587">
        <w:t xml:space="preserve"> shall be communicated to the Central IRB.  The Central IRB will apply its standard policies regarding confidentiality of review of information and disclosures submitted to it regarding potential investigator conflicts of interest</w:t>
      </w:r>
      <w:r>
        <w:t xml:space="preserve">. </w:t>
      </w:r>
      <w:r w:rsidRPr="00CE5A17">
        <w:rPr>
          <w:rFonts w:cstheme="minorHAnsi"/>
        </w:rPr>
        <w:t xml:space="preserve">Central IRB </w:t>
      </w:r>
      <w:r w:rsidRPr="00D45BEF">
        <w:t>will implement institutional conflict of interest management plans</w:t>
      </w:r>
      <w:r>
        <w:t xml:space="preserve"> to the extent that they involve </w:t>
      </w:r>
      <w:r w:rsidRPr="00D45BEF">
        <w:t xml:space="preserve">human subject protection considerations, such as mandated language in informed consent forms </w:t>
      </w:r>
      <w:r>
        <w:t xml:space="preserve">once this information is communicated </w:t>
      </w:r>
      <w:r w:rsidRPr="00D45BEF">
        <w:t xml:space="preserve">to the Central IRB.  If the </w:t>
      </w:r>
      <w:r w:rsidRPr="00CE5A17">
        <w:rPr>
          <w:rFonts w:cstheme="minorHAnsi"/>
        </w:rPr>
        <w:t xml:space="preserve">Central IRB </w:t>
      </w:r>
      <w:r w:rsidRPr="00D45BEF">
        <w:t xml:space="preserve">determines the management plan is not acceptable, the </w:t>
      </w:r>
      <w:r w:rsidRPr="00CE5A17">
        <w:rPr>
          <w:rFonts w:cstheme="minorHAnsi"/>
        </w:rPr>
        <w:t xml:space="preserve">Central IRB </w:t>
      </w:r>
      <w:r w:rsidRPr="00D45BEF">
        <w:t xml:space="preserve">will promptly inform the </w:t>
      </w:r>
      <w:r>
        <w:t xml:space="preserve">PI and the </w:t>
      </w:r>
      <w:r w:rsidRPr="00D45BEF">
        <w:t xml:space="preserve">institution’s </w:t>
      </w:r>
      <w:r>
        <w:t>r</w:t>
      </w:r>
      <w:r w:rsidRPr="00D45BEF">
        <w:t xml:space="preserve">esponsible </w:t>
      </w:r>
      <w:r>
        <w:t>individual</w:t>
      </w:r>
      <w:r w:rsidRPr="00D45BEF">
        <w:t xml:space="preserve">. </w:t>
      </w:r>
    </w:p>
    <w:p w14:paraId="59B3D546" w14:textId="77777777" w:rsidR="009744DF" w:rsidRPr="009744DF" w:rsidRDefault="009744DF" w:rsidP="009744DF">
      <w:pPr>
        <w:pStyle w:val="ListParagraph"/>
        <w:ind w:left="740"/>
        <w:rPr>
          <w:rFonts w:cstheme="minorHAnsi"/>
          <w:b/>
          <w:iCs/>
        </w:rPr>
      </w:pPr>
    </w:p>
    <w:p w14:paraId="2948C402" w14:textId="46832E03" w:rsidR="009744DF" w:rsidRPr="009744DF" w:rsidRDefault="001A46AF" w:rsidP="009744DF">
      <w:pPr>
        <w:pStyle w:val="ListParagraph"/>
        <w:numPr>
          <w:ilvl w:val="1"/>
          <w:numId w:val="17"/>
        </w:numPr>
        <w:rPr>
          <w:rFonts w:cstheme="minorHAnsi"/>
          <w:b/>
          <w:iCs/>
        </w:rPr>
      </w:pPr>
      <w:r w:rsidRPr="009744DF">
        <w:rPr>
          <w:b/>
          <w:i/>
          <w:szCs w:val="20"/>
        </w:rPr>
        <w:t>Clinical Trial Agreements and Compensation for Research Related Injury</w:t>
      </w:r>
      <w:r w:rsidR="009744DF" w:rsidRPr="009744DF">
        <w:rPr>
          <w:b/>
          <w:i/>
          <w:szCs w:val="20"/>
        </w:rPr>
        <w:t xml:space="preserve"> (Optional, if applicable)</w:t>
      </w:r>
      <w:r w:rsidR="009744DF">
        <w:rPr>
          <w:b/>
          <w:i/>
          <w:szCs w:val="20"/>
        </w:rPr>
        <w:t xml:space="preserve"> </w:t>
      </w:r>
      <w:r w:rsidRPr="009744DF">
        <w:rPr>
          <w:rFonts w:cstheme="minorHAnsi"/>
        </w:rPr>
        <w:t>The Central IRB shall, unless a waiver of informed consent is issued, approve an informed consent form for use at the Institution.  Institution shall ensure that the Clinical Trial Agreement (CTA) and the approved consent form do not conflict with each other</w:t>
      </w:r>
      <w:r w:rsidRPr="00061587">
        <w:t xml:space="preserve"> </w:t>
      </w:r>
      <w:r>
        <w:t>with regard to provisions regarding the availability of compensation for research-related injury</w:t>
      </w:r>
      <w:r w:rsidRPr="009744DF">
        <w:rPr>
          <w:rFonts w:cstheme="minorHAnsi"/>
        </w:rPr>
        <w:t xml:space="preserve"> regarding the compensation for injury clause.  In the event of a conflict between the CTA and the consent form, the research will not be approved until the conflict is resolved in a way acceptable to Institution and Central IRB.</w:t>
      </w:r>
    </w:p>
    <w:p w14:paraId="318904BA" w14:textId="77777777" w:rsidR="009744DF" w:rsidRDefault="009744DF" w:rsidP="009744DF">
      <w:pPr>
        <w:pStyle w:val="ListParagraph"/>
        <w:ind w:left="0"/>
        <w:jc w:val="both"/>
        <w:rPr>
          <w:rFonts w:cstheme="minorHAnsi"/>
          <w:b/>
          <w:i/>
          <w:iCs/>
        </w:rPr>
      </w:pPr>
    </w:p>
    <w:p w14:paraId="434869CA" w14:textId="77777777" w:rsidR="009744DF" w:rsidRDefault="001A46AF" w:rsidP="009744DF">
      <w:pPr>
        <w:pStyle w:val="ListParagraph"/>
        <w:numPr>
          <w:ilvl w:val="0"/>
          <w:numId w:val="17"/>
        </w:numPr>
        <w:ind w:left="0"/>
        <w:jc w:val="both"/>
        <w:rPr>
          <w:rFonts w:cstheme="minorHAnsi"/>
          <w:b/>
          <w:i/>
          <w:iCs/>
        </w:rPr>
      </w:pPr>
      <w:r>
        <w:rPr>
          <w:rFonts w:cstheme="minorHAnsi"/>
          <w:b/>
          <w:i/>
          <w:iCs/>
        </w:rPr>
        <w:t>General Terms and Conditions</w:t>
      </w:r>
    </w:p>
    <w:p w14:paraId="16FA3328" w14:textId="77777777" w:rsidR="0057128B" w:rsidRDefault="0057128B" w:rsidP="0057128B">
      <w:pPr>
        <w:pStyle w:val="ListParagraph"/>
        <w:ind w:left="0"/>
        <w:jc w:val="both"/>
        <w:rPr>
          <w:rFonts w:cstheme="minorHAnsi"/>
          <w:b/>
          <w:i/>
          <w:iCs/>
        </w:rPr>
      </w:pPr>
    </w:p>
    <w:p w14:paraId="0B5897A7" w14:textId="452021C6" w:rsidR="001A46AF" w:rsidRPr="009744DF" w:rsidRDefault="001A46AF" w:rsidP="009744DF">
      <w:pPr>
        <w:pStyle w:val="ListParagraph"/>
        <w:numPr>
          <w:ilvl w:val="1"/>
          <w:numId w:val="17"/>
        </w:numPr>
        <w:jc w:val="both"/>
        <w:rPr>
          <w:rFonts w:cstheme="minorHAnsi"/>
          <w:b/>
          <w:i/>
          <w:iCs/>
        </w:rPr>
      </w:pPr>
      <w:r w:rsidRPr="0057128B">
        <w:rPr>
          <w:rFonts w:cstheme="minorHAnsi"/>
          <w:b/>
          <w:i/>
          <w:iCs/>
        </w:rPr>
        <w:t>Term and Termination</w:t>
      </w:r>
      <w:r w:rsidRPr="0057128B">
        <w:rPr>
          <w:rStyle w:val="FootnoteReference"/>
          <w:rFonts w:cstheme="minorHAnsi"/>
          <w:b/>
        </w:rPr>
        <w:footnoteReference w:id="3"/>
      </w:r>
      <w:r w:rsidR="009744DF" w:rsidRPr="0057128B">
        <w:rPr>
          <w:rFonts w:cstheme="minorHAnsi"/>
          <w:b/>
          <w:i/>
          <w:iCs/>
        </w:rPr>
        <w:t xml:space="preserve"> </w:t>
      </w:r>
      <w:r w:rsidRPr="0057128B">
        <w:rPr>
          <w:rFonts w:cstheme="minorHAnsi"/>
        </w:rPr>
        <w:t xml:space="preserve">The term of this Agreement shall commence upon execution of this Agreement by both parties, and shall continue until [DATE] or until such time as either party gives </w:t>
      </w:r>
      <w:r w:rsidRPr="0057128B">
        <w:rPr>
          <w:rFonts w:cstheme="minorHAnsi"/>
          <w:sz w:val="24"/>
        </w:rPr>
        <w:fldChar w:fldCharType="begin">
          <w:ffData>
            <w:name w:val="Text1"/>
            <w:enabled/>
            <w:calcOnExit w:val="0"/>
            <w:textInput/>
          </w:ffData>
        </w:fldChar>
      </w:r>
      <w:r w:rsidRPr="0057128B">
        <w:rPr>
          <w:rFonts w:cstheme="minorHAnsi"/>
          <w:sz w:val="24"/>
        </w:rPr>
        <w:instrText xml:space="preserve"> FORMTEXT </w:instrText>
      </w:r>
      <w:r w:rsidRPr="0057128B">
        <w:rPr>
          <w:rFonts w:cstheme="minorHAnsi"/>
          <w:sz w:val="24"/>
        </w:rPr>
      </w:r>
      <w:r w:rsidRPr="0057128B">
        <w:rPr>
          <w:rFonts w:cstheme="minorHAnsi"/>
          <w:sz w:val="24"/>
        </w:rPr>
        <w:fldChar w:fldCharType="separate"/>
      </w:r>
      <w:r w:rsidRPr="0057128B">
        <w:rPr>
          <w:noProof/>
          <w:sz w:val="24"/>
        </w:rPr>
        <w:t> </w:t>
      </w:r>
      <w:r w:rsidRPr="0057128B">
        <w:rPr>
          <w:noProof/>
          <w:sz w:val="24"/>
        </w:rPr>
        <w:t> </w:t>
      </w:r>
      <w:r w:rsidRPr="0057128B">
        <w:rPr>
          <w:noProof/>
          <w:sz w:val="24"/>
        </w:rPr>
        <w:t> </w:t>
      </w:r>
      <w:r w:rsidRPr="0057128B">
        <w:rPr>
          <w:noProof/>
          <w:sz w:val="24"/>
        </w:rPr>
        <w:t> </w:t>
      </w:r>
      <w:r w:rsidRPr="0057128B">
        <w:rPr>
          <w:noProof/>
          <w:sz w:val="24"/>
        </w:rPr>
        <w:t> </w:t>
      </w:r>
      <w:r w:rsidRPr="0057128B">
        <w:rPr>
          <w:rFonts w:cstheme="minorHAnsi"/>
          <w:sz w:val="24"/>
        </w:rPr>
        <w:fldChar w:fldCharType="end"/>
      </w:r>
      <w:r w:rsidRPr="0057128B">
        <w:rPr>
          <w:rFonts w:cstheme="minorHAnsi"/>
          <w:sz w:val="24"/>
        </w:rPr>
        <w:t xml:space="preserve"> </w:t>
      </w:r>
      <w:r w:rsidRPr="0057128B">
        <w:rPr>
          <w:rFonts w:cstheme="minorHAnsi"/>
        </w:rPr>
        <w:t xml:space="preserve">days written notice of termination, whichever comes first.  Notwithstanding the foregoing, in the event that either party is in default in the performance of any of its obligations under this Agreement, and the default has not been remedied within </w:t>
      </w:r>
      <w:r w:rsidRPr="0057128B">
        <w:rPr>
          <w:rFonts w:cstheme="minorHAnsi"/>
          <w:sz w:val="24"/>
        </w:rPr>
        <w:fldChar w:fldCharType="begin">
          <w:ffData>
            <w:name w:val="Text1"/>
            <w:enabled/>
            <w:calcOnExit w:val="0"/>
            <w:textInput/>
          </w:ffData>
        </w:fldChar>
      </w:r>
      <w:r w:rsidRPr="0057128B">
        <w:rPr>
          <w:rFonts w:cstheme="minorHAnsi"/>
          <w:sz w:val="24"/>
        </w:rPr>
        <w:instrText xml:space="preserve"> FORMTEXT </w:instrText>
      </w:r>
      <w:r w:rsidRPr="0057128B">
        <w:rPr>
          <w:rFonts w:cstheme="minorHAnsi"/>
          <w:sz w:val="24"/>
        </w:rPr>
      </w:r>
      <w:r w:rsidRPr="0057128B">
        <w:rPr>
          <w:rFonts w:cstheme="minorHAnsi"/>
          <w:sz w:val="24"/>
        </w:rPr>
        <w:fldChar w:fldCharType="separate"/>
      </w:r>
      <w:r w:rsidRPr="0057128B">
        <w:rPr>
          <w:noProof/>
          <w:sz w:val="24"/>
        </w:rPr>
        <w:t> </w:t>
      </w:r>
      <w:r w:rsidRPr="0057128B">
        <w:rPr>
          <w:noProof/>
          <w:sz w:val="24"/>
        </w:rPr>
        <w:t> </w:t>
      </w:r>
      <w:r w:rsidRPr="0057128B">
        <w:rPr>
          <w:noProof/>
          <w:sz w:val="24"/>
        </w:rPr>
        <w:t> </w:t>
      </w:r>
      <w:r w:rsidRPr="0057128B">
        <w:rPr>
          <w:noProof/>
          <w:sz w:val="24"/>
        </w:rPr>
        <w:t> </w:t>
      </w:r>
      <w:r w:rsidRPr="0057128B">
        <w:rPr>
          <w:noProof/>
          <w:sz w:val="24"/>
        </w:rPr>
        <w:t> </w:t>
      </w:r>
      <w:r w:rsidRPr="0057128B">
        <w:rPr>
          <w:rFonts w:cstheme="minorHAnsi"/>
          <w:sz w:val="24"/>
        </w:rPr>
        <w:fldChar w:fldCharType="end"/>
      </w:r>
      <w:r w:rsidRPr="0057128B">
        <w:rPr>
          <w:rFonts w:cstheme="minorHAnsi"/>
        </w:rPr>
        <w:t xml:space="preserve"> days after the date of notice in writing of such default, the party not in default may terminate</w:t>
      </w:r>
      <w:r w:rsidRPr="009744DF">
        <w:rPr>
          <w:rFonts w:cstheme="minorHAnsi"/>
        </w:rPr>
        <w:t xml:space="preserve"> this Agreement immediately by written notice.</w:t>
      </w:r>
    </w:p>
    <w:p w14:paraId="60BE90F2" w14:textId="77777777" w:rsidR="001A46AF" w:rsidRDefault="001A46AF" w:rsidP="009744DF">
      <w:pPr>
        <w:ind w:left="720"/>
        <w:rPr>
          <w:rFonts w:cstheme="minorHAnsi"/>
        </w:rPr>
      </w:pPr>
      <w:r w:rsidRPr="00375256">
        <w:rPr>
          <w:rFonts w:cstheme="minorHAnsi"/>
        </w:rPr>
        <w:t xml:space="preserve">Notwithstanding the immediately preceding paragraph, the parties specifically recognize that </w:t>
      </w:r>
      <w:r>
        <w:rPr>
          <w:rFonts w:cstheme="minorHAnsi"/>
        </w:rPr>
        <w:t xml:space="preserve">45 CFR 46.109(e) and </w:t>
      </w:r>
      <w:r w:rsidRPr="00375256">
        <w:rPr>
          <w:rFonts w:cstheme="minorHAnsi"/>
        </w:rPr>
        <w:t>21 CFR § 56.109(f) requires that, “An IRB shall conduct continuing review of research . . .</w:t>
      </w:r>
      <w:r>
        <w:rPr>
          <w:rFonts w:cstheme="minorHAnsi"/>
        </w:rPr>
        <w:t xml:space="preserve"> </w:t>
      </w:r>
      <w:r w:rsidRPr="00375256">
        <w:rPr>
          <w:rFonts w:cstheme="minorHAnsi"/>
        </w:rPr>
        <w:t>not less than once per year, and shall have authority to observe or have a third party observe the consent process and the research.”  Therefore, termination of this Agreement shall not affect the Central IRB’s obligations of continuing review for studies approved hereunder or Institution’s payment responsibilities until such studies are</w:t>
      </w:r>
      <w:r>
        <w:rPr>
          <w:rFonts w:cstheme="minorHAnsi"/>
        </w:rPr>
        <w:t xml:space="preserve"> appropriately</w:t>
      </w:r>
      <w:r w:rsidRPr="00375256">
        <w:rPr>
          <w:rFonts w:cstheme="minorHAnsi"/>
        </w:rPr>
        <w:t xml:space="preserve"> transferred to</w:t>
      </w:r>
      <w:r>
        <w:rPr>
          <w:rFonts w:cstheme="minorHAnsi"/>
        </w:rPr>
        <w:t xml:space="preserve"> a new IRB. </w:t>
      </w:r>
      <w:r w:rsidRPr="00375256">
        <w:rPr>
          <w:rFonts w:cstheme="minorHAnsi"/>
        </w:rPr>
        <w:t xml:space="preserve"> </w:t>
      </w:r>
    </w:p>
    <w:p w14:paraId="5BAA6F1A" w14:textId="77777777" w:rsidR="009744DF" w:rsidRPr="009744DF" w:rsidRDefault="001A46AF" w:rsidP="009744DF">
      <w:pPr>
        <w:pStyle w:val="ListParagraph"/>
        <w:numPr>
          <w:ilvl w:val="1"/>
          <w:numId w:val="17"/>
        </w:numPr>
        <w:rPr>
          <w:rFonts w:cstheme="minorHAnsi"/>
          <w:b/>
          <w:i/>
        </w:rPr>
      </w:pPr>
      <w:r w:rsidRPr="009744DF">
        <w:rPr>
          <w:b/>
          <w:i/>
        </w:rPr>
        <w:t xml:space="preserve">Assignment: </w:t>
      </w:r>
      <w:r w:rsidRPr="009744DF">
        <w:rPr>
          <w:rFonts w:cstheme="minorHAnsi"/>
        </w:rPr>
        <w:t>This Agreement may not be assigned or transferred by either party without the prior wri</w:t>
      </w:r>
      <w:r w:rsidR="009744DF" w:rsidRPr="009744DF">
        <w:rPr>
          <w:rFonts w:cstheme="minorHAnsi"/>
        </w:rPr>
        <w:t>tten consent of the other party.</w:t>
      </w:r>
    </w:p>
    <w:p w14:paraId="0E7E5BD4" w14:textId="77777777" w:rsidR="009744DF" w:rsidRPr="009744DF" w:rsidRDefault="009744DF" w:rsidP="009744DF">
      <w:pPr>
        <w:pStyle w:val="ListParagraph"/>
        <w:ind w:left="740"/>
        <w:rPr>
          <w:rFonts w:cstheme="minorHAnsi"/>
          <w:b/>
          <w:i/>
        </w:rPr>
      </w:pPr>
    </w:p>
    <w:p w14:paraId="1281655B" w14:textId="21EF2D5A" w:rsidR="0057128B" w:rsidRPr="0057128B" w:rsidRDefault="001A46AF" w:rsidP="0057128B">
      <w:pPr>
        <w:pStyle w:val="ListParagraph"/>
        <w:numPr>
          <w:ilvl w:val="1"/>
          <w:numId w:val="17"/>
        </w:numPr>
        <w:rPr>
          <w:rFonts w:cstheme="minorHAnsi"/>
          <w:b/>
          <w:i/>
        </w:rPr>
      </w:pPr>
      <w:r w:rsidRPr="009744DF">
        <w:rPr>
          <w:rFonts w:cstheme="minorHAnsi"/>
          <w:b/>
          <w:i/>
          <w:iCs/>
        </w:rPr>
        <w:t xml:space="preserve">Notices: </w:t>
      </w:r>
      <w:r w:rsidR="009744DF" w:rsidRPr="009744DF">
        <w:rPr>
          <w:rFonts w:cstheme="minorHAnsi"/>
          <w:b/>
          <w:i/>
          <w:iCs/>
        </w:rPr>
        <w:t xml:space="preserve"> </w:t>
      </w:r>
      <w:r w:rsidRPr="009744DF">
        <w:rPr>
          <w:rFonts w:cstheme="minorHAnsi"/>
        </w:rPr>
        <w:t xml:space="preserve">All notices relating to this Agreement shall be delivered personally, by facsimile, by e-mail, by registered or certified first class mail, or by overnight courier service to the contact addresses set forth below.  Notice shall be effective upon receipt if personally delivered, delivered by e-mail or delivered by facsimile; upon the third business day following the date of mailing by registered or certified first class mail; or on the first business day following the date of delivery to the overnight courier.  </w:t>
      </w:r>
      <w:r>
        <w:t>All notices hereunder shall be directed as follows</w:t>
      </w:r>
      <w:r w:rsidRPr="009744DF">
        <w:rPr>
          <w:rFonts w:cstheme="minorHAnsi"/>
        </w:rPr>
        <w:t xml:space="preserve"> </w:t>
      </w:r>
    </w:p>
    <w:p w14:paraId="6FAB905D" w14:textId="77777777" w:rsidR="0057128B" w:rsidRDefault="0057128B" w:rsidP="0057128B">
      <w:pPr>
        <w:pStyle w:val="ListParagraph"/>
        <w:ind w:left="740"/>
        <w:rPr>
          <w:rFonts w:cstheme="minorHAnsi"/>
        </w:rPr>
      </w:pPr>
    </w:p>
    <w:p w14:paraId="23CE223E" w14:textId="77777777" w:rsidR="0057128B" w:rsidRDefault="001A46AF" w:rsidP="0057128B">
      <w:pPr>
        <w:pStyle w:val="ListParagraph"/>
        <w:ind w:left="740"/>
        <w:rPr>
          <w:rFonts w:cstheme="minorHAnsi"/>
        </w:rPr>
      </w:pPr>
      <w:r w:rsidRPr="009744DF">
        <w:rPr>
          <w:rFonts w:cstheme="minorHAnsi"/>
        </w:rPr>
        <w:t>If to Institution:</w:t>
      </w:r>
      <w:r w:rsidRPr="009744DF">
        <w:rPr>
          <w:rFonts w:cstheme="minorHAnsi"/>
        </w:rPr>
        <w:tab/>
      </w:r>
      <w:r w:rsidR="009744DF" w:rsidRPr="009744DF">
        <w:rPr>
          <w:rFonts w:cstheme="minorHAnsi"/>
        </w:rPr>
        <w:tab/>
      </w:r>
      <w:r w:rsidRPr="009744DF">
        <w:rPr>
          <w:rFonts w:cstheme="minorHAnsi"/>
        </w:rPr>
        <w:t>[include information here]</w:t>
      </w:r>
    </w:p>
    <w:p w14:paraId="04569258" w14:textId="63991CAA" w:rsidR="009744DF" w:rsidRDefault="001A46AF" w:rsidP="0057128B">
      <w:pPr>
        <w:pStyle w:val="ListParagraph"/>
        <w:ind w:left="740"/>
        <w:rPr>
          <w:rFonts w:cstheme="minorHAnsi"/>
        </w:rPr>
      </w:pPr>
      <w:r w:rsidRPr="009744DF">
        <w:rPr>
          <w:rFonts w:cstheme="minorHAnsi"/>
        </w:rPr>
        <w:lastRenderedPageBreak/>
        <w:t>If to Central IRB:</w:t>
      </w:r>
      <w:r w:rsidRPr="009744DF">
        <w:rPr>
          <w:rFonts w:cstheme="minorHAnsi"/>
        </w:rPr>
        <w:tab/>
        <w:t>[include information here]</w:t>
      </w:r>
      <w:r w:rsidRPr="009744DF">
        <w:rPr>
          <w:rFonts w:cstheme="minorHAnsi"/>
        </w:rPr>
        <w:tab/>
      </w:r>
    </w:p>
    <w:p w14:paraId="03ED96D4" w14:textId="77777777" w:rsidR="0057128B" w:rsidRPr="009744DF" w:rsidRDefault="0057128B" w:rsidP="0057128B">
      <w:pPr>
        <w:pStyle w:val="ListParagraph"/>
        <w:ind w:left="740"/>
        <w:rPr>
          <w:rFonts w:cstheme="minorHAnsi"/>
          <w:b/>
          <w:i/>
        </w:rPr>
      </w:pPr>
    </w:p>
    <w:p w14:paraId="3E8AD867" w14:textId="23DB51DB" w:rsidR="009744DF" w:rsidRPr="0057128B" w:rsidRDefault="001A46AF" w:rsidP="009744DF">
      <w:pPr>
        <w:pStyle w:val="ListParagraph"/>
        <w:numPr>
          <w:ilvl w:val="1"/>
          <w:numId w:val="17"/>
        </w:numPr>
        <w:rPr>
          <w:rFonts w:cstheme="minorHAnsi"/>
          <w:b/>
          <w:i/>
        </w:rPr>
      </w:pPr>
      <w:r w:rsidRPr="009744DF">
        <w:rPr>
          <w:rFonts w:cstheme="minorHAnsi"/>
          <w:b/>
          <w:i/>
        </w:rPr>
        <w:t>IRB Review Fee:</w:t>
      </w:r>
      <w:r>
        <w:rPr>
          <w:rStyle w:val="FootnoteReference"/>
          <w:rFonts w:cstheme="minorHAnsi"/>
          <w:b/>
        </w:rPr>
        <w:footnoteReference w:id="4"/>
      </w:r>
      <w:proofErr w:type="gramStart"/>
      <w:r w:rsidRPr="009744DF">
        <w:rPr>
          <w:rFonts w:cstheme="minorHAnsi"/>
        </w:rPr>
        <w:t xml:space="preserve">  </w:t>
      </w:r>
      <w:r w:rsidRPr="0057128B">
        <w:rPr>
          <w:rFonts w:cstheme="minorHAnsi"/>
        </w:rPr>
        <w:t>Central</w:t>
      </w:r>
      <w:proofErr w:type="gramEnd"/>
      <w:r w:rsidRPr="0057128B">
        <w:rPr>
          <w:rFonts w:cstheme="minorHAnsi"/>
        </w:rPr>
        <w:t xml:space="preserve"> IRB will charge for services in accordance with its published fees.  Central IRB will provide notice of changes to its fee structure prior to implementation.      For new studies, Central IRB shall bill Institution, investigators or sponsors, or their agents, for services rendered as directed upon the applicable submission form(s); the Compensation provisions of this Agreement will surviv</w:t>
      </w:r>
      <w:r w:rsidR="009744DF" w:rsidRPr="0057128B">
        <w:rPr>
          <w:rFonts w:cstheme="minorHAnsi"/>
        </w:rPr>
        <w:t>e termination of this Agreement.</w:t>
      </w:r>
      <w:r w:rsidR="009744DF" w:rsidRPr="0057128B">
        <w:rPr>
          <w:rFonts w:cstheme="minorHAnsi"/>
          <w:b/>
          <w:bCs/>
          <w:i/>
        </w:rPr>
        <w:t xml:space="preserve"> </w:t>
      </w:r>
    </w:p>
    <w:p w14:paraId="2FDFF987" w14:textId="77777777" w:rsidR="0057128B" w:rsidRPr="0057128B" w:rsidRDefault="0057128B" w:rsidP="0057128B">
      <w:pPr>
        <w:pStyle w:val="ListParagraph"/>
        <w:ind w:left="740"/>
        <w:rPr>
          <w:rFonts w:cstheme="minorHAnsi"/>
          <w:b/>
          <w:i/>
        </w:rPr>
      </w:pPr>
    </w:p>
    <w:p w14:paraId="0B9C2952" w14:textId="4C23EA71" w:rsidR="009744DF" w:rsidRPr="0057128B" w:rsidRDefault="009744DF" w:rsidP="009744DF">
      <w:pPr>
        <w:pStyle w:val="ListParagraph"/>
        <w:numPr>
          <w:ilvl w:val="1"/>
          <w:numId w:val="17"/>
        </w:numPr>
        <w:rPr>
          <w:rFonts w:cstheme="minorHAnsi"/>
          <w:b/>
          <w:i/>
        </w:rPr>
      </w:pPr>
      <w:r w:rsidRPr="009744DF">
        <w:rPr>
          <w:rFonts w:cstheme="minorHAnsi"/>
          <w:b/>
          <w:bCs/>
          <w:i/>
        </w:rPr>
        <w:t xml:space="preserve"> </w:t>
      </w:r>
      <w:r w:rsidR="001A46AF" w:rsidRPr="009744DF">
        <w:rPr>
          <w:rFonts w:cstheme="minorHAnsi"/>
          <w:b/>
          <w:bCs/>
          <w:i/>
        </w:rPr>
        <w:t>Relationship of the Parties:</w:t>
      </w:r>
      <w:r w:rsidR="001A46AF" w:rsidRPr="009744DF">
        <w:rPr>
          <w:rFonts w:cstheme="minorHAnsi"/>
          <w:bCs/>
        </w:rPr>
        <w:t xml:space="preserve"> </w:t>
      </w:r>
      <w:r w:rsidR="001A46AF" w:rsidRPr="00A86093">
        <w:t>Each party’s relationship with the other is and shall be that of an independent contractor, and no partnership, joint venture, co-venture, employer/employee, principal/agent, master/servant</w:t>
      </w:r>
      <w:r w:rsidR="001A46AF">
        <w:t xml:space="preserve">, business associate </w:t>
      </w:r>
      <w:r w:rsidR="001A46AF" w:rsidRPr="00A86093">
        <w:t>or other similar relationship is created, or intended to be created, hereby.  Neither party is nor shall be the agent or employee of the other, and neither party has authority to act on behalf of the other in any matter except to the extent expressly agreed upon in writing.</w:t>
      </w:r>
    </w:p>
    <w:p w14:paraId="18E5C559" w14:textId="77777777" w:rsidR="0057128B" w:rsidRPr="0057128B" w:rsidRDefault="0057128B" w:rsidP="0057128B">
      <w:pPr>
        <w:pStyle w:val="ListParagraph"/>
        <w:ind w:left="740"/>
        <w:rPr>
          <w:rFonts w:cstheme="minorHAnsi"/>
          <w:b/>
          <w:i/>
        </w:rPr>
      </w:pPr>
    </w:p>
    <w:p w14:paraId="0BF49DFC" w14:textId="77777777" w:rsidR="009744DF" w:rsidRPr="009744DF" w:rsidRDefault="001A46AF" w:rsidP="009744DF">
      <w:pPr>
        <w:pStyle w:val="ListParagraph"/>
        <w:numPr>
          <w:ilvl w:val="1"/>
          <w:numId w:val="17"/>
        </w:numPr>
        <w:rPr>
          <w:rFonts w:cstheme="minorHAnsi"/>
          <w:b/>
          <w:i/>
        </w:rPr>
      </w:pPr>
      <w:r w:rsidRPr="009744DF">
        <w:rPr>
          <w:rFonts w:cstheme="minorHAnsi"/>
          <w:b/>
          <w:i/>
        </w:rPr>
        <w:t xml:space="preserve"> Indemnification</w:t>
      </w:r>
      <w:r>
        <w:rPr>
          <w:rStyle w:val="FootnoteReference"/>
          <w:rFonts w:cstheme="minorHAnsi"/>
          <w:b/>
        </w:rPr>
        <w:footnoteReference w:id="5"/>
      </w:r>
      <w:proofErr w:type="gramStart"/>
      <w:r w:rsidRPr="009744DF">
        <w:rPr>
          <w:rFonts w:cstheme="minorHAnsi"/>
        </w:rPr>
        <w:t xml:space="preserve">  </w:t>
      </w:r>
      <w:r w:rsidRPr="009744DF">
        <w:rPr>
          <w:rFonts w:eastAsia="Times New Roman" w:cstheme="minorHAnsi"/>
        </w:rPr>
        <w:t>Institution</w:t>
      </w:r>
      <w:proofErr w:type="gramEnd"/>
      <w:r w:rsidRPr="009744DF">
        <w:rPr>
          <w:rFonts w:eastAsia="Times New Roman" w:cstheme="minorHAnsi"/>
        </w:rPr>
        <w:t xml:space="preserve"> shall indemnify and hold Central IRB</w:t>
      </w:r>
      <w:r>
        <w:t xml:space="preserve">, its officers, directors, employees and agents, </w:t>
      </w:r>
      <w:r w:rsidRPr="009744DF">
        <w:rPr>
          <w:rFonts w:eastAsia="Times New Roman" w:cstheme="minorHAnsi"/>
        </w:rPr>
        <w:t xml:space="preserve">harmless </w:t>
      </w:r>
      <w:r w:rsidRPr="009744DF">
        <w:rPr>
          <w:rFonts w:eastAsia="Times New Roman" w:cstheme="minorHAnsi"/>
          <w:bCs/>
        </w:rPr>
        <w:t>from liability resulting from the negligent acts or omissions of Institution, its agents or employees pertaining to the activities to be carried out pursuant to the obligations of this Agreement;</w:t>
      </w:r>
      <w:r w:rsidRPr="009744DF">
        <w:rPr>
          <w:rFonts w:eastAsia="Times New Roman" w:cstheme="minorHAnsi"/>
        </w:rPr>
        <w:t xml:space="preserve"> provided, however, that Institution shall not hold Central IRB harmless from claims arising out of the negligence or willful malfeasance of Central IRB, its officers, agents, or employees, or any person or entity not subject to Institution’s supervision or control.</w:t>
      </w:r>
    </w:p>
    <w:p w14:paraId="2541DCEC" w14:textId="77777777" w:rsidR="0057128B" w:rsidRDefault="0057128B" w:rsidP="0057128B">
      <w:pPr>
        <w:ind w:left="720"/>
        <w:rPr>
          <w:rFonts w:eastAsia="Times New Roman" w:cstheme="minorHAnsi"/>
        </w:rPr>
      </w:pPr>
      <w:r>
        <w:rPr>
          <w:rFonts w:eastAsia="Times New Roman" w:cstheme="minorHAnsi"/>
        </w:rPr>
        <w:t>C</w:t>
      </w:r>
      <w:r w:rsidR="001A46AF" w:rsidRPr="0057128B">
        <w:rPr>
          <w:rFonts w:eastAsia="Times New Roman" w:cstheme="minorHAnsi"/>
        </w:rPr>
        <w:t>entral IRB shall indemnify and hold Institution, their officers, agents and employees harmless from any liability or loss resulting from judgments or claims against them arising out of the activities to be carried out pursuant to the obligations of this Agreement; provided, however, that the following is excluded from Central IRB’s obligation to indemnify and hold harmless:</w:t>
      </w:r>
      <w:r>
        <w:rPr>
          <w:rFonts w:eastAsia="Times New Roman" w:cstheme="minorHAnsi"/>
        </w:rPr>
        <w:t xml:space="preserve"> </w:t>
      </w:r>
    </w:p>
    <w:p w14:paraId="70D0AC5D" w14:textId="77777777" w:rsidR="0057128B" w:rsidRPr="0057128B" w:rsidRDefault="001A46AF" w:rsidP="0057128B">
      <w:pPr>
        <w:pStyle w:val="ListParagraph"/>
        <w:numPr>
          <w:ilvl w:val="0"/>
          <w:numId w:val="23"/>
        </w:numPr>
        <w:rPr>
          <w:rFonts w:cstheme="minorHAnsi"/>
          <w:b/>
          <w:i/>
        </w:rPr>
      </w:pPr>
      <w:proofErr w:type="gramStart"/>
      <w:r w:rsidRPr="0057128B">
        <w:rPr>
          <w:rFonts w:eastAsia="Times New Roman" w:cstheme="minorHAnsi"/>
        </w:rPr>
        <w:t>the</w:t>
      </w:r>
      <w:proofErr w:type="gramEnd"/>
      <w:r w:rsidRPr="0057128B">
        <w:rPr>
          <w:rFonts w:eastAsia="Times New Roman" w:cstheme="minorHAnsi"/>
        </w:rPr>
        <w:t xml:space="preserve"> negligent failure of Institution to substantially comply with any applicable governmental requirements; or</w:t>
      </w:r>
      <w:r w:rsidR="0057128B" w:rsidRPr="0057128B">
        <w:rPr>
          <w:rFonts w:eastAsia="Times New Roman" w:cstheme="minorHAnsi"/>
        </w:rPr>
        <w:t xml:space="preserve"> </w:t>
      </w:r>
    </w:p>
    <w:p w14:paraId="6A2EBBE5" w14:textId="77777777" w:rsidR="0057128B" w:rsidRPr="0057128B" w:rsidRDefault="001A46AF" w:rsidP="0057128B">
      <w:pPr>
        <w:pStyle w:val="ListParagraph"/>
        <w:numPr>
          <w:ilvl w:val="0"/>
          <w:numId w:val="23"/>
        </w:numPr>
        <w:rPr>
          <w:rFonts w:cstheme="minorHAnsi"/>
          <w:b/>
          <w:i/>
        </w:rPr>
      </w:pPr>
      <w:proofErr w:type="gramStart"/>
      <w:r w:rsidRPr="0057128B">
        <w:rPr>
          <w:rFonts w:eastAsia="Times New Roman" w:cstheme="minorHAnsi"/>
        </w:rPr>
        <w:t>the</w:t>
      </w:r>
      <w:proofErr w:type="gramEnd"/>
      <w:r w:rsidRPr="0057128B">
        <w:rPr>
          <w:rFonts w:eastAsia="Times New Roman" w:cstheme="minorHAnsi"/>
        </w:rPr>
        <w:t xml:space="preserve"> negligence or willful malfeasance by an, officer, agent, or employee of Institution.</w:t>
      </w:r>
      <w:r w:rsidR="0057128B" w:rsidRPr="0057128B">
        <w:rPr>
          <w:rFonts w:eastAsia="Times New Roman" w:cstheme="minorHAnsi"/>
        </w:rPr>
        <w:t xml:space="preserve"> </w:t>
      </w:r>
    </w:p>
    <w:p w14:paraId="3AC3C837" w14:textId="614D6C34" w:rsidR="009744DF" w:rsidRPr="009744DF" w:rsidRDefault="001A46AF" w:rsidP="0057128B">
      <w:pPr>
        <w:ind w:firstLine="720"/>
        <w:rPr>
          <w:rFonts w:cstheme="minorHAnsi"/>
          <w:b/>
          <w:i/>
        </w:rPr>
      </w:pPr>
      <w:r w:rsidRPr="0057128B">
        <w:rPr>
          <w:rFonts w:cstheme="minorHAnsi"/>
        </w:rPr>
        <w:t>This section shall survive the termination of this Agreement</w:t>
      </w:r>
    </w:p>
    <w:p w14:paraId="39B0BB04" w14:textId="34F1CD9B" w:rsidR="007A7EE5" w:rsidRPr="0057128B" w:rsidRDefault="001A46AF" w:rsidP="007A7EE5">
      <w:pPr>
        <w:pStyle w:val="ListParagraph"/>
        <w:numPr>
          <w:ilvl w:val="1"/>
          <w:numId w:val="17"/>
        </w:numPr>
        <w:rPr>
          <w:rFonts w:cstheme="minorHAnsi"/>
          <w:b/>
          <w:i/>
        </w:rPr>
      </w:pPr>
      <w:r w:rsidRPr="009744DF">
        <w:rPr>
          <w:rFonts w:cstheme="minorHAnsi"/>
          <w:b/>
          <w:i/>
        </w:rPr>
        <w:lastRenderedPageBreak/>
        <w:t xml:space="preserve"> Insurance</w:t>
      </w:r>
      <w:r>
        <w:rPr>
          <w:rStyle w:val="FootnoteReference"/>
          <w:rFonts w:cstheme="minorHAnsi"/>
          <w:b/>
        </w:rPr>
        <w:footnoteReference w:id="6"/>
      </w:r>
      <w:r w:rsidR="001F43D6">
        <w:rPr>
          <w:rFonts w:cstheme="minorHAnsi"/>
          <w:b/>
          <w:i/>
        </w:rPr>
        <w:t xml:space="preserve"> Institution</w:t>
      </w:r>
      <w:r w:rsidRPr="007A7EE5">
        <w:rPr>
          <w:rFonts w:cstheme="minorHAnsi"/>
        </w:rPr>
        <w:t xml:space="preserve"> agrees that it shall maintain, or cause to be maintained, during the performance of this Agreement, insurance covering Institution, Principal Investigators and all other research personnel for bodily injury, death and professional liability, each with liability limits of not less than </w:t>
      </w:r>
      <w:r w:rsidRPr="007A7EE5">
        <w:rPr>
          <w:rFonts w:cstheme="minorHAnsi"/>
          <w:sz w:val="24"/>
        </w:rPr>
        <w:fldChar w:fldCharType="begin">
          <w:ffData>
            <w:name w:val="Text1"/>
            <w:enabled/>
            <w:calcOnExit w:val="0"/>
            <w:textInput/>
          </w:ffData>
        </w:fldChar>
      </w:r>
      <w:r w:rsidRPr="007A7EE5">
        <w:rPr>
          <w:rFonts w:cstheme="minorHAnsi"/>
          <w:sz w:val="24"/>
        </w:rPr>
        <w:instrText xml:space="preserve"> FORMTEXT </w:instrText>
      </w:r>
      <w:r w:rsidRPr="007A7EE5">
        <w:rPr>
          <w:rFonts w:cstheme="minorHAnsi"/>
          <w:sz w:val="24"/>
        </w:rPr>
      </w:r>
      <w:r w:rsidRPr="007A7EE5">
        <w:rPr>
          <w:rFonts w:cstheme="minorHAnsi"/>
          <w:sz w:val="24"/>
        </w:rPr>
        <w:fldChar w:fldCharType="separate"/>
      </w:r>
      <w:r w:rsidRPr="00A57F69">
        <w:rPr>
          <w:noProof/>
          <w:sz w:val="24"/>
        </w:rPr>
        <w:t> </w:t>
      </w:r>
      <w:r w:rsidRPr="00A57F69">
        <w:rPr>
          <w:noProof/>
          <w:sz w:val="24"/>
        </w:rPr>
        <w:t> </w:t>
      </w:r>
      <w:r w:rsidRPr="00A57F69">
        <w:rPr>
          <w:noProof/>
          <w:sz w:val="24"/>
        </w:rPr>
        <w:t> </w:t>
      </w:r>
      <w:r w:rsidRPr="00A57F69">
        <w:rPr>
          <w:noProof/>
          <w:sz w:val="24"/>
        </w:rPr>
        <w:t> </w:t>
      </w:r>
      <w:r w:rsidRPr="00A57F69">
        <w:rPr>
          <w:noProof/>
          <w:sz w:val="24"/>
        </w:rPr>
        <w:t> </w:t>
      </w:r>
      <w:r w:rsidRPr="007A7EE5">
        <w:rPr>
          <w:rFonts w:cstheme="minorHAnsi"/>
          <w:sz w:val="24"/>
        </w:rPr>
        <w:fldChar w:fldCharType="end"/>
      </w:r>
      <w:r w:rsidRPr="007A7EE5">
        <w:rPr>
          <w:rFonts w:cstheme="minorHAnsi"/>
          <w:sz w:val="24"/>
        </w:rPr>
        <w:t xml:space="preserve"> </w:t>
      </w:r>
      <w:r w:rsidRPr="007A7EE5">
        <w:rPr>
          <w:rFonts w:cstheme="minorHAnsi"/>
        </w:rPr>
        <w:t xml:space="preserve">per occurrence and </w:t>
      </w:r>
      <w:r w:rsidRPr="007A7EE5">
        <w:rPr>
          <w:rFonts w:cstheme="minorHAnsi"/>
          <w:sz w:val="24"/>
        </w:rPr>
        <w:fldChar w:fldCharType="begin">
          <w:ffData>
            <w:name w:val="Text1"/>
            <w:enabled/>
            <w:calcOnExit w:val="0"/>
            <w:textInput/>
          </w:ffData>
        </w:fldChar>
      </w:r>
      <w:r w:rsidRPr="007A7EE5">
        <w:rPr>
          <w:rFonts w:cstheme="minorHAnsi"/>
          <w:sz w:val="24"/>
        </w:rPr>
        <w:instrText xml:space="preserve"> FORMTEXT </w:instrText>
      </w:r>
      <w:r w:rsidRPr="007A7EE5">
        <w:rPr>
          <w:rFonts w:cstheme="minorHAnsi"/>
          <w:sz w:val="24"/>
        </w:rPr>
      </w:r>
      <w:r w:rsidRPr="007A7EE5">
        <w:rPr>
          <w:rFonts w:cstheme="minorHAnsi"/>
          <w:sz w:val="24"/>
        </w:rPr>
        <w:fldChar w:fldCharType="separate"/>
      </w:r>
      <w:r w:rsidRPr="00A57F69">
        <w:rPr>
          <w:noProof/>
          <w:sz w:val="24"/>
        </w:rPr>
        <w:t> </w:t>
      </w:r>
      <w:r w:rsidRPr="00A57F69">
        <w:rPr>
          <w:noProof/>
          <w:sz w:val="24"/>
        </w:rPr>
        <w:t> </w:t>
      </w:r>
      <w:r w:rsidRPr="00A57F69">
        <w:rPr>
          <w:noProof/>
          <w:sz w:val="24"/>
        </w:rPr>
        <w:t> </w:t>
      </w:r>
      <w:r w:rsidRPr="00A57F69">
        <w:rPr>
          <w:noProof/>
          <w:sz w:val="24"/>
        </w:rPr>
        <w:t> </w:t>
      </w:r>
      <w:r w:rsidRPr="00A57F69">
        <w:rPr>
          <w:noProof/>
          <w:sz w:val="24"/>
        </w:rPr>
        <w:t> </w:t>
      </w:r>
      <w:r w:rsidRPr="007A7EE5">
        <w:rPr>
          <w:rFonts w:cstheme="minorHAnsi"/>
          <w:sz w:val="24"/>
        </w:rPr>
        <w:fldChar w:fldCharType="end"/>
      </w:r>
      <w:r w:rsidRPr="007A7EE5">
        <w:rPr>
          <w:rFonts w:cstheme="minorHAnsi"/>
        </w:rPr>
        <w:t xml:space="preserve"> in the annual aggregate.  The amount of Institution’s insurance coverage shall not be construed as creating a limitation on Institution’s indemnification obligations assumed herein.  Institution will provide evidence of its insurance or self-insurance to Central IRB upon request.  This section shall survive the termination of this Agreement.</w:t>
      </w:r>
      <w:r w:rsidR="007A7EE5">
        <w:rPr>
          <w:rFonts w:cstheme="minorHAnsi"/>
        </w:rPr>
        <w:t xml:space="preserve">  </w:t>
      </w:r>
      <w:r w:rsidRPr="007A7EE5">
        <w:rPr>
          <w:rFonts w:cstheme="minorHAnsi"/>
        </w:rPr>
        <w:t xml:space="preserve">Central IRB will provide at its expense, and maintain throughout the term of this Agreement; general liability coverage in an amount no less than </w:t>
      </w:r>
      <w:r w:rsidRPr="007A7EE5">
        <w:rPr>
          <w:rFonts w:cstheme="minorHAnsi"/>
          <w:sz w:val="24"/>
        </w:rPr>
        <w:fldChar w:fldCharType="begin">
          <w:ffData>
            <w:name w:val="Text1"/>
            <w:enabled/>
            <w:calcOnExit w:val="0"/>
            <w:textInput/>
          </w:ffData>
        </w:fldChar>
      </w:r>
      <w:r w:rsidRPr="007A7EE5">
        <w:rPr>
          <w:rFonts w:cstheme="minorHAnsi"/>
          <w:sz w:val="24"/>
        </w:rPr>
        <w:instrText xml:space="preserve"> FORMTEXT </w:instrText>
      </w:r>
      <w:r w:rsidRPr="007A7EE5">
        <w:rPr>
          <w:rFonts w:cstheme="minorHAnsi"/>
          <w:sz w:val="24"/>
        </w:rPr>
      </w:r>
      <w:r w:rsidRPr="007A7EE5">
        <w:rPr>
          <w:rFonts w:cstheme="minorHAnsi"/>
          <w:sz w:val="24"/>
        </w:rPr>
        <w:fldChar w:fldCharType="separate"/>
      </w:r>
      <w:r w:rsidRPr="00A57F69">
        <w:rPr>
          <w:noProof/>
          <w:sz w:val="24"/>
        </w:rPr>
        <w:t> </w:t>
      </w:r>
      <w:r w:rsidRPr="00A57F69">
        <w:rPr>
          <w:noProof/>
          <w:sz w:val="24"/>
        </w:rPr>
        <w:t> </w:t>
      </w:r>
      <w:r w:rsidRPr="00A57F69">
        <w:rPr>
          <w:noProof/>
          <w:sz w:val="24"/>
        </w:rPr>
        <w:t> </w:t>
      </w:r>
      <w:r w:rsidRPr="00A57F69">
        <w:rPr>
          <w:noProof/>
          <w:sz w:val="24"/>
        </w:rPr>
        <w:t> </w:t>
      </w:r>
      <w:r w:rsidRPr="00A57F69">
        <w:rPr>
          <w:noProof/>
          <w:sz w:val="24"/>
        </w:rPr>
        <w:t> </w:t>
      </w:r>
      <w:r w:rsidRPr="007A7EE5">
        <w:rPr>
          <w:rFonts w:cstheme="minorHAnsi"/>
          <w:sz w:val="24"/>
        </w:rPr>
        <w:fldChar w:fldCharType="end"/>
      </w:r>
      <w:r w:rsidRPr="007A7EE5">
        <w:rPr>
          <w:rFonts w:cstheme="minorHAnsi"/>
        </w:rPr>
        <w:t xml:space="preserve"> each claim/</w:t>
      </w:r>
      <w:r w:rsidRPr="007A7EE5">
        <w:rPr>
          <w:rFonts w:cstheme="minorHAnsi"/>
          <w:sz w:val="24"/>
        </w:rPr>
        <w:fldChar w:fldCharType="begin">
          <w:ffData>
            <w:name w:val="Text1"/>
            <w:enabled/>
            <w:calcOnExit w:val="0"/>
            <w:textInput/>
          </w:ffData>
        </w:fldChar>
      </w:r>
      <w:r w:rsidRPr="007A7EE5">
        <w:rPr>
          <w:rFonts w:cstheme="minorHAnsi"/>
          <w:sz w:val="24"/>
        </w:rPr>
        <w:instrText xml:space="preserve"> FORMTEXT </w:instrText>
      </w:r>
      <w:r w:rsidRPr="007A7EE5">
        <w:rPr>
          <w:rFonts w:cstheme="minorHAnsi"/>
          <w:sz w:val="24"/>
        </w:rPr>
      </w:r>
      <w:r w:rsidRPr="007A7EE5">
        <w:rPr>
          <w:rFonts w:cstheme="minorHAnsi"/>
          <w:sz w:val="24"/>
        </w:rPr>
        <w:fldChar w:fldCharType="separate"/>
      </w:r>
      <w:r w:rsidRPr="00A57F69">
        <w:rPr>
          <w:noProof/>
          <w:sz w:val="24"/>
        </w:rPr>
        <w:t> </w:t>
      </w:r>
      <w:r w:rsidRPr="00A57F69">
        <w:rPr>
          <w:noProof/>
          <w:sz w:val="24"/>
        </w:rPr>
        <w:t> </w:t>
      </w:r>
      <w:r w:rsidRPr="00A57F69">
        <w:rPr>
          <w:noProof/>
          <w:sz w:val="24"/>
        </w:rPr>
        <w:t> </w:t>
      </w:r>
      <w:r w:rsidRPr="00A57F69">
        <w:rPr>
          <w:noProof/>
          <w:sz w:val="24"/>
        </w:rPr>
        <w:t> </w:t>
      </w:r>
      <w:r w:rsidRPr="00A57F69">
        <w:rPr>
          <w:noProof/>
          <w:sz w:val="24"/>
        </w:rPr>
        <w:t> </w:t>
      </w:r>
      <w:r w:rsidRPr="007A7EE5">
        <w:rPr>
          <w:rFonts w:cstheme="minorHAnsi"/>
          <w:sz w:val="24"/>
        </w:rPr>
        <w:fldChar w:fldCharType="end"/>
      </w:r>
      <w:r w:rsidRPr="007A7EE5">
        <w:rPr>
          <w:rFonts w:cstheme="minorHAnsi"/>
        </w:rPr>
        <w:t xml:space="preserve">annual aggregate, and officer and director liability coverage in an amount no less than </w:t>
      </w:r>
      <w:r w:rsidRPr="007A7EE5">
        <w:rPr>
          <w:rFonts w:cstheme="minorHAnsi"/>
          <w:sz w:val="24"/>
        </w:rPr>
        <w:fldChar w:fldCharType="begin">
          <w:ffData>
            <w:name w:val="Text1"/>
            <w:enabled/>
            <w:calcOnExit w:val="0"/>
            <w:textInput/>
          </w:ffData>
        </w:fldChar>
      </w:r>
      <w:r w:rsidRPr="007A7EE5">
        <w:rPr>
          <w:rFonts w:cstheme="minorHAnsi"/>
          <w:sz w:val="24"/>
        </w:rPr>
        <w:instrText xml:space="preserve"> FORMTEXT </w:instrText>
      </w:r>
      <w:r w:rsidRPr="007A7EE5">
        <w:rPr>
          <w:rFonts w:cstheme="minorHAnsi"/>
          <w:sz w:val="24"/>
        </w:rPr>
      </w:r>
      <w:r w:rsidRPr="007A7EE5">
        <w:rPr>
          <w:rFonts w:cstheme="minorHAnsi"/>
          <w:sz w:val="24"/>
        </w:rPr>
        <w:fldChar w:fldCharType="separate"/>
      </w:r>
      <w:r w:rsidRPr="00A57F69">
        <w:rPr>
          <w:noProof/>
          <w:sz w:val="24"/>
        </w:rPr>
        <w:t> </w:t>
      </w:r>
      <w:r w:rsidRPr="00A57F69">
        <w:rPr>
          <w:noProof/>
          <w:sz w:val="24"/>
        </w:rPr>
        <w:t> </w:t>
      </w:r>
      <w:r w:rsidRPr="00A57F69">
        <w:rPr>
          <w:noProof/>
          <w:sz w:val="24"/>
        </w:rPr>
        <w:t> </w:t>
      </w:r>
      <w:r w:rsidRPr="00A57F69">
        <w:rPr>
          <w:noProof/>
          <w:sz w:val="24"/>
        </w:rPr>
        <w:t> </w:t>
      </w:r>
      <w:r w:rsidRPr="00A57F69">
        <w:rPr>
          <w:noProof/>
          <w:sz w:val="24"/>
        </w:rPr>
        <w:t> </w:t>
      </w:r>
      <w:r w:rsidRPr="007A7EE5">
        <w:rPr>
          <w:rFonts w:cstheme="minorHAnsi"/>
          <w:sz w:val="24"/>
        </w:rPr>
        <w:fldChar w:fldCharType="end"/>
      </w:r>
      <w:r w:rsidRPr="007A7EE5">
        <w:rPr>
          <w:rFonts w:cstheme="minorHAnsi"/>
        </w:rPr>
        <w:t xml:space="preserve"> each claim/</w:t>
      </w:r>
      <w:r w:rsidRPr="007A7EE5">
        <w:rPr>
          <w:rFonts w:cstheme="minorHAnsi"/>
          <w:sz w:val="24"/>
        </w:rPr>
        <w:fldChar w:fldCharType="begin">
          <w:ffData>
            <w:name w:val="Text1"/>
            <w:enabled/>
            <w:calcOnExit w:val="0"/>
            <w:textInput/>
          </w:ffData>
        </w:fldChar>
      </w:r>
      <w:r w:rsidRPr="007A7EE5">
        <w:rPr>
          <w:rFonts w:cstheme="minorHAnsi"/>
          <w:sz w:val="24"/>
        </w:rPr>
        <w:instrText xml:space="preserve"> FORMTEXT </w:instrText>
      </w:r>
      <w:r w:rsidRPr="007A7EE5">
        <w:rPr>
          <w:rFonts w:cstheme="minorHAnsi"/>
          <w:sz w:val="24"/>
        </w:rPr>
      </w:r>
      <w:r w:rsidRPr="007A7EE5">
        <w:rPr>
          <w:rFonts w:cstheme="minorHAnsi"/>
          <w:sz w:val="24"/>
        </w:rPr>
        <w:fldChar w:fldCharType="separate"/>
      </w:r>
      <w:r w:rsidRPr="00A57F69">
        <w:rPr>
          <w:noProof/>
          <w:sz w:val="24"/>
        </w:rPr>
        <w:t> </w:t>
      </w:r>
      <w:r w:rsidRPr="00A57F69">
        <w:rPr>
          <w:noProof/>
          <w:sz w:val="24"/>
        </w:rPr>
        <w:t> </w:t>
      </w:r>
      <w:r w:rsidRPr="00A57F69">
        <w:rPr>
          <w:noProof/>
          <w:sz w:val="24"/>
        </w:rPr>
        <w:t> </w:t>
      </w:r>
      <w:r w:rsidRPr="00A57F69">
        <w:rPr>
          <w:noProof/>
          <w:sz w:val="24"/>
        </w:rPr>
        <w:t> </w:t>
      </w:r>
      <w:r w:rsidRPr="00A57F69">
        <w:rPr>
          <w:noProof/>
          <w:sz w:val="24"/>
        </w:rPr>
        <w:t> </w:t>
      </w:r>
      <w:r w:rsidRPr="007A7EE5">
        <w:rPr>
          <w:rFonts w:cstheme="minorHAnsi"/>
          <w:sz w:val="24"/>
        </w:rPr>
        <w:fldChar w:fldCharType="end"/>
      </w:r>
      <w:r w:rsidRPr="007A7EE5">
        <w:rPr>
          <w:rFonts w:cstheme="minorHAnsi"/>
        </w:rPr>
        <w:t>annual aggregate.  Upon request, Central IRB agrees to provide Institution with Certificates of Insuran</w:t>
      </w:r>
      <w:r w:rsidR="007A7EE5">
        <w:rPr>
          <w:rFonts w:cstheme="minorHAnsi"/>
        </w:rPr>
        <w:t>ce demonstrating this coverage.</w:t>
      </w:r>
    </w:p>
    <w:p w14:paraId="723CE286" w14:textId="77777777" w:rsidR="0057128B" w:rsidRPr="007A7EE5" w:rsidRDefault="0057128B" w:rsidP="0057128B">
      <w:pPr>
        <w:pStyle w:val="ListParagraph"/>
        <w:ind w:left="740"/>
        <w:rPr>
          <w:rFonts w:cstheme="minorHAnsi"/>
          <w:b/>
          <w:i/>
        </w:rPr>
      </w:pPr>
    </w:p>
    <w:p w14:paraId="08668772" w14:textId="77777777" w:rsidR="007A7EE5" w:rsidRPr="007A7EE5" w:rsidRDefault="001A46AF" w:rsidP="007A7EE5">
      <w:pPr>
        <w:pStyle w:val="ListParagraph"/>
        <w:numPr>
          <w:ilvl w:val="1"/>
          <w:numId w:val="17"/>
        </w:numPr>
        <w:rPr>
          <w:rFonts w:cstheme="minorHAnsi"/>
          <w:b/>
          <w:i/>
        </w:rPr>
      </w:pPr>
      <w:r w:rsidRPr="007A7EE5">
        <w:rPr>
          <w:rFonts w:cstheme="minorHAnsi"/>
          <w:b/>
          <w:i/>
        </w:rPr>
        <w:t xml:space="preserve">Amendment/Modification </w:t>
      </w:r>
      <w:r w:rsidR="007A7EE5">
        <w:rPr>
          <w:rFonts w:cstheme="minorHAnsi"/>
          <w:b/>
          <w:i/>
        </w:rPr>
        <w:t>t</w:t>
      </w:r>
      <w:r w:rsidRPr="007A7EE5">
        <w:rPr>
          <w:rFonts w:cstheme="minorHAnsi"/>
        </w:rPr>
        <w:t>his Agreement shall not be subject to any change or modification unless such modification is signed by both parties and specifically states that it is an amendment to this Agreement.</w:t>
      </w:r>
    </w:p>
    <w:p w14:paraId="413A8ECE" w14:textId="1D688A64" w:rsidR="006250C8" w:rsidRPr="007C3009" w:rsidRDefault="001A46AF" w:rsidP="007C3009">
      <w:pPr>
        <w:pStyle w:val="ListParagraph"/>
        <w:numPr>
          <w:ilvl w:val="1"/>
          <w:numId w:val="17"/>
        </w:numPr>
        <w:rPr>
          <w:rFonts w:cstheme="minorHAnsi"/>
          <w:b/>
          <w:i/>
        </w:rPr>
      </w:pPr>
      <w:r w:rsidRPr="007A7EE5">
        <w:rPr>
          <w:rFonts w:cstheme="minorHAnsi"/>
          <w:b/>
          <w:i/>
        </w:rPr>
        <w:t xml:space="preserve">Governing Law </w:t>
      </w:r>
      <w:r>
        <w:t>This agreement shall be governed by the substantive law of the jurisdiction in which the reviews occur, without reference to that jurisdiction’s conflicts-of-law rules</w:t>
      </w:r>
      <w:r w:rsidR="007C3009">
        <w:t>.</w:t>
      </w:r>
    </w:p>
    <w:p w14:paraId="75C4CAF6" w14:textId="77777777" w:rsidR="007C3009" w:rsidRDefault="007C3009">
      <w:pPr>
        <w:rPr>
          <w:rFonts w:eastAsiaTheme="minorEastAsia" w:cstheme="minorHAnsi"/>
        </w:rPr>
      </w:pPr>
      <w:r>
        <w:rPr>
          <w:rFonts w:cstheme="minorHAnsi"/>
        </w:rPr>
        <w:br w:type="page"/>
      </w:r>
    </w:p>
    <w:p w14:paraId="68567F83" w14:textId="4CABCC2D" w:rsidR="001A46AF" w:rsidRPr="007C3009" w:rsidRDefault="001A46AF" w:rsidP="007C3009">
      <w:pPr>
        <w:pStyle w:val="BodyTextIndent3"/>
        <w:tabs>
          <w:tab w:val="left" w:pos="9360"/>
        </w:tabs>
        <w:ind w:left="0"/>
        <w:rPr>
          <w:rFonts w:cstheme="minorHAnsi"/>
          <w:sz w:val="22"/>
          <w:szCs w:val="22"/>
        </w:rPr>
      </w:pPr>
      <w:bookmarkStart w:id="1" w:name="_GoBack"/>
      <w:bookmarkEnd w:id="1"/>
      <w:r w:rsidRPr="00633871">
        <w:rPr>
          <w:rFonts w:cstheme="minorHAnsi"/>
          <w:sz w:val="22"/>
          <w:szCs w:val="22"/>
        </w:rPr>
        <w:lastRenderedPageBreak/>
        <w:t>IN WITNESS WHEREOF, each party accepts the terms herein as evidenced by their authorized signatures below.</w:t>
      </w:r>
    </w:p>
    <w:tbl>
      <w:tblPr>
        <w:tblW w:w="9871" w:type="dxa"/>
        <w:tblLayout w:type="fixed"/>
        <w:tblLook w:val="0000" w:firstRow="0" w:lastRow="0" w:firstColumn="0" w:lastColumn="0" w:noHBand="0" w:noVBand="0"/>
      </w:tblPr>
      <w:tblGrid>
        <w:gridCol w:w="1075"/>
        <w:gridCol w:w="3584"/>
        <w:gridCol w:w="244"/>
        <w:gridCol w:w="1059"/>
        <w:gridCol w:w="3909"/>
      </w:tblGrid>
      <w:tr w:rsidR="001A46AF" w:rsidRPr="00633871" w14:paraId="2AFF3605" w14:textId="77777777" w:rsidTr="00E325FF">
        <w:trPr>
          <w:trHeight w:val="500"/>
        </w:trPr>
        <w:tc>
          <w:tcPr>
            <w:tcW w:w="4659" w:type="dxa"/>
            <w:gridSpan w:val="2"/>
          </w:tcPr>
          <w:p w14:paraId="5966AB17" w14:textId="77777777" w:rsidR="001A46AF" w:rsidRPr="00633871" w:rsidRDefault="001A46AF" w:rsidP="00E325FF">
            <w:pPr>
              <w:jc w:val="both"/>
              <w:rPr>
                <w:rFonts w:cstheme="minorHAnsi"/>
                <w:spacing w:val="-2"/>
              </w:rPr>
            </w:pPr>
            <w:r w:rsidRPr="00633871">
              <w:rPr>
                <w:rFonts w:cstheme="minorHAnsi"/>
                <w:spacing w:val="-2"/>
              </w:rPr>
              <w:t>[Institution]</w:t>
            </w:r>
          </w:p>
        </w:tc>
        <w:tc>
          <w:tcPr>
            <w:tcW w:w="244" w:type="dxa"/>
          </w:tcPr>
          <w:p w14:paraId="52BE7DC7" w14:textId="77777777" w:rsidR="001A46AF" w:rsidRPr="00633871" w:rsidRDefault="001A46AF" w:rsidP="00E325FF">
            <w:pPr>
              <w:jc w:val="both"/>
              <w:rPr>
                <w:rFonts w:cstheme="minorHAnsi"/>
                <w:spacing w:val="-2"/>
              </w:rPr>
            </w:pPr>
          </w:p>
        </w:tc>
        <w:tc>
          <w:tcPr>
            <w:tcW w:w="4968" w:type="dxa"/>
            <w:gridSpan w:val="2"/>
          </w:tcPr>
          <w:p w14:paraId="70EC0EC3" w14:textId="77777777" w:rsidR="001A46AF" w:rsidRPr="00633871" w:rsidRDefault="004C5C9C" w:rsidP="00E325FF">
            <w:pPr>
              <w:jc w:val="both"/>
              <w:rPr>
                <w:rFonts w:cstheme="minorHAnsi"/>
                <w:spacing w:val="-2"/>
              </w:rPr>
            </w:pPr>
            <w:r>
              <w:rPr>
                <w:rFonts w:cstheme="minorHAnsi"/>
                <w:spacing w:val="-2"/>
              </w:rPr>
              <w:t>[</w:t>
            </w:r>
            <w:r w:rsidR="001A46AF">
              <w:rPr>
                <w:rFonts w:cstheme="minorHAnsi"/>
                <w:spacing w:val="-2"/>
              </w:rPr>
              <w:t>Central IRB</w:t>
            </w:r>
            <w:r>
              <w:rPr>
                <w:rFonts w:cstheme="minorHAnsi"/>
                <w:spacing w:val="-2"/>
              </w:rPr>
              <w:t>]</w:t>
            </w:r>
          </w:p>
        </w:tc>
      </w:tr>
      <w:tr w:rsidR="001A46AF" w:rsidRPr="00633871" w14:paraId="3FE496A3" w14:textId="77777777" w:rsidTr="00E325FF">
        <w:trPr>
          <w:trHeight w:val="500"/>
        </w:trPr>
        <w:tc>
          <w:tcPr>
            <w:tcW w:w="4659" w:type="dxa"/>
            <w:gridSpan w:val="2"/>
          </w:tcPr>
          <w:p w14:paraId="1BC815F1" w14:textId="77777777" w:rsidR="001A46AF" w:rsidRPr="00633871" w:rsidRDefault="001A46AF" w:rsidP="00E325FF">
            <w:pPr>
              <w:jc w:val="both"/>
              <w:rPr>
                <w:rFonts w:cstheme="minorHAnsi"/>
                <w:spacing w:val="-2"/>
              </w:rPr>
            </w:pPr>
          </w:p>
        </w:tc>
        <w:tc>
          <w:tcPr>
            <w:tcW w:w="244" w:type="dxa"/>
          </w:tcPr>
          <w:p w14:paraId="65FE73E6" w14:textId="77777777" w:rsidR="001A46AF" w:rsidRPr="00633871" w:rsidRDefault="001A46AF" w:rsidP="00E325FF">
            <w:pPr>
              <w:jc w:val="both"/>
              <w:rPr>
                <w:rFonts w:cstheme="minorHAnsi"/>
                <w:spacing w:val="-2"/>
              </w:rPr>
            </w:pPr>
          </w:p>
        </w:tc>
        <w:tc>
          <w:tcPr>
            <w:tcW w:w="4968" w:type="dxa"/>
            <w:gridSpan w:val="2"/>
          </w:tcPr>
          <w:p w14:paraId="6DB124FB" w14:textId="77777777" w:rsidR="001A46AF" w:rsidRPr="00633871" w:rsidRDefault="001A46AF" w:rsidP="00E325FF">
            <w:pPr>
              <w:jc w:val="both"/>
              <w:rPr>
                <w:rFonts w:cstheme="minorHAnsi"/>
                <w:spacing w:val="-2"/>
              </w:rPr>
            </w:pPr>
          </w:p>
        </w:tc>
      </w:tr>
      <w:tr w:rsidR="001A46AF" w:rsidRPr="00633871" w14:paraId="3B943F32" w14:textId="77777777" w:rsidTr="00E325FF">
        <w:trPr>
          <w:trHeight w:val="500"/>
        </w:trPr>
        <w:tc>
          <w:tcPr>
            <w:tcW w:w="4659" w:type="dxa"/>
            <w:gridSpan w:val="2"/>
            <w:tcBorders>
              <w:bottom w:val="single" w:sz="6" w:space="0" w:color="auto"/>
            </w:tcBorders>
          </w:tcPr>
          <w:p w14:paraId="3F73C2F5" w14:textId="77777777" w:rsidR="001A46AF" w:rsidRPr="00633871" w:rsidRDefault="001A46AF" w:rsidP="00E325FF">
            <w:pPr>
              <w:jc w:val="both"/>
              <w:rPr>
                <w:rFonts w:cstheme="minorHAnsi"/>
                <w:spacing w:val="-2"/>
              </w:rPr>
            </w:pPr>
          </w:p>
        </w:tc>
        <w:tc>
          <w:tcPr>
            <w:tcW w:w="244" w:type="dxa"/>
          </w:tcPr>
          <w:p w14:paraId="570AFF61" w14:textId="77777777" w:rsidR="001A46AF" w:rsidRPr="00633871" w:rsidRDefault="001A46AF" w:rsidP="00E325FF">
            <w:pPr>
              <w:jc w:val="both"/>
              <w:rPr>
                <w:rFonts w:cstheme="minorHAnsi"/>
                <w:spacing w:val="-2"/>
              </w:rPr>
            </w:pPr>
          </w:p>
        </w:tc>
        <w:tc>
          <w:tcPr>
            <w:tcW w:w="4968" w:type="dxa"/>
            <w:gridSpan w:val="2"/>
            <w:tcBorders>
              <w:bottom w:val="single" w:sz="6" w:space="0" w:color="auto"/>
            </w:tcBorders>
          </w:tcPr>
          <w:p w14:paraId="5BF405ED" w14:textId="77777777" w:rsidR="001A46AF" w:rsidRPr="00633871" w:rsidRDefault="001A46AF" w:rsidP="00E325FF">
            <w:pPr>
              <w:jc w:val="both"/>
              <w:rPr>
                <w:rFonts w:cstheme="minorHAnsi"/>
                <w:spacing w:val="-2"/>
              </w:rPr>
            </w:pPr>
          </w:p>
        </w:tc>
      </w:tr>
      <w:tr w:rsidR="001A46AF" w:rsidRPr="00633871" w14:paraId="5787BFB5" w14:textId="77777777" w:rsidTr="00E325FF">
        <w:trPr>
          <w:trHeight w:val="485"/>
        </w:trPr>
        <w:tc>
          <w:tcPr>
            <w:tcW w:w="4659" w:type="dxa"/>
            <w:gridSpan w:val="2"/>
          </w:tcPr>
          <w:p w14:paraId="414942CC" w14:textId="77777777" w:rsidR="001A46AF" w:rsidRPr="00633871" w:rsidRDefault="001A46AF" w:rsidP="00E325FF">
            <w:pPr>
              <w:rPr>
                <w:rFonts w:cstheme="minorHAnsi"/>
                <w:spacing w:val="-2"/>
              </w:rPr>
            </w:pPr>
            <w:r w:rsidRPr="00633871">
              <w:rPr>
                <w:rFonts w:cstheme="minorHAnsi"/>
                <w:spacing w:val="-2"/>
              </w:rPr>
              <w:t>(Authorized Signature)</w:t>
            </w:r>
          </w:p>
        </w:tc>
        <w:tc>
          <w:tcPr>
            <w:tcW w:w="244" w:type="dxa"/>
          </w:tcPr>
          <w:p w14:paraId="32945996" w14:textId="77777777" w:rsidR="001A46AF" w:rsidRPr="00633871" w:rsidRDefault="001A46AF" w:rsidP="00E325FF">
            <w:pPr>
              <w:jc w:val="both"/>
              <w:rPr>
                <w:rFonts w:cstheme="minorHAnsi"/>
                <w:spacing w:val="-2"/>
              </w:rPr>
            </w:pPr>
          </w:p>
        </w:tc>
        <w:tc>
          <w:tcPr>
            <w:tcW w:w="4968" w:type="dxa"/>
            <w:gridSpan w:val="2"/>
          </w:tcPr>
          <w:p w14:paraId="003DA24B" w14:textId="77777777" w:rsidR="001A46AF" w:rsidRPr="00633871" w:rsidRDefault="001A46AF" w:rsidP="00E325FF">
            <w:pPr>
              <w:rPr>
                <w:rFonts w:cstheme="minorHAnsi"/>
                <w:spacing w:val="-2"/>
              </w:rPr>
            </w:pPr>
            <w:r w:rsidRPr="00633871">
              <w:rPr>
                <w:rFonts w:cstheme="minorHAnsi"/>
                <w:spacing w:val="-2"/>
              </w:rPr>
              <w:t>(Authorized Signature)</w:t>
            </w:r>
          </w:p>
        </w:tc>
      </w:tr>
      <w:tr w:rsidR="001A46AF" w:rsidRPr="00633871" w14:paraId="2AD4FE80" w14:textId="77777777" w:rsidTr="00E325FF">
        <w:trPr>
          <w:trHeight w:val="500"/>
        </w:trPr>
        <w:tc>
          <w:tcPr>
            <w:tcW w:w="4659" w:type="dxa"/>
            <w:gridSpan w:val="2"/>
          </w:tcPr>
          <w:p w14:paraId="0DD25FE5" w14:textId="77777777" w:rsidR="001A46AF" w:rsidRPr="00633871" w:rsidRDefault="001A46AF" w:rsidP="00E325FF">
            <w:pPr>
              <w:jc w:val="both"/>
              <w:rPr>
                <w:rFonts w:cstheme="minorHAnsi"/>
                <w:spacing w:val="-2"/>
              </w:rPr>
            </w:pPr>
          </w:p>
        </w:tc>
        <w:tc>
          <w:tcPr>
            <w:tcW w:w="244" w:type="dxa"/>
          </w:tcPr>
          <w:p w14:paraId="5AB58D96" w14:textId="77777777" w:rsidR="001A46AF" w:rsidRPr="00633871" w:rsidRDefault="001A46AF" w:rsidP="00E325FF">
            <w:pPr>
              <w:jc w:val="both"/>
              <w:rPr>
                <w:rFonts w:cstheme="minorHAnsi"/>
                <w:spacing w:val="-2"/>
              </w:rPr>
            </w:pPr>
          </w:p>
        </w:tc>
        <w:tc>
          <w:tcPr>
            <w:tcW w:w="4968" w:type="dxa"/>
            <w:gridSpan w:val="2"/>
          </w:tcPr>
          <w:p w14:paraId="02059295" w14:textId="77777777" w:rsidR="001A46AF" w:rsidRPr="00633871" w:rsidRDefault="001A46AF" w:rsidP="00E325FF">
            <w:pPr>
              <w:jc w:val="both"/>
              <w:rPr>
                <w:rFonts w:cstheme="minorHAnsi"/>
                <w:spacing w:val="-2"/>
              </w:rPr>
            </w:pPr>
          </w:p>
        </w:tc>
      </w:tr>
      <w:tr w:rsidR="001A46AF" w:rsidRPr="00633871" w14:paraId="7BAD8F6D" w14:textId="77777777" w:rsidTr="00E325FF">
        <w:trPr>
          <w:trHeight w:val="500"/>
        </w:trPr>
        <w:tc>
          <w:tcPr>
            <w:tcW w:w="1075" w:type="dxa"/>
          </w:tcPr>
          <w:p w14:paraId="483439F6" w14:textId="77777777" w:rsidR="001A46AF" w:rsidRPr="00633871" w:rsidRDefault="001A46AF" w:rsidP="00E325FF">
            <w:pPr>
              <w:jc w:val="both"/>
              <w:rPr>
                <w:rFonts w:cstheme="minorHAnsi"/>
                <w:spacing w:val="-2"/>
              </w:rPr>
            </w:pPr>
            <w:r w:rsidRPr="00633871">
              <w:rPr>
                <w:rFonts w:cstheme="minorHAnsi"/>
                <w:spacing w:val="-2"/>
              </w:rPr>
              <w:t xml:space="preserve">Name: </w:t>
            </w:r>
          </w:p>
        </w:tc>
        <w:tc>
          <w:tcPr>
            <w:tcW w:w="3584" w:type="dxa"/>
            <w:tcBorders>
              <w:bottom w:val="single" w:sz="4" w:space="0" w:color="auto"/>
            </w:tcBorders>
          </w:tcPr>
          <w:p w14:paraId="16A06B76" w14:textId="77777777" w:rsidR="001A46AF" w:rsidRPr="00633871" w:rsidRDefault="001A46AF" w:rsidP="00E325FF">
            <w:pPr>
              <w:jc w:val="both"/>
              <w:rPr>
                <w:rFonts w:cstheme="minorHAnsi"/>
                <w:spacing w:val="-2"/>
              </w:rPr>
            </w:pPr>
          </w:p>
        </w:tc>
        <w:tc>
          <w:tcPr>
            <w:tcW w:w="244" w:type="dxa"/>
          </w:tcPr>
          <w:p w14:paraId="23474039" w14:textId="77777777" w:rsidR="001A46AF" w:rsidRPr="00633871" w:rsidRDefault="001A46AF" w:rsidP="00E325FF">
            <w:pPr>
              <w:jc w:val="both"/>
              <w:rPr>
                <w:rFonts w:cstheme="minorHAnsi"/>
                <w:spacing w:val="-2"/>
              </w:rPr>
            </w:pPr>
          </w:p>
        </w:tc>
        <w:tc>
          <w:tcPr>
            <w:tcW w:w="1059" w:type="dxa"/>
          </w:tcPr>
          <w:p w14:paraId="7F778094" w14:textId="77777777" w:rsidR="001A46AF" w:rsidRPr="00633871" w:rsidRDefault="001A46AF" w:rsidP="00E325FF">
            <w:pPr>
              <w:jc w:val="both"/>
              <w:rPr>
                <w:rFonts w:cstheme="minorHAnsi"/>
                <w:spacing w:val="-2"/>
              </w:rPr>
            </w:pPr>
            <w:r w:rsidRPr="00633871">
              <w:rPr>
                <w:rFonts w:cstheme="minorHAnsi"/>
                <w:spacing w:val="-2"/>
              </w:rPr>
              <w:t xml:space="preserve">Name: </w:t>
            </w:r>
          </w:p>
        </w:tc>
        <w:tc>
          <w:tcPr>
            <w:tcW w:w="3909" w:type="dxa"/>
            <w:tcBorders>
              <w:bottom w:val="single" w:sz="6" w:space="0" w:color="auto"/>
            </w:tcBorders>
          </w:tcPr>
          <w:p w14:paraId="268C9E9C" w14:textId="77777777" w:rsidR="001A46AF" w:rsidRPr="00633871" w:rsidRDefault="001A46AF" w:rsidP="00E325FF">
            <w:pPr>
              <w:jc w:val="both"/>
              <w:rPr>
                <w:rFonts w:cstheme="minorHAnsi"/>
                <w:spacing w:val="-2"/>
              </w:rPr>
            </w:pPr>
          </w:p>
        </w:tc>
      </w:tr>
      <w:tr w:rsidR="001A46AF" w:rsidRPr="00633871" w14:paraId="0907B090" w14:textId="77777777" w:rsidTr="00E325FF">
        <w:trPr>
          <w:trHeight w:val="500"/>
        </w:trPr>
        <w:tc>
          <w:tcPr>
            <w:tcW w:w="1075" w:type="dxa"/>
          </w:tcPr>
          <w:p w14:paraId="4C6430BF" w14:textId="77777777" w:rsidR="001A46AF" w:rsidRPr="00633871" w:rsidRDefault="001A46AF" w:rsidP="00E325FF">
            <w:pPr>
              <w:jc w:val="both"/>
              <w:rPr>
                <w:rFonts w:cstheme="minorHAnsi"/>
                <w:spacing w:val="-2"/>
              </w:rPr>
            </w:pPr>
          </w:p>
        </w:tc>
        <w:tc>
          <w:tcPr>
            <w:tcW w:w="3584" w:type="dxa"/>
          </w:tcPr>
          <w:p w14:paraId="3AAEFBCF" w14:textId="77777777" w:rsidR="001A46AF" w:rsidRPr="00633871" w:rsidRDefault="001A46AF" w:rsidP="00E325FF">
            <w:pPr>
              <w:jc w:val="both"/>
              <w:rPr>
                <w:rFonts w:cstheme="minorHAnsi"/>
                <w:spacing w:val="-2"/>
              </w:rPr>
            </w:pPr>
          </w:p>
        </w:tc>
        <w:tc>
          <w:tcPr>
            <w:tcW w:w="244" w:type="dxa"/>
          </w:tcPr>
          <w:p w14:paraId="65FF07AB" w14:textId="77777777" w:rsidR="001A46AF" w:rsidRPr="00633871" w:rsidRDefault="001A46AF" w:rsidP="00E325FF">
            <w:pPr>
              <w:jc w:val="both"/>
              <w:rPr>
                <w:rFonts w:cstheme="minorHAnsi"/>
                <w:spacing w:val="-2"/>
              </w:rPr>
            </w:pPr>
          </w:p>
        </w:tc>
        <w:tc>
          <w:tcPr>
            <w:tcW w:w="1059" w:type="dxa"/>
          </w:tcPr>
          <w:p w14:paraId="03D6124D" w14:textId="77777777" w:rsidR="001A46AF" w:rsidRPr="00633871" w:rsidRDefault="001A46AF" w:rsidP="00E325FF">
            <w:pPr>
              <w:jc w:val="both"/>
              <w:rPr>
                <w:rFonts w:cstheme="minorHAnsi"/>
                <w:spacing w:val="-2"/>
              </w:rPr>
            </w:pPr>
          </w:p>
        </w:tc>
        <w:tc>
          <w:tcPr>
            <w:tcW w:w="3909" w:type="dxa"/>
          </w:tcPr>
          <w:p w14:paraId="4688CC05" w14:textId="77777777" w:rsidR="001A46AF" w:rsidRPr="00633871" w:rsidRDefault="001A46AF" w:rsidP="00E325FF">
            <w:pPr>
              <w:jc w:val="both"/>
              <w:rPr>
                <w:rFonts w:cstheme="minorHAnsi"/>
                <w:spacing w:val="-2"/>
              </w:rPr>
            </w:pPr>
          </w:p>
        </w:tc>
      </w:tr>
      <w:tr w:rsidR="001A46AF" w:rsidRPr="00633871" w14:paraId="5FF13B26" w14:textId="77777777" w:rsidTr="00E325FF">
        <w:trPr>
          <w:trHeight w:val="500"/>
        </w:trPr>
        <w:tc>
          <w:tcPr>
            <w:tcW w:w="1075" w:type="dxa"/>
          </w:tcPr>
          <w:p w14:paraId="070D4880" w14:textId="77777777" w:rsidR="001A46AF" w:rsidRPr="00633871" w:rsidRDefault="001A46AF" w:rsidP="00E325FF">
            <w:pPr>
              <w:jc w:val="both"/>
              <w:rPr>
                <w:rFonts w:cstheme="minorHAnsi"/>
                <w:spacing w:val="-2"/>
              </w:rPr>
            </w:pPr>
            <w:r w:rsidRPr="00633871">
              <w:rPr>
                <w:rFonts w:cstheme="minorHAnsi"/>
                <w:spacing w:val="-2"/>
              </w:rPr>
              <w:t>Title:</w:t>
            </w:r>
          </w:p>
        </w:tc>
        <w:tc>
          <w:tcPr>
            <w:tcW w:w="3584" w:type="dxa"/>
            <w:tcBorders>
              <w:bottom w:val="single" w:sz="4" w:space="0" w:color="auto"/>
            </w:tcBorders>
          </w:tcPr>
          <w:p w14:paraId="23A31538" w14:textId="77777777" w:rsidR="001A46AF" w:rsidRPr="00633871" w:rsidRDefault="001A46AF" w:rsidP="00E325FF">
            <w:pPr>
              <w:jc w:val="both"/>
              <w:rPr>
                <w:rFonts w:cstheme="minorHAnsi"/>
                <w:spacing w:val="-2"/>
              </w:rPr>
            </w:pPr>
          </w:p>
        </w:tc>
        <w:tc>
          <w:tcPr>
            <w:tcW w:w="244" w:type="dxa"/>
          </w:tcPr>
          <w:p w14:paraId="4271BA18" w14:textId="77777777" w:rsidR="001A46AF" w:rsidRPr="00633871" w:rsidRDefault="001A46AF" w:rsidP="00E325FF">
            <w:pPr>
              <w:jc w:val="both"/>
              <w:rPr>
                <w:rFonts w:cstheme="minorHAnsi"/>
                <w:spacing w:val="-2"/>
              </w:rPr>
            </w:pPr>
          </w:p>
        </w:tc>
        <w:tc>
          <w:tcPr>
            <w:tcW w:w="1059" w:type="dxa"/>
          </w:tcPr>
          <w:p w14:paraId="1FFCFFC4" w14:textId="77777777" w:rsidR="001A46AF" w:rsidRPr="00633871" w:rsidRDefault="001A46AF" w:rsidP="00E325FF">
            <w:pPr>
              <w:jc w:val="both"/>
              <w:rPr>
                <w:rFonts w:cstheme="minorHAnsi"/>
                <w:spacing w:val="-2"/>
              </w:rPr>
            </w:pPr>
            <w:r w:rsidRPr="00633871">
              <w:rPr>
                <w:rFonts w:cstheme="minorHAnsi"/>
                <w:spacing w:val="-2"/>
              </w:rPr>
              <w:t>Title:</w:t>
            </w:r>
          </w:p>
        </w:tc>
        <w:tc>
          <w:tcPr>
            <w:tcW w:w="3909" w:type="dxa"/>
            <w:tcBorders>
              <w:bottom w:val="single" w:sz="6" w:space="0" w:color="auto"/>
            </w:tcBorders>
          </w:tcPr>
          <w:p w14:paraId="47ECBBE6" w14:textId="77777777" w:rsidR="001A46AF" w:rsidRPr="00633871" w:rsidRDefault="001A46AF" w:rsidP="00E325FF">
            <w:pPr>
              <w:jc w:val="both"/>
              <w:rPr>
                <w:rFonts w:cstheme="minorHAnsi"/>
                <w:spacing w:val="-2"/>
              </w:rPr>
            </w:pPr>
          </w:p>
        </w:tc>
      </w:tr>
      <w:tr w:rsidR="001A46AF" w:rsidRPr="00633871" w14:paraId="5780D74C" w14:textId="77777777" w:rsidTr="00E325FF">
        <w:trPr>
          <w:trHeight w:val="500"/>
        </w:trPr>
        <w:tc>
          <w:tcPr>
            <w:tcW w:w="1075" w:type="dxa"/>
          </w:tcPr>
          <w:p w14:paraId="4476FD6B" w14:textId="77777777" w:rsidR="001A46AF" w:rsidRPr="00633871" w:rsidRDefault="001A46AF" w:rsidP="00E325FF">
            <w:pPr>
              <w:jc w:val="both"/>
              <w:rPr>
                <w:rFonts w:cstheme="minorHAnsi"/>
                <w:spacing w:val="-2"/>
              </w:rPr>
            </w:pPr>
          </w:p>
        </w:tc>
        <w:tc>
          <w:tcPr>
            <w:tcW w:w="3584" w:type="dxa"/>
            <w:tcBorders>
              <w:top w:val="single" w:sz="4" w:space="0" w:color="auto"/>
            </w:tcBorders>
          </w:tcPr>
          <w:p w14:paraId="23E4B8D5" w14:textId="77777777" w:rsidR="001A46AF" w:rsidRPr="00633871" w:rsidRDefault="001A46AF" w:rsidP="00E325FF">
            <w:pPr>
              <w:jc w:val="both"/>
              <w:rPr>
                <w:rFonts w:cstheme="minorHAnsi"/>
                <w:spacing w:val="-2"/>
              </w:rPr>
            </w:pPr>
          </w:p>
        </w:tc>
        <w:tc>
          <w:tcPr>
            <w:tcW w:w="244" w:type="dxa"/>
          </w:tcPr>
          <w:p w14:paraId="18937762" w14:textId="77777777" w:rsidR="001A46AF" w:rsidRPr="00633871" w:rsidRDefault="001A46AF" w:rsidP="00E325FF">
            <w:pPr>
              <w:jc w:val="both"/>
              <w:rPr>
                <w:rFonts w:cstheme="minorHAnsi"/>
                <w:spacing w:val="-2"/>
              </w:rPr>
            </w:pPr>
          </w:p>
        </w:tc>
        <w:tc>
          <w:tcPr>
            <w:tcW w:w="1059" w:type="dxa"/>
          </w:tcPr>
          <w:p w14:paraId="6C57A053" w14:textId="77777777" w:rsidR="001A46AF" w:rsidRPr="00633871" w:rsidRDefault="001A46AF" w:rsidP="00E325FF">
            <w:pPr>
              <w:jc w:val="both"/>
              <w:rPr>
                <w:rFonts w:cstheme="minorHAnsi"/>
                <w:spacing w:val="-1"/>
              </w:rPr>
            </w:pPr>
          </w:p>
        </w:tc>
        <w:tc>
          <w:tcPr>
            <w:tcW w:w="3909" w:type="dxa"/>
            <w:tcBorders>
              <w:top w:val="single" w:sz="4" w:space="0" w:color="auto"/>
            </w:tcBorders>
          </w:tcPr>
          <w:p w14:paraId="78AE730E" w14:textId="77777777" w:rsidR="001A46AF" w:rsidRPr="00633871" w:rsidRDefault="001A46AF" w:rsidP="00E325FF">
            <w:pPr>
              <w:jc w:val="both"/>
              <w:rPr>
                <w:rFonts w:cstheme="minorHAnsi"/>
                <w:spacing w:val="-1"/>
              </w:rPr>
            </w:pPr>
          </w:p>
        </w:tc>
      </w:tr>
      <w:tr w:rsidR="001A46AF" w:rsidRPr="00633871" w14:paraId="02C33FEC" w14:textId="77777777" w:rsidTr="00E325FF">
        <w:trPr>
          <w:trHeight w:val="500"/>
        </w:trPr>
        <w:tc>
          <w:tcPr>
            <w:tcW w:w="1075" w:type="dxa"/>
          </w:tcPr>
          <w:p w14:paraId="04D05827" w14:textId="77777777" w:rsidR="001A46AF" w:rsidRPr="00633871" w:rsidRDefault="001A46AF" w:rsidP="00E325FF">
            <w:pPr>
              <w:jc w:val="both"/>
              <w:rPr>
                <w:rFonts w:cstheme="minorHAnsi"/>
                <w:spacing w:val="-2"/>
              </w:rPr>
            </w:pPr>
            <w:r w:rsidRPr="00633871">
              <w:rPr>
                <w:rFonts w:cstheme="minorHAnsi"/>
                <w:spacing w:val="-2"/>
              </w:rPr>
              <w:t>Date:</w:t>
            </w:r>
          </w:p>
        </w:tc>
        <w:tc>
          <w:tcPr>
            <w:tcW w:w="3584" w:type="dxa"/>
            <w:tcBorders>
              <w:bottom w:val="single" w:sz="6" w:space="0" w:color="auto"/>
            </w:tcBorders>
          </w:tcPr>
          <w:p w14:paraId="47D285F7" w14:textId="77777777" w:rsidR="001A46AF" w:rsidRPr="00633871" w:rsidRDefault="001A46AF" w:rsidP="00E325FF">
            <w:pPr>
              <w:jc w:val="both"/>
              <w:rPr>
                <w:rFonts w:cstheme="minorHAnsi"/>
                <w:spacing w:val="-2"/>
              </w:rPr>
            </w:pPr>
          </w:p>
        </w:tc>
        <w:tc>
          <w:tcPr>
            <w:tcW w:w="244" w:type="dxa"/>
          </w:tcPr>
          <w:p w14:paraId="726A3E9A" w14:textId="77777777" w:rsidR="001A46AF" w:rsidRPr="00633871" w:rsidRDefault="001A46AF" w:rsidP="00E325FF">
            <w:pPr>
              <w:jc w:val="both"/>
              <w:rPr>
                <w:rFonts w:cstheme="minorHAnsi"/>
                <w:spacing w:val="-2"/>
              </w:rPr>
            </w:pPr>
          </w:p>
        </w:tc>
        <w:tc>
          <w:tcPr>
            <w:tcW w:w="1059" w:type="dxa"/>
          </w:tcPr>
          <w:p w14:paraId="70F08D08" w14:textId="77777777" w:rsidR="001A46AF" w:rsidRPr="00633871" w:rsidRDefault="001A46AF" w:rsidP="00E325FF">
            <w:pPr>
              <w:jc w:val="both"/>
              <w:rPr>
                <w:rFonts w:cstheme="minorHAnsi"/>
                <w:spacing w:val="-2"/>
              </w:rPr>
            </w:pPr>
            <w:r w:rsidRPr="00633871">
              <w:rPr>
                <w:rFonts w:cstheme="minorHAnsi"/>
                <w:spacing w:val="-2"/>
              </w:rPr>
              <w:t>Date:</w:t>
            </w:r>
          </w:p>
        </w:tc>
        <w:tc>
          <w:tcPr>
            <w:tcW w:w="3909" w:type="dxa"/>
            <w:tcBorders>
              <w:bottom w:val="single" w:sz="6" w:space="0" w:color="auto"/>
            </w:tcBorders>
          </w:tcPr>
          <w:p w14:paraId="575F6C1C" w14:textId="77777777" w:rsidR="001A46AF" w:rsidRPr="00633871" w:rsidRDefault="001A46AF" w:rsidP="00E325FF">
            <w:pPr>
              <w:jc w:val="both"/>
              <w:rPr>
                <w:rFonts w:cstheme="minorHAnsi"/>
                <w:spacing w:val="-1"/>
              </w:rPr>
            </w:pPr>
          </w:p>
        </w:tc>
      </w:tr>
    </w:tbl>
    <w:p w14:paraId="1777FABB" w14:textId="77777777" w:rsidR="001A46AF" w:rsidRPr="00633871" w:rsidRDefault="001A46AF" w:rsidP="001A46AF">
      <w:pPr>
        <w:rPr>
          <w:rFonts w:cstheme="minorHAnsi"/>
        </w:rPr>
      </w:pPr>
    </w:p>
    <w:p w14:paraId="70DAA20A" w14:textId="77777777" w:rsidR="00473A07" w:rsidRPr="001A46AF" w:rsidRDefault="00473A07" w:rsidP="001A46AF">
      <w:pPr>
        <w:spacing w:after="0"/>
        <w:rPr>
          <w:rFonts w:ascii="Times New Roman" w:hAnsi="Times New Roman" w:cs="Times New Roman"/>
          <w:sz w:val="24"/>
          <w:szCs w:val="24"/>
        </w:rPr>
      </w:pPr>
    </w:p>
    <w:sectPr w:rsidR="00473A07" w:rsidRPr="001A46AF" w:rsidSect="00701DEA">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2BFD1" w14:textId="77777777" w:rsidR="007C3009" w:rsidRDefault="007C3009" w:rsidP="00531631">
      <w:pPr>
        <w:spacing w:after="0" w:line="240" w:lineRule="auto"/>
      </w:pPr>
      <w:r>
        <w:separator/>
      </w:r>
    </w:p>
  </w:endnote>
  <w:endnote w:type="continuationSeparator" w:id="0">
    <w:p w14:paraId="020136C9" w14:textId="77777777" w:rsidR="007C3009" w:rsidRDefault="007C3009" w:rsidP="0053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7A4EF" w14:textId="53A24413" w:rsidR="007C3009" w:rsidRDefault="007C3009" w:rsidP="001A46AF">
    <w:pPr>
      <w:pStyle w:val="Footer"/>
      <w:jc w:val="right"/>
      <w:rPr>
        <w:noProof/>
      </w:rPr>
    </w:pPr>
    <w:r>
      <w:tab/>
    </w:r>
    <w:r>
      <w:tab/>
    </w:r>
    <w:r w:rsidRPr="001A46AF">
      <w:rPr>
        <w:b/>
      </w:rPr>
      <w:fldChar w:fldCharType="begin"/>
    </w:r>
    <w:r w:rsidRPr="001A46AF">
      <w:rPr>
        <w:b/>
      </w:rPr>
      <w:instrText xml:space="preserve"> PAGE   \* MERGEFORMAT </w:instrText>
    </w:r>
    <w:r w:rsidRPr="001A46AF">
      <w:rPr>
        <w:b/>
      </w:rPr>
      <w:fldChar w:fldCharType="separate"/>
    </w:r>
    <w:r w:rsidR="00AB59BA">
      <w:rPr>
        <w:b/>
        <w:noProof/>
      </w:rPr>
      <w:t>1</w:t>
    </w:r>
    <w:r w:rsidRPr="001A46AF">
      <w:rPr>
        <w:b/>
        <w:noProof/>
      </w:rPr>
      <w:fldChar w:fldCharType="end"/>
    </w:r>
    <w:r w:rsidRPr="001A46AF">
      <w:rPr>
        <w:b/>
        <w:noProof/>
      </w:rPr>
      <w:t xml:space="preserve"> of 1</w:t>
    </w:r>
    <w:r>
      <w:rPr>
        <w:b/>
        <w:noProof/>
      </w:rPr>
      <w:t>1</w:t>
    </w:r>
  </w:p>
  <w:p w14:paraId="088F469C" w14:textId="2970D0B1" w:rsidR="007C3009" w:rsidRDefault="007C3009" w:rsidP="001A46AF">
    <w:pPr>
      <w:pStyle w:val="Footer"/>
      <w:jc w:val="right"/>
    </w:pPr>
    <w:r>
      <w:t>Version: 4.27.15</w:t>
    </w:r>
  </w:p>
  <w:p w14:paraId="0B8E1AC4" w14:textId="77777777" w:rsidR="007C3009" w:rsidRDefault="007C3009" w:rsidP="001A46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78B93" w14:textId="77777777" w:rsidR="007C3009" w:rsidRDefault="007C3009" w:rsidP="00531631">
      <w:pPr>
        <w:spacing w:after="0" w:line="240" w:lineRule="auto"/>
      </w:pPr>
      <w:r>
        <w:separator/>
      </w:r>
    </w:p>
  </w:footnote>
  <w:footnote w:type="continuationSeparator" w:id="0">
    <w:p w14:paraId="4557EEB0" w14:textId="77777777" w:rsidR="007C3009" w:rsidRDefault="007C3009" w:rsidP="00531631">
      <w:pPr>
        <w:spacing w:after="0" w:line="240" w:lineRule="auto"/>
      </w:pPr>
      <w:r>
        <w:continuationSeparator/>
      </w:r>
    </w:p>
  </w:footnote>
  <w:footnote w:id="1">
    <w:p w14:paraId="454B3BCE" w14:textId="77777777" w:rsidR="007C3009" w:rsidRDefault="007C3009" w:rsidP="0077678F">
      <w:pPr>
        <w:pStyle w:val="FootnoteText"/>
      </w:pPr>
      <w:r>
        <w:rPr>
          <w:rStyle w:val="FootnoteReference"/>
        </w:rPr>
        <w:footnoteRef/>
      </w:r>
      <w:r>
        <w:t xml:space="preserve"> Flynn KE, Hahn CL, Kramer JM et al. Using central IRBs for multicenter clinical trials in the United States.</w:t>
      </w:r>
    </w:p>
    <w:p w14:paraId="724231F0" w14:textId="77777777" w:rsidR="007C3009" w:rsidRDefault="007C3009" w:rsidP="0077678F">
      <w:pPr>
        <w:pStyle w:val="FootnoteText"/>
      </w:pPr>
      <w:proofErr w:type="spellStart"/>
      <w:r>
        <w:t>PLoS</w:t>
      </w:r>
      <w:proofErr w:type="spellEnd"/>
      <w:r>
        <w:t xml:space="preserve"> One 2013; 8 (1): e54999. </w:t>
      </w:r>
    </w:p>
    <w:p w14:paraId="7082B7CD" w14:textId="77777777" w:rsidR="007C3009" w:rsidRDefault="007C3009" w:rsidP="0077678F">
      <w:pPr>
        <w:pStyle w:val="FootnoteText"/>
      </w:pPr>
      <w:r w:rsidRPr="00416422">
        <w:t>http://www.ctti-clinicaltrials.org/what-we-do/study-start/central-irb/products</w:t>
      </w:r>
    </w:p>
  </w:footnote>
  <w:footnote w:id="2">
    <w:p w14:paraId="08857033" w14:textId="77777777" w:rsidR="007C3009" w:rsidRPr="009B23A3" w:rsidRDefault="007C3009" w:rsidP="009B23A3">
      <w:pPr>
        <w:pStyle w:val="FootnoteText"/>
        <w:rPr>
          <w:rFonts w:cstheme="minorHAnsi"/>
        </w:rPr>
      </w:pPr>
      <w:r w:rsidRPr="00694C2C">
        <w:rPr>
          <w:rStyle w:val="FootnoteReference"/>
        </w:rPr>
        <w:footnoteRef/>
      </w:r>
      <w:r w:rsidRPr="006E0B86">
        <w:t xml:space="preserve"> </w:t>
      </w:r>
      <w:r w:rsidRPr="00A00D11">
        <w:rPr>
          <w:rStyle w:val="QuoteChar"/>
        </w:rPr>
        <w:t>Definition</w:t>
      </w:r>
      <w:r w:rsidRPr="00A00D11">
        <w:rPr>
          <w:rStyle w:val="Strong"/>
          <w:rFonts w:cstheme="minorHAnsi"/>
        </w:rPr>
        <w:t xml:space="preserve"> </w:t>
      </w:r>
      <w:r w:rsidRPr="009B23A3">
        <w:rPr>
          <w:rStyle w:val="Strong"/>
          <w:rFonts w:cstheme="minorHAnsi"/>
          <w:b w:val="0"/>
          <w:color w:val="auto"/>
        </w:rPr>
        <w:t xml:space="preserve">of </w:t>
      </w:r>
      <w:r w:rsidRPr="009B23A3">
        <w:rPr>
          <w:rStyle w:val="Strong"/>
          <w:rFonts w:cstheme="minorHAnsi"/>
          <w:b w:val="0"/>
          <w:color w:val="auto"/>
          <w:u w:val="single"/>
        </w:rPr>
        <w:t>Central IRB</w:t>
      </w:r>
      <w:r w:rsidRPr="009B23A3">
        <w:rPr>
          <w:rStyle w:val="Strong"/>
          <w:rFonts w:cstheme="minorHAnsi"/>
          <w:b w:val="0"/>
          <w:color w:val="auto"/>
        </w:rPr>
        <w:t>:</w:t>
      </w:r>
      <w:r w:rsidRPr="009B23A3">
        <w:rPr>
          <w:rFonts w:cstheme="minorHAnsi"/>
          <w:b/>
        </w:rPr>
        <w:t xml:space="preserve"> </w:t>
      </w:r>
      <w:r w:rsidRPr="00A00D11">
        <w:rPr>
          <w:rFonts w:cstheme="minorHAnsi"/>
        </w:rPr>
        <w:t xml:space="preserve">A single IRB of record for all sites involved in a multi-center protocol. </w:t>
      </w:r>
      <w:r>
        <w:rPr>
          <w:rFonts w:cstheme="minorHAnsi"/>
        </w:rPr>
        <w:t xml:space="preserve"> This is </w:t>
      </w:r>
      <w:r w:rsidRPr="009B23A3">
        <w:rPr>
          <w:rFonts w:cstheme="minorHAnsi"/>
        </w:rPr>
        <w:t xml:space="preserve">a properly constituted </w:t>
      </w:r>
      <w:proofErr w:type="gramStart"/>
      <w:r w:rsidRPr="009B23A3">
        <w:rPr>
          <w:rFonts w:cstheme="minorHAnsi"/>
        </w:rPr>
        <w:t>IRB</w:t>
      </w:r>
      <w:proofErr w:type="gramEnd"/>
      <w:r w:rsidRPr="009B23A3">
        <w:rPr>
          <w:rFonts w:cstheme="minorHAnsi"/>
        </w:rPr>
        <w:t xml:space="preserve"> to which sites cede all regulatory responsibility for scientific oversight and integrity of the protocol from initial review to termination of the research, including review of informed consent. </w:t>
      </w:r>
      <w:r w:rsidRPr="00A00D11">
        <w:rPr>
          <w:rFonts w:cstheme="minorHAnsi"/>
        </w:rPr>
        <w:t>A range of entities may serve as a central IRB (e.g. another institution’s IRB, a federal IRB, an independent IRB).</w:t>
      </w:r>
    </w:p>
  </w:footnote>
  <w:footnote w:id="3">
    <w:p w14:paraId="64F0276C" w14:textId="77777777" w:rsidR="007C3009" w:rsidRDefault="007C3009" w:rsidP="001A46AF">
      <w:pPr>
        <w:pStyle w:val="FootnoteText"/>
      </w:pPr>
      <w:r>
        <w:rPr>
          <w:rStyle w:val="FootnoteReference"/>
        </w:rPr>
        <w:footnoteRef/>
      </w:r>
      <w:r>
        <w:t xml:space="preserve"> Institution and Central IRB should determine time periods for acceptable notification; the workgroup recommends periods no greater than 60 days.</w:t>
      </w:r>
    </w:p>
  </w:footnote>
  <w:footnote w:id="4">
    <w:p w14:paraId="6C253891" w14:textId="77777777" w:rsidR="007C3009" w:rsidRDefault="007C3009" w:rsidP="001A46AF">
      <w:pPr>
        <w:pStyle w:val="FootnoteText"/>
      </w:pPr>
      <w:r>
        <w:rPr>
          <w:rStyle w:val="FootnoteReference"/>
        </w:rPr>
        <w:footnoteRef/>
      </w:r>
      <w:r>
        <w:t xml:space="preserve"> Institution and Central IRB should determine fee schedule and time periods for payment in keeping with organizational policies. </w:t>
      </w:r>
    </w:p>
  </w:footnote>
  <w:footnote w:id="5">
    <w:p w14:paraId="6AF806D0" w14:textId="77777777" w:rsidR="007C3009" w:rsidRDefault="007C3009" w:rsidP="001A46AF">
      <w:pPr>
        <w:pStyle w:val="FootnoteText"/>
      </w:pPr>
      <w:r>
        <w:rPr>
          <w:rStyle w:val="FootnoteReference"/>
        </w:rPr>
        <w:footnoteRef/>
      </w:r>
      <w:r>
        <w:t xml:space="preserve"> The workgroup believes a section on indemnification may be important for agreements, which govern complex or large engagements.  Note, the language provided is meant to simply serve as an example, should not be used without evaluation and may need to be altered based on state laws, organizational policies, or degree of risk to Institution or Central IRB</w:t>
      </w:r>
    </w:p>
  </w:footnote>
  <w:footnote w:id="6">
    <w:p w14:paraId="482A4862" w14:textId="77777777" w:rsidR="007C3009" w:rsidRDefault="007C3009" w:rsidP="001A46AF">
      <w:pPr>
        <w:pStyle w:val="FootnoteText"/>
      </w:pPr>
      <w:r>
        <w:rPr>
          <w:rStyle w:val="FootnoteReference"/>
        </w:rPr>
        <w:footnoteRef/>
      </w:r>
      <w:r>
        <w:t xml:space="preserve"> The workgroup believes a section on Insurance may be important for agreements which govern complex or large engagements.  Note, the language provided is meant to simply serve as an example, should not be used without evaluation and may need to be altered based on state laws, organizational policies, or degree of risk to Institution or Central IRB</w:t>
      </w:r>
    </w:p>
    <w:p w14:paraId="1927A3F5" w14:textId="77777777" w:rsidR="007C3009" w:rsidRDefault="007C3009" w:rsidP="001A46AF">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81C26" w14:textId="77777777" w:rsidR="007C3009" w:rsidRDefault="007C3009" w:rsidP="001A46AF">
    <w:pPr>
      <w:pStyle w:val="Header"/>
      <w:jc w:val="center"/>
      <w:rPr>
        <w:rFonts w:ascii="Arial" w:hAnsi="Arial" w:cs="Arial"/>
        <w:b/>
        <w:bCs/>
        <w:sz w:val="28"/>
        <w:szCs w:val="28"/>
      </w:rPr>
    </w:pPr>
    <w:r>
      <w:rPr>
        <w:rFonts w:ascii="Arial" w:hAnsi="Arial" w:cs="Arial"/>
        <w:b/>
        <w:bCs/>
        <w:sz w:val="28"/>
        <w:szCs w:val="28"/>
      </w:rPr>
      <w:t>CTTI Advancing the Use of Central IRBs for Multicenter Clinical Trials</w:t>
    </w:r>
  </w:p>
  <w:p w14:paraId="14DCC535" w14:textId="77777777" w:rsidR="007C3009" w:rsidRDefault="007C3009" w:rsidP="001A46AF">
    <w:pPr>
      <w:pStyle w:val="Header"/>
      <w:jc w:val="center"/>
      <w:rPr>
        <w:rFonts w:ascii="Arial" w:hAnsi="Arial" w:cs="Arial"/>
        <w:b/>
        <w:bCs/>
        <w:sz w:val="28"/>
        <w:szCs w:val="28"/>
      </w:rPr>
    </w:pPr>
  </w:p>
  <w:p w14:paraId="74864F34" w14:textId="77777777" w:rsidR="007C3009" w:rsidRDefault="007C3009" w:rsidP="001A46AF">
    <w:pPr>
      <w:pStyle w:val="Header"/>
      <w:jc w:val="center"/>
      <w:rPr>
        <w:rFonts w:ascii="Arial" w:hAnsi="Arial" w:cs="Arial"/>
        <w:b/>
        <w:bCs/>
        <w:sz w:val="28"/>
        <w:szCs w:val="28"/>
      </w:rPr>
    </w:pPr>
    <w:r>
      <w:rPr>
        <w:rFonts w:ascii="Arial" w:hAnsi="Arial" w:cs="Arial"/>
        <w:b/>
        <w:bCs/>
        <w:sz w:val="28"/>
        <w:szCs w:val="28"/>
      </w:rPr>
      <w:t>Template IRB</w:t>
    </w:r>
    <w:r w:rsidRPr="000D6F5A">
      <w:rPr>
        <w:rFonts w:ascii="Arial" w:hAnsi="Arial" w:cs="Arial"/>
        <w:b/>
        <w:bCs/>
        <w:sz w:val="28"/>
        <w:szCs w:val="28"/>
      </w:rPr>
      <w:t xml:space="preserve"> Authorization Agreement</w:t>
    </w:r>
  </w:p>
  <w:p w14:paraId="5F996CA2" w14:textId="77777777" w:rsidR="007C3009" w:rsidRDefault="007C30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1CD"/>
    <w:multiLevelType w:val="hybridMultilevel"/>
    <w:tmpl w:val="88C2FE98"/>
    <w:lvl w:ilvl="0" w:tplc="E7B6ED16">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72D85"/>
    <w:multiLevelType w:val="hybridMultilevel"/>
    <w:tmpl w:val="1FCE8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C07C4"/>
    <w:multiLevelType w:val="hybridMultilevel"/>
    <w:tmpl w:val="47469E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A175D"/>
    <w:multiLevelType w:val="hybridMultilevel"/>
    <w:tmpl w:val="FD02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802B5"/>
    <w:multiLevelType w:val="hybridMultilevel"/>
    <w:tmpl w:val="1FC425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144103"/>
    <w:multiLevelType w:val="hybridMultilevel"/>
    <w:tmpl w:val="C3ECE7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D35EA"/>
    <w:multiLevelType w:val="hybridMultilevel"/>
    <w:tmpl w:val="0A9EB22A"/>
    <w:lvl w:ilvl="0" w:tplc="A8A2E954">
      <w:start w:val="1"/>
      <w:numFmt w:val="bullet"/>
      <w:lvlText w:val=""/>
      <w:lvlJc w:val="left"/>
      <w:pPr>
        <w:tabs>
          <w:tab w:val="num" w:pos="2520"/>
        </w:tabs>
        <w:ind w:left="25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F2D4296"/>
    <w:multiLevelType w:val="multilevel"/>
    <w:tmpl w:val="B43E531A"/>
    <w:lvl w:ilvl="0">
      <w:start w:val="1"/>
      <w:numFmt w:val="decimal"/>
      <w:lvlText w:val="%1."/>
      <w:lvlJc w:val="left"/>
      <w:pPr>
        <w:ind w:left="360" w:hanging="360"/>
      </w:pPr>
      <w:rPr>
        <w:rFonts w:asciiTheme="minorHAnsi" w:eastAsiaTheme="minorHAnsi" w:hAnsiTheme="minorHAnsi" w:cstheme="minorHAnsi"/>
        <w:b/>
      </w:rPr>
    </w:lvl>
    <w:lvl w:ilvl="1">
      <w:start w:val="1"/>
      <w:numFmt w:val="decimal"/>
      <w:isLgl/>
      <w:lvlText w:val="%1.%2"/>
      <w:lvlJc w:val="left"/>
      <w:pPr>
        <w:ind w:left="380" w:hanging="38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22F65D6D"/>
    <w:multiLevelType w:val="hybridMultilevel"/>
    <w:tmpl w:val="DB48FC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FE6A63"/>
    <w:multiLevelType w:val="hybridMultilevel"/>
    <w:tmpl w:val="AA92421C"/>
    <w:lvl w:ilvl="0" w:tplc="B1E29BB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nsid w:val="39A70E2E"/>
    <w:multiLevelType w:val="hybridMultilevel"/>
    <w:tmpl w:val="6158ED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695B5B"/>
    <w:multiLevelType w:val="hybridMultilevel"/>
    <w:tmpl w:val="7A1ACBC4"/>
    <w:lvl w:ilvl="0" w:tplc="A4E8CA82">
      <w:start w:val="1"/>
      <w:numFmt w:val="upperRoman"/>
      <w:lvlText w:val="%1."/>
      <w:lvlJc w:val="left"/>
      <w:pPr>
        <w:ind w:left="180" w:hanging="720"/>
      </w:pPr>
      <w:rPr>
        <w:rFonts w:hint="default"/>
        <w:b/>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nsid w:val="3F4A2949"/>
    <w:multiLevelType w:val="hybridMultilevel"/>
    <w:tmpl w:val="6D14098E"/>
    <w:lvl w:ilvl="0" w:tplc="C868E8BE">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nsid w:val="4DDE71A0"/>
    <w:multiLevelType w:val="hybridMultilevel"/>
    <w:tmpl w:val="0818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4623"/>
    <w:multiLevelType w:val="hybridMultilevel"/>
    <w:tmpl w:val="C68C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D122CF"/>
    <w:multiLevelType w:val="hybridMultilevel"/>
    <w:tmpl w:val="4262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B1520C"/>
    <w:multiLevelType w:val="hybridMultilevel"/>
    <w:tmpl w:val="9F54FCEE"/>
    <w:lvl w:ilvl="0" w:tplc="13144350">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7">
    <w:nsid w:val="63F87550"/>
    <w:multiLevelType w:val="hybridMultilevel"/>
    <w:tmpl w:val="BF0476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DB640FE"/>
    <w:multiLevelType w:val="hybridMultilevel"/>
    <w:tmpl w:val="EF623BA2"/>
    <w:lvl w:ilvl="0" w:tplc="A8A2E954">
      <w:start w:val="1"/>
      <w:numFmt w:val="bullet"/>
      <w:lvlText w:val=""/>
      <w:lvlJc w:val="left"/>
      <w:pPr>
        <w:tabs>
          <w:tab w:val="num" w:pos="2520"/>
        </w:tabs>
        <w:ind w:left="25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6126EDE"/>
    <w:multiLevelType w:val="hybridMultilevel"/>
    <w:tmpl w:val="20304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52DDB"/>
    <w:multiLevelType w:val="hybridMultilevel"/>
    <w:tmpl w:val="6302DE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D4176A1"/>
    <w:multiLevelType w:val="hybridMultilevel"/>
    <w:tmpl w:val="B0A4FE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0644C"/>
    <w:multiLevelType w:val="hybridMultilevel"/>
    <w:tmpl w:val="0E78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5"/>
  </w:num>
  <w:num w:numId="4">
    <w:abstractNumId w:val="6"/>
  </w:num>
  <w:num w:numId="5">
    <w:abstractNumId w:val="10"/>
  </w:num>
  <w:num w:numId="6">
    <w:abstractNumId w:val="19"/>
  </w:num>
  <w:num w:numId="7">
    <w:abstractNumId w:val="20"/>
  </w:num>
  <w:num w:numId="8">
    <w:abstractNumId w:val="3"/>
  </w:num>
  <w:num w:numId="9">
    <w:abstractNumId w:val="13"/>
  </w:num>
  <w:num w:numId="10">
    <w:abstractNumId w:val="18"/>
  </w:num>
  <w:num w:numId="11">
    <w:abstractNumId w:val="11"/>
  </w:num>
  <w:num w:numId="12">
    <w:abstractNumId w:val="16"/>
  </w:num>
  <w:num w:numId="13">
    <w:abstractNumId w:val="9"/>
  </w:num>
  <w:num w:numId="14">
    <w:abstractNumId w:val="12"/>
  </w:num>
  <w:num w:numId="15">
    <w:abstractNumId w:val="4"/>
  </w:num>
  <w:num w:numId="16">
    <w:abstractNumId w:val="22"/>
  </w:num>
  <w:num w:numId="17">
    <w:abstractNumId w:val="7"/>
  </w:num>
  <w:num w:numId="18">
    <w:abstractNumId w:val="14"/>
  </w:num>
  <w:num w:numId="19">
    <w:abstractNumId w:val="21"/>
  </w:num>
  <w:num w:numId="20">
    <w:abstractNumId w:val="5"/>
  </w:num>
  <w:num w:numId="21">
    <w:abstractNumId w:val="2"/>
  </w:num>
  <w:num w:numId="22">
    <w:abstractNumId w:val="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631"/>
    <w:rsid w:val="00016A89"/>
    <w:rsid w:val="0012150B"/>
    <w:rsid w:val="001A46AF"/>
    <w:rsid w:val="001F43D6"/>
    <w:rsid w:val="002A3EF6"/>
    <w:rsid w:val="002B567D"/>
    <w:rsid w:val="002C59FA"/>
    <w:rsid w:val="00304343"/>
    <w:rsid w:val="00305259"/>
    <w:rsid w:val="00351C16"/>
    <w:rsid w:val="00376240"/>
    <w:rsid w:val="00395B1F"/>
    <w:rsid w:val="003D5AF3"/>
    <w:rsid w:val="00401A6F"/>
    <w:rsid w:val="00432A1C"/>
    <w:rsid w:val="00435210"/>
    <w:rsid w:val="00464778"/>
    <w:rsid w:val="00473A07"/>
    <w:rsid w:val="004B49E7"/>
    <w:rsid w:val="004C5C9C"/>
    <w:rsid w:val="00522C1F"/>
    <w:rsid w:val="00531631"/>
    <w:rsid w:val="00550F02"/>
    <w:rsid w:val="0057128B"/>
    <w:rsid w:val="00572C04"/>
    <w:rsid w:val="006250C8"/>
    <w:rsid w:val="00653C0D"/>
    <w:rsid w:val="00671BC2"/>
    <w:rsid w:val="006D53E2"/>
    <w:rsid w:val="006E3849"/>
    <w:rsid w:val="00701DEA"/>
    <w:rsid w:val="0073510A"/>
    <w:rsid w:val="00746D11"/>
    <w:rsid w:val="00773CED"/>
    <w:rsid w:val="0077678F"/>
    <w:rsid w:val="007A7EE5"/>
    <w:rsid w:val="007B722F"/>
    <w:rsid w:val="007C3009"/>
    <w:rsid w:val="007E1B2C"/>
    <w:rsid w:val="00864C91"/>
    <w:rsid w:val="008B14A7"/>
    <w:rsid w:val="008E73C3"/>
    <w:rsid w:val="008F1A65"/>
    <w:rsid w:val="008F3A85"/>
    <w:rsid w:val="00912A68"/>
    <w:rsid w:val="00960C9E"/>
    <w:rsid w:val="009631E4"/>
    <w:rsid w:val="009744DF"/>
    <w:rsid w:val="009A09FF"/>
    <w:rsid w:val="009B23A3"/>
    <w:rsid w:val="009C1934"/>
    <w:rsid w:val="009D1B95"/>
    <w:rsid w:val="00A96CCD"/>
    <w:rsid w:val="00AA769D"/>
    <w:rsid w:val="00AB59BA"/>
    <w:rsid w:val="00AE088F"/>
    <w:rsid w:val="00B56EA4"/>
    <w:rsid w:val="00BA645B"/>
    <w:rsid w:val="00BB5A0E"/>
    <w:rsid w:val="00C00AB5"/>
    <w:rsid w:val="00C3293B"/>
    <w:rsid w:val="00C52045"/>
    <w:rsid w:val="00C774AC"/>
    <w:rsid w:val="00C80E19"/>
    <w:rsid w:val="00CE5A17"/>
    <w:rsid w:val="00D00D07"/>
    <w:rsid w:val="00D1172E"/>
    <w:rsid w:val="00D864DA"/>
    <w:rsid w:val="00D9695B"/>
    <w:rsid w:val="00DB7FCA"/>
    <w:rsid w:val="00E01F06"/>
    <w:rsid w:val="00E0315B"/>
    <w:rsid w:val="00E325FF"/>
    <w:rsid w:val="00E36303"/>
    <w:rsid w:val="00E4333B"/>
    <w:rsid w:val="00E7606B"/>
    <w:rsid w:val="00EE2E1A"/>
    <w:rsid w:val="00F24808"/>
    <w:rsid w:val="00F360D2"/>
    <w:rsid w:val="00F41FD4"/>
    <w:rsid w:val="00FB6F26"/>
    <w:rsid w:val="00FC3473"/>
    <w:rsid w:val="00FC5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0E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631"/>
    <w:pPr>
      <w:ind w:left="720"/>
      <w:contextualSpacing/>
    </w:pPr>
  </w:style>
  <w:style w:type="paragraph" w:styleId="FootnoteText">
    <w:name w:val="footnote text"/>
    <w:basedOn w:val="Normal"/>
    <w:link w:val="FootnoteTextChar"/>
    <w:uiPriority w:val="99"/>
    <w:unhideWhenUsed/>
    <w:rsid w:val="00531631"/>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31631"/>
    <w:rPr>
      <w:rFonts w:eastAsiaTheme="minorEastAsia"/>
      <w:sz w:val="20"/>
      <w:szCs w:val="20"/>
    </w:rPr>
  </w:style>
  <w:style w:type="character" w:styleId="FootnoteReference">
    <w:name w:val="footnote reference"/>
    <w:basedOn w:val="DefaultParagraphFont"/>
    <w:uiPriority w:val="99"/>
    <w:unhideWhenUsed/>
    <w:rsid w:val="00531631"/>
    <w:rPr>
      <w:vertAlign w:val="superscript"/>
    </w:rPr>
  </w:style>
  <w:style w:type="character" w:styleId="CommentReference">
    <w:name w:val="annotation reference"/>
    <w:basedOn w:val="DefaultParagraphFont"/>
    <w:semiHidden/>
    <w:unhideWhenUsed/>
    <w:rsid w:val="00E7606B"/>
    <w:rPr>
      <w:sz w:val="16"/>
      <w:szCs w:val="16"/>
    </w:rPr>
  </w:style>
  <w:style w:type="paragraph" w:styleId="CommentText">
    <w:name w:val="annotation text"/>
    <w:basedOn w:val="Normal"/>
    <w:link w:val="CommentTextChar"/>
    <w:uiPriority w:val="99"/>
    <w:unhideWhenUsed/>
    <w:rsid w:val="00E7606B"/>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E7606B"/>
    <w:rPr>
      <w:rFonts w:eastAsiaTheme="minorEastAsia"/>
      <w:sz w:val="20"/>
      <w:szCs w:val="20"/>
    </w:rPr>
  </w:style>
  <w:style w:type="paragraph" w:styleId="BalloonText">
    <w:name w:val="Balloon Text"/>
    <w:basedOn w:val="Normal"/>
    <w:link w:val="BalloonTextChar"/>
    <w:uiPriority w:val="99"/>
    <w:semiHidden/>
    <w:unhideWhenUsed/>
    <w:rsid w:val="00E7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6B"/>
    <w:rPr>
      <w:rFonts w:ascii="Tahoma" w:hAnsi="Tahoma" w:cs="Tahoma"/>
      <w:sz w:val="16"/>
      <w:szCs w:val="16"/>
    </w:rPr>
  </w:style>
  <w:style w:type="paragraph" w:styleId="Header">
    <w:name w:val="header"/>
    <w:basedOn w:val="Normal"/>
    <w:link w:val="HeaderChar"/>
    <w:unhideWhenUsed/>
    <w:rsid w:val="00D864DA"/>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rsid w:val="00D864DA"/>
    <w:rPr>
      <w:rFonts w:eastAsiaTheme="minorEastAsia"/>
    </w:rPr>
  </w:style>
  <w:style w:type="table" w:styleId="TableGrid">
    <w:name w:val="Table Grid"/>
    <w:basedOn w:val="TableNormal"/>
    <w:uiPriority w:val="59"/>
    <w:rsid w:val="00C77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1A46AF"/>
    <w:pPr>
      <w:tabs>
        <w:tab w:val="center" w:pos="4680"/>
      </w:tabs>
      <w:autoSpaceDE w:val="0"/>
      <w:autoSpaceDN w:val="0"/>
      <w:spacing w:after="0" w:line="240" w:lineRule="auto"/>
      <w:jc w:val="both"/>
    </w:pPr>
    <w:rPr>
      <w:rFonts w:ascii="Times New Roman" w:eastAsia="Times New Roman" w:hAnsi="Times New Roman" w:cs="Times New Roman"/>
      <w:i/>
      <w:iCs/>
    </w:rPr>
  </w:style>
  <w:style w:type="character" w:customStyle="1" w:styleId="BodyText2Char">
    <w:name w:val="Body Text 2 Char"/>
    <w:basedOn w:val="DefaultParagraphFont"/>
    <w:link w:val="BodyText2"/>
    <w:rsid w:val="001A46AF"/>
    <w:rPr>
      <w:rFonts w:ascii="Times New Roman" w:eastAsia="Times New Roman" w:hAnsi="Times New Roman" w:cs="Times New Roman"/>
      <w:i/>
      <w:iCs/>
    </w:rPr>
  </w:style>
  <w:style w:type="paragraph" w:styleId="BodyText">
    <w:name w:val="Body Text"/>
    <w:basedOn w:val="Normal"/>
    <w:link w:val="BodyTextChar"/>
    <w:uiPriority w:val="99"/>
    <w:unhideWhenUsed/>
    <w:rsid w:val="001A46AF"/>
    <w:pPr>
      <w:spacing w:after="120"/>
    </w:pPr>
    <w:rPr>
      <w:rFonts w:eastAsiaTheme="minorEastAsia"/>
    </w:rPr>
  </w:style>
  <w:style w:type="character" w:customStyle="1" w:styleId="BodyTextChar">
    <w:name w:val="Body Text Char"/>
    <w:basedOn w:val="DefaultParagraphFont"/>
    <w:link w:val="BodyText"/>
    <w:uiPriority w:val="99"/>
    <w:rsid w:val="001A46AF"/>
    <w:rPr>
      <w:rFonts w:eastAsiaTheme="minorEastAsia"/>
    </w:rPr>
  </w:style>
  <w:style w:type="paragraph" w:styleId="BodyTextIndent">
    <w:name w:val="Body Text Indent"/>
    <w:basedOn w:val="Normal"/>
    <w:link w:val="BodyTextIndentChar"/>
    <w:uiPriority w:val="99"/>
    <w:unhideWhenUsed/>
    <w:rsid w:val="001A46AF"/>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1A46AF"/>
    <w:rPr>
      <w:rFonts w:eastAsiaTheme="minorEastAsia"/>
    </w:rPr>
  </w:style>
  <w:style w:type="paragraph" w:customStyle="1" w:styleId="Style1">
    <w:name w:val="Style1"/>
    <w:basedOn w:val="Normal"/>
    <w:rsid w:val="001A46AF"/>
    <w:pPr>
      <w:tabs>
        <w:tab w:val="left" w:pos="720"/>
        <w:tab w:val="decimal" w:leader="dot" w:pos="9000"/>
      </w:tabs>
      <w:spacing w:before="120" w:after="0" w:line="240" w:lineRule="auto"/>
      <w:ind w:left="360" w:hanging="360"/>
    </w:pPr>
    <w:rPr>
      <w:rFonts w:ascii="Times New Roman" w:eastAsia="Times New Roman" w:hAnsi="Times New Roman" w:cs="Times New Roman"/>
      <w:sz w:val="24"/>
      <w:szCs w:val="20"/>
    </w:rPr>
  </w:style>
  <w:style w:type="paragraph" w:styleId="BodyTextIndent3">
    <w:name w:val="Body Text Indent 3"/>
    <w:basedOn w:val="Normal"/>
    <w:link w:val="BodyTextIndent3Char"/>
    <w:uiPriority w:val="99"/>
    <w:unhideWhenUsed/>
    <w:rsid w:val="001A46AF"/>
    <w:pPr>
      <w:spacing w:after="120"/>
      <w:ind w:left="360"/>
    </w:pPr>
    <w:rPr>
      <w:rFonts w:eastAsiaTheme="minorEastAsia"/>
      <w:sz w:val="16"/>
      <w:szCs w:val="16"/>
    </w:rPr>
  </w:style>
  <w:style w:type="character" w:customStyle="1" w:styleId="BodyTextIndent3Char">
    <w:name w:val="Body Text Indent 3 Char"/>
    <w:basedOn w:val="DefaultParagraphFont"/>
    <w:link w:val="BodyTextIndent3"/>
    <w:uiPriority w:val="99"/>
    <w:rsid w:val="001A46AF"/>
    <w:rPr>
      <w:rFonts w:eastAsiaTheme="minorEastAsia"/>
      <w:sz w:val="16"/>
      <w:szCs w:val="16"/>
    </w:rPr>
  </w:style>
  <w:style w:type="character" w:styleId="Strong">
    <w:name w:val="Strong"/>
    <w:basedOn w:val="DefaultParagraphFont"/>
    <w:uiPriority w:val="22"/>
    <w:qFormat/>
    <w:rsid w:val="001A46AF"/>
    <w:rPr>
      <w:b/>
      <w:bCs/>
      <w:strike w:val="0"/>
      <w:dstrike w:val="0"/>
      <w:color w:val="008AA1"/>
      <w:u w:val="none"/>
      <w:effect w:val="none"/>
    </w:rPr>
  </w:style>
  <w:style w:type="paragraph" w:styleId="Quote">
    <w:name w:val="Quote"/>
    <w:basedOn w:val="Normal"/>
    <w:next w:val="Normal"/>
    <w:link w:val="QuoteChar"/>
    <w:uiPriority w:val="29"/>
    <w:qFormat/>
    <w:rsid w:val="001A46AF"/>
    <w:rPr>
      <w:rFonts w:eastAsiaTheme="minorEastAsia"/>
      <w:i/>
      <w:iCs/>
      <w:color w:val="000000" w:themeColor="text1"/>
    </w:rPr>
  </w:style>
  <w:style w:type="character" w:customStyle="1" w:styleId="QuoteChar">
    <w:name w:val="Quote Char"/>
    <w:basedOn w:val="DefaultParagraphFont"/>
    <w:link w:val="Quote"/>
    <w:uiPriority w:val="29"/>
    <w:rsid w:val="001A46AF"/>
    <w:rPr>
      <w:rFonts w:eastAsiaTheme="minorEastAsia"/>
      <w:i/>
      <w:iCs/>
      <w:color w:val="000000" w:themeColor="text1"/>
    </w:rPr>
  </w:style>
  <w:style w:type="paragraph" w:styleId="Footer">
    <w:name w:val="footer"/>
    <w:basedOn w:val="Normal"/>
    <w:link w:val="FooterChar"/>
    <w:uiPriority w:val="99"/>
    <w:unhideWhenUsed/>
    <w:rsid w:val="001A4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6AF"/>
  </w:style>
  <w:style w:type="paragraph" w:styleId="CommentSubject">
    <w:name w:val="annotation subject"/>
    <w:basedOn w:val="CommentText"/>
    <w:next w:val="CommentText"/>
    <w:link w:val="CommentSubjectChar"/>
    <w:uiPriority w:val="99"/>
    <w:semiHidden/>
    <w:unhideWhenUsed/>
    <w:rsid w:val="002A3EF6"/>
    <w:rPr>
      <w:rFonts w:eastAsiaTheme="minorHAnsi"/>
      <w:b/>
      <w:bCs/>
    </w:rPr>
  </w:style>
  <w:style w:type="character" w:customStyle="1" w:styleId="CommentSubjectChar">
    <w:name w:val="Comment Subject Char"/>
    <w:basedOn w:val="CommentTextChar"/>
    <w:link w:val="CommentSubject"/>
    <w:uiPriority w:val="99"/>
    <w:semiHidden/>
    <w:rsid w:val="002A3EF6"/>
    <w:rPr>
      <w:rFonts w:eastAsiaTheme="minorEastAsia"/>
      <w:b/>
      <w:bCs/>
      <w:sz w:val="20"/>
      <w:szCs w:val="20"/>
    </w:rPr>
  </w:style>
  <w:style w:type="character" w:styleId="Hyperlink">
    <w:name w:val="Hyperlink"/>
    <w:basedOn w:val="DefaultParagraphFont"/>
    <w:uiPriority w:val="99"/>
    <w:unhideWhenUsed/>
    <w:rsid w:val="006D53E2"/>
    <w:rPr>
      <w:color w:val="0000FF" w:themeColor="hyperlink"/>
      <w:u w:val="single"/>
    </w:rPr>
  </w:style>
  <w:style w:type="paragraph" w:styleId="Revision">
    <w:name w:val="Revision"/>
    <w:hidden/>
    <w:uiPriority w:val="99"/>
    <w:semiHidden/>
    <w:rsid w:val="00746D1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631"/>
    <w:pPr>
      <w:ind w:left="720"/>
      <w:contextualSpacing/>
    </w:pPr>
  </w:style>
  <w:style w:type="paragraph" w:styleId="FootnoteText">
    <w:name w:val="footnote text"/>
    <w:basedOn w:val="Normal"/>
    <w:link w:val="FootnoteTextChar"/>
    <w:uiPriority w:val="99"/>
    <w:unhideWhenUsed/>
    <w:rsid w:val="00531631"/>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31631"/>
    <w:rPr>
      <w:rFonts w:eastAsiaTheme="minorEastAsia"/>
      <w:sz w:val="20"/>
      <w:szCs w:val="20"/>
    </w:rPr>
  </w:style>
  <w:style w:type="character" w:styleId="FootnoteReference">
    <w:name w:val="footnote reference"/>
    <w:basedOn w:val="DefaultParagraphFont"/>
    <w:uiPriority w:val="99"/>
    <w:unhideWhenUsed/>
    <w:rsid w:val="00531631"/>
    <w:rPr>
      <w:vertAlign w:val="superscript"/>
    </w:rPr>
  </w:style>
  <w:style w:type="character" w:styleId="CommentReference">
    <w:name w:val="annotation reference"/>
    <w:basedOn w:val="DefaultParagraphFont"/>
    <w:semiHidden/>
    <w:unhideWhenUsed/>
    <w:rsid w:val="00E7606B"/>
    <w:rPr>
      <w:sz w:val="16"/>
      <w:szCs w:val="16"/>
    </w:rPr>
  </w:style>
  <w:style w:type="paragraph" w:styleId="CommentText">
    <w:name w:val="annotation text"/>
    <w:basedOn w:val="Normal"/>
    <w:link w:val="CommentTextChar"/>
    <w:uiPriority w:val="99"/>
    <w:unhideWhenUsed/>
    <w:rsid w:val="00E7606B"/>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E7606B"/>
    <w:rPr>
      <w:rFonts w:eastAsiaTheme="minorEastAsia"/>
      <w:sz w:val="20"/>
      <w:szCs w:val="20"/>
    </w:rPr>
  </w:style>
  <w:style w:type="paragraph" w:styleId="BalloonText">
    <w:name w:val="Balloon Text"/>
    <w:basedOn w:val="Normal"/>
    <w:link w:val="BalloonTextChar"/>
    <w:uiPriority w:val="99"/>
    <w:semiHidden/>
    <w:unhideWhenUsed/>
    <w:rsid w:val="00E7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6B"/>
    <w:rPr>
      <w:rFonts w:ascii="Tahoma" w:hAnsi="Tahoma" w:cs="Tahoma"/>
      <w:sz w:val="16"/>
      <w:szCs w:val="16"/>
    </w:rPr>
  </w:style>
  <w:style w:type="paragraph" w:styleId="Header">
    <w:name w:val="header"/>
    <w:basedOn w:val="Normal"/>
    <w:link w:val="HeaderChar"/>
    <w:unhideWhenUsed/>
    <w:rsid w:val="00D864DA"/>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rsid w:val="00D864DA"/>
    <w:rPr>
      <w:rFonts w:eastAsiaTheme="minorEastAsia"/>
    </w:rPr>
  </w:style>
  <w:style w:type="table" w:styleId="TableGrid">
    <w:name w:val="Table Grid"/>
    <w:basedOn w:val="TableNormal"/>
    <w:uiPriority w:val="59"/>
    <w:rsid w:val="00C77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1A46AF"/>
    <w:pPr>
      <w:tabs>
        <w:tab w:val="center" w:pos="4680"/>
      </w:tabs>
      <w:autoSpaceDE w:val="0"/>
      <w:autoSpaceDN w:val="0"/>
      <w:spacing w:after="0" w:line="240" w:lineRule="auto"/>
      <w:jc w:val="both"/>
    </w:pPr>
    <w:rPr>
      <w:rFonts w:ascii="Times New Roman" w:eastAsia="Times New Roman" w:hAnsi="Times New Roman" w:cs="Times New Roman"/>
      <w:i/>
      <w:iCs/>
    </w:rPr>
  </w:style>
  <w:style w:type="character" w:customStyle="1" w:styleId="BodyText2Char">
    <w:name w:val="Body Text 2 Char"/>
    <w:basedOn w:val="DefaultParagraphFont"/>
    <w:link w:val="BodyText2"/>
    <w:rsid w:val="001A46AF"/>
    <w:rPr>
      <w:rFonts w:ascii="Times New Roman" w:eastAsia="Times New Roman" w:hAnsi="Times New Roman" w:cs="Times New Roman"/>
      <w:i/>
      <w:iCs/>
    </w:rPr>
  </w:style>
  <w:style w:type="paragraph" w:styleId="BodyText">
    <w:name w:val="Body Text"/>
    <w:basedOn w:val="Normal"/>
    <w:link w:val="BodyTextChar"/>
    <w:uiPriority w:val="99"/>
    <w:unhideWhenUsed/>
    <w:rsid w:val="001A46AF"/>
    <w:pPr>
      <w:spacing w:after="120"/>
    </w:pPr>
    <w:rPr>
      <w:rFonts w:eastAsiaTheme="minorEastAsia"/>
    </w:rPr>
  </w:style>
  <w:style w:type="character" w:customStyle="1" w:styleId="BodyTextChar">
    <w:name w:val="Body Text Char"/>
    <w:basedOn w:val="DefaultParagraphFont"/>
    <w:link w:val="BodyText"/>
    <w:uiPriority w:val="99"/>
    <w:rsid w:val="001A46AF"/>
    <w:rPr>
      <w:rFonts w:eastAsiaTheme="minorEastAsia"/>
    </w:rPr>
  </w:style>
  <w:style w:type="paragraph" w:styleId="BodyTextIndent">
    <w:name w:val="Body Text Indent"/>
    <w:basedOn w:val="Normal"/>
    <w:link w:val="BodyTextIndentChar"/>
    <w:uiPriority w:val="99"/>
    <w:unhideWhenUsed/>
    <w:rsid w:val="001A46AF"/>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1A46AF"/>
    <w:rPr>
      <w:rFonts w:eastAsiaTheme="minorEastAsia"/>
    </w:rPr>
  </w:style>
  <w:style w:type="paragraph" w:customStyle="1" w:styleId="Style1">
    <w:name w:val="Style1"/>
    <w:basedOn w:val="Normal"/>
    <w:rsid w:val="001A46AF"/>
    <w:pPr>
      <w:tabs>
        <w:tab w:val="left" w:pos="720"/>
        <w:tab w:val="decimal" w:leader="dot" w:pos="9000"/>
      </w:tabs>
      <w:spacing w:before="120" w:after="0" w:line="240" w:lineRule="auto"/>
      <w:ind w:left="360" w:hanging="360"/>
    </w:pPr>
    <w:rPr>
      <w:rFonts w:ascii="Times New Roman" w:eastAsia="Times New Roman" w:hAnsi="Times New Roman" w:cs="Times New Roman"/>
      <w:sz w:val="24"/>
      <w:szCs w:val="20"/>
    </w:rPr>
  </w:style>
  <w:style w:type="paragraph" w:styleId="BodyTextIndent3">
    <w:name w:val="Body Text Indent 3"/>
    <w:basedOn w:val="Normal"/>
    <w:link w:val="BodyTextIndent3Char"/>
    <w:uiPriority w:val="99"/>
    <w:unhideWhenUsed/>
    <w:rsid w:val="001A46AF"/>
    <w:pPr>
      <w:spacing w:after="120"/>
      <w:ind w:left="360"/>
    </w:pPr>
    <w:rPr>
      <w:rFonts w:eastAsiaTheme="minorEastAsia"/>
      <w:sz w:val="16"/>
      <w:szCs w:val="16"/>
    </w:rPr>
  </w:style>
  <w:style w:type="character" w:customStyle="1" w:styleId="BodyTextIndent3Char">
    <w:name w:val="Body Text Indent 3 Char"/>
    <w:basedOn w:val="DefaultParagraphFont"/>
    <w:link w:val="BodyTextIndent3"/>
    <w:uiPriority w:val="99"/>
    <w:rsid w:val="001A46AF"/>
    <w:rPr>
      <w:rFonts w:eastAsiaTheme="minorEastAsia"/>
      <w:sz w:val="16"/>
      <w:szCs w:val="16"/>
    </w:rPr>
  </w:style>
  <w:style w:type="character" w:styleId="Strong">
    <w:name w:val="Strong"/>
    <w:basedOn w:val="DefaultParagraphFont"/>
    <w:uiPriority w:val="22"/>
    <w:qFormat/>
    <w:rsid w:val="001A46AF"/>
    <w:rPr>
      <w:b/>
      <w:bCs/>
      <w:strike w:val="0"/>
      <w:dstrike w:val="0"/>
      <w:color w:val="008AA1"/>
      <w:u w:val="none"/>
      <w:effect w:val="none"/>
    </w:rPr>
  </w:style>
  <w:style w:type="paragraph" w:styleId="Quote">
    <w:name w:val="Quote"/>
    <w:basedOn w:val="Normal"/>
    <w:next w:val="Normal"/>
    <w:link w:val="QuoteChar"/>
    <w:uiPriority w:val="29"/>
    <w:qFormat/>
    <w:rsid w:val="001A46AF"/>
    <w:rPr>
      <w:rFonts w:eastAsiaTheme="minorEastAsia"/>
      <w:i/>
      <w:iCs/>
      <w:color w:val="000000" w:themeColor="text1"/>
    </w:rPr>
  </w:style>
  <w:style w:type="character" w:customStyle="1" w:styleId="QuoteChar">
    <w:name w:val="Quote Char"/>
    <w:basedOn w:val="DefaultParagraphFont"/>
    <w:link w:val="Quote"/>
    <w:uiPriority w:val="29"/>
    <w:rsid w:val="001A46AF"/>
    <w:rPr>
      <w:rFonts w:eastAsiaTheme="minorEastAsia"/>
      <w:i/>
      <w:iCs/>
      <w:color w:val="000000" w:themeColor="text1"/>
    </w:rPr>
  </w:style>
  <w:style w:type="paragraph" w:styleId="Footer">
    <w:name w:val="footer"/>
    <w:basedOn w:val="Normal"/>
    <w:link w:val="FooterChar"/>
    <w:uiPriority w:val="99"/>
    <w:unhideWhenUsed/>
    <w:rsid w:val="001A4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6AF"/>
  </w:style>
  <w:style w:type="paragraph" w:styleId="CommentSubject">
    <w:name w:val="annotation subject"/>
    <w:basedOn w:val="CommentText"/>
    <w:next w:val="CommentText"/>
    <w:link w:val="CommentSubjectChar"/>
    <w:uiPriority w:val="99"/>
    <w:semiHidden/>
    <w:unhideWhenUsed/>
    <w:rsid w:val="002A3EF6"/>
    <w:rPr>
      <w:rFonts w:eastAsiaTheme="minorHAnsi"/>
      <w:b/>
      <w:bCs/>
    </w:rPr>
  </w:style>
  <w:style w:type="character" w:customStyle="1" w:styleId="CommentSubjectChar">
    <w:name w:val="Comment Subject Char"/>
    <w:basedOn w:val="CommentTextChar"/>
    <w:link w:val="CommentSubject"/>
    <w:uiPriority w:val="99"/>
    <w:semiHidden/>
    <w:rsid w:val="002A3EF6"/>
    <w:rPr>
      <w:rFonts w:eastAsiaTheme="minorEastAsia"/>
      <w:b/>
      <w:bCs/>
      <w:sz w:val="20"/>
      <w:szCs w:val="20"/>
    </w:rPr>
  </w:style>
  <w:style w:type="character" w:styleId="Hyperlink">
    <w:name w:val="Hyperlink"/>
    <w:basedOn w:val="DefaultParagraphFont"/>
    <w:uiPriority w:val="99"/>
    <w:unhideWhenUsed/>
    <w:rsid w:val="006D53E2"/>
    <w:rPr>
      <w:color w:val="0000FF" w:themeColor="hyperlink"/>
      <w:u w:val="single"/>
    </w:rPr>
  </w:style>
  <w:style w:type="paragraph" w:styleId="Revision">
    <w:name w:val="Revision"/>
    <w:hidden/>
    <w:uiPriority w:val="99"/>
    <w:semiHidden/>
    <w:rsid w:val="00746D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b:Source>
    <b:Tag>Fly13</b:Tag>
    <b:SourceType>JournalArticle</b:SourceType>
    <b:Guid>{78E1DA3E-3D8F-4EA1-9628-2A4EF14B9F72}</b:Guid>
    <b:LCID>uz-Cyrl-UZ</b:LCID>
    <b:Author>
      <b:Author>
        <b:NameList>
          <b:Person>
            <b:Last>Flynn KE</b:Last>
            <b:First>Hahn</b:First>
            <b:Middle>CL, Kramer JM, Check DK, Dombeck CB, et al</b:Middle>
          </b:Person>
        </b:NameList>
      </b:Author>
    </b:Author>
    <b:Title>Using Central IRBs for Multicenter Clinical Trials in the United States</b:Title>
    <b:Year>2013 </b:Year>
    <b:JournalName>PLoS ONE</b:JournalName>
    <b:Pages> 8(1): e54999. doi: 10.1371/journal.pone.0054999</b:Pages>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0B7360-DCA8-034D-AFEF-4A16D9DA291F}">
  <ds:schemaRefs>
    <ds:schemaRef ds:uri="http://schemas.openxmlformats.org/officeDocument/2006/bibliography"/>
  </ds:schemaRefs>
</ds:datastoreItem>
</file>

<file path=customXml/itemProps2.xml><?xml version="1.0" encoding="utf-8"?>
<ds:datastoreItem xmlns:ds="http://schemas.openxmlformats.org/officeDocument/2006/customXml" ds:itemID="{A69FEC81-D1A9-4F88-B75C-B3364D66AD79}"/>
</file>

<file path=customXml/itemProps3.xml><?xml version="1.0" encoding="utf-8"?>
<ds:datastoreItem xmlns:ds="http://schemas.openxmlformats.org/officeDocument/2006/customXml" ds:itemID="{5C241AB6-CDB6-4BE8-A346-F607B8857EF2}"/>
</file>

<file path=customXml/itemProps4.xml><?xml version="1.0" encoding="utf-8"?>
<ds:datastoreItem xmlns:ds="http://schemas.openxmlformats.org/officeDocument/2006/customXml" ds:itemID="{2EBDB39B-D008-45AA-B9CB-0021E160CCDD}"/>
</file>

<file path=docProps/app.xml><?xml version="1.0" encoding="utf-8"?>
<Properties xmlns="http://schemas.openxmlformats.org/officeDocument/2006/extended-properties" xmlns:vt="http://schemas.openxmlformats.org/officeDocument/2006/docPropsVTypes">
  <Template>Normal.dotm</Template>
  <TotalTime>0</TotalTime>
  <Pages>11</Pages>
  <Words>3519</Words>
  <Characters>20059</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2015-04-27T03:40:00Z</dcterms:created>
  <dcterms:modified xsi:type="dcterms:W3CDTF">2015-04-27T13:17:00Z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