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84D10" w14:textId="77777777" w:rsidR="00CF37A3" w:rsidRDefault="006C56C7">
      <w:pPr>
        <w:spacing w:after="380"/>
        <w:ind w:left="25"/>
      </w:pPr>
      <w:r>
        <w:rPr>
          <w:noProof/>
        </w:rPr>
        <mc:AlternateContent>
          <mc:Choice Requires="wpg">
            <w:drawing>
              <wp:inline distT="0" distB="0" distL="0" distR="0" wp14:anchorId="273E869B" wp14:editId="24BEA30E">
                <wp:extent cx="1741712" cy="304788"/>
                <wp:effectExtent l="0" t="0" r="0" b="0"/>
                <wp:docPr id="55496" name="Group 55496"/>
                <wp:cNvGraphicFramePr/>
                <a:graphic xmlns:a="http://schemas.openxmlformats.org/drawingml/2006/main">
                  <a:graphicData uri="http://schemas.microsoft.com/office/word/2010/wordprocessingGroup">
                    <wpg:wgp>
                      <wpg:cNvGrpSpPr/>
                      <wpg:grpSpPr>
                        <a:xfrm>
                          <a:off x="0" y="0"/>
                          <a:ext cx="1741712" cy="304788"/>
                          <a:chOff x="0" y="0"/>
                          <a:chExt cx="1741712" cy="304788"/>
                        </a:xfrm>
                      </wpg:grpSpPr>
                      <wps:wsp>
                        <wps:cNvPr id="135" name="Shape 135"/>
                        <wps:cNvSpPr/>
                        <wps:spPr>
                          <a:xfrm>
                            <a:off x="0" y="212"/>
                            <a:ext cx="304648" cy="220218"/>
                          </a:xfrm>
                          <a:custGeom>
                            <a:avLst/>
                            <a:gdLst/>
                            <a:ahLst/>
                            <a:cxnLst/>
                            <a:rect l="0" t="0" r="0" b="0"/>
                            <a:pathLst>
                              <a:path w="304648" h="220218">
                                <a:moveTo>
                                  <a:pt x="91567" y="0"/>
                                </a:moveTo>
                                <a:lnTo>
                                  <a:pt x="304648" y="51"/>
                                </a:lnTo>
                                <a:lnTo>
                                  <a:pt x="304648" y="109944"/>
                                </a:lnTo>
                                <a:cubicBezTo>
                                  <a:pt x="277520" y="99860"/>
                                  <a:pt x="248171" y="94323"/>
                                  <a:pt x="217526" y="94323"/>
                                </a:cubicBezTo>
                                <a:cubicBezTo>
                                  <a:pt x="124612" y="94323"/>
                                  <a:pt x="43586" y="145021"/>
                                  <a:pt x="445" y="220218"/>
                                </a:cubicBezTo>
                                <a:lnTo>
                                  <a:pt x="0" y="91580"/>
                                </a:lnTo>
                                <a:cubicBezTo>
                                  <a:pt x="0" y="40996"/>
                                  <a:pt x="40996" y="0"/>
                                  <a:pt x="915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1750" y="107099"/>
                            <a:ext cx="302755" cy="197688"/>
                          </a:xfrm>
                          <a:custGeom>
                            <a:avLst/>
                            <a:gdLst/>
                            <a:ahLst/>
                            <a:cxnLst/>
                            <a:rect l="0" t="0" r="0" b="0"/>
                            <a:pathLst>
                              <a:path w="302755" h="197688">
                                <a:moveTo>
                                  <a:pt x="244323" y="0"/>
                                </a:moveTo>
                                <a:cubicBezTo>
                                  <a:pt x="264452" y="0"/>
                                  <a:pt x="284010" y="2438"/>
                                  <a:pt x="302755" y="6947"/>
                                </a:cubicBezTo>
                                <a:lnTo>
                                  <a:pt x="302755" y="197688"/>
                                </a:lnTo>
                                <a:lnTo>
                                  <a:pt x="0" y="197688"/>
                                </a:lnTo>
                                <a:cubicBezTo>
                                  <a:pt x="23978" y="84760"/>
                                  <a:pt x="124231" y="0"/>
                                  <a:pt x="2443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333108" y="1523"/>
                            <a:ext cx="67958" cy="81890"/>
                          </a:xfrm>
                          <a:custGeom>
                            <a:avLst/>
                            <a:gdLst/>
                            <a:ahLst/>
                            <a:cxnLst/>
                            <a:rect l="0" t="0" r="0" b="0"/>
                            <a:pathLst>
                              <a:path w="67958" h="81890">
                                <a:moveTo>
                                  <a:pt x="3061" y="0"/>
                                </a:moveTo>
                                <a:lnTo>
                                  <a:pt x="67958" y="0"/>
                                </a:lnTo>
                                <a:cubicBezTo>
                                  <a:pt x="64757" y="4978"/>
                                  <a:pt x="60541" y="6515"/>
                                  <a:pt x="54153" y="6515"/>
                                </a:cubicBezTo>
                                <a:lnTo>
                                  <a:pt x="38570" y="6642"/>
                                </a:lnTo>
                                <a:cubicBezTo>
                                  <a:pt x="38062" y="20053"/>
                                  <a:pt x="37935" y="32068"/>
                                  <a:pt x="37935" y="42672"/>
                                </a:cubicBezTo>
                                <a:cubicBezTo>
                                  <a:pt x="37935" y="65786"/>
                                  <a:pt x="37935" y="78562"/>
                                  <a:pt x="41123" y="81890"/>
                                </a:cubicBezTo>
                                <a:lnTo>
                                  <a:pt x="23749" y="81890"/>
                                </a:lnTo>
                                <a:cubicBezTo>
                                  <a:pt x="26822" y="78689"/>
                                  <a:pt x="26949" y="66942"/>
                                  <a:pt x="26949" y="45860"/>
                                </a:cubicBezTo>
                                <a:lnTo>
                                  <a:pt x="26949" y="40881"/>
                                </a:lnTo>
                                <a:cubicBezTo>
                                  <a:pt x="26949" y="30277"/>
                                  <a:pt x="26822" y="19037"/>
                                  <a:pt x="26187" y="6896"/>
                                </a:cubicBezTo>
                                <a:lnTo>
                                  <a:pt x="12637" y="6896"/>
                                </a:lnTo>
                                <a:cubicBezTo>
                                  <a:pt x="8166" y="6896"/>
                                  <a:pt x="4216" y="7277"/>
                                  <a:pt x="0" y="10096"/>
                                </a:cubicBezTo>
                                <a:lnTo>
                                  <a:pt x="30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406555" y="1528"/>
                            <a:ext cx="66561" cy="81877"/>
                          </a:xfrm>
                          <a:custGeom>
                            <a:avLst/>
                            <a:gdLst/>
                            <a:ahLst/>
                            <a:cxnLst/>
                            <a:rect l="0" t="0" r="0" b="0"/>
                            <a:pathLst>
                              <a:path w="66561" h="81877">
                                <a:moveTo>
                                  <a:pt x="0" y="0"/>
                                </a:moveTo>
                                <a:lnTo>
                                  <a:pt x="17374" y="0"/>
                                </a:lnTo>
                                <a:cubicBezTo>
                                  <a:pt x="14173" y="3569"/>
                                  <a:pt x="14173" y="13792"/>
                                  <a:pt x="14173" y="31547"/>
                                </a:cubicBezTo>
                                <a:lnTo>
                                  <a:pt x="14173" y="35763"/>
                                </a:lnTo>
                                <a:lnTo>
                                  <a:pt x="52375" y="35763"/>
                                </a:lnTo>
                                <a:lnTo>
                                  <a:pt x="52375" y="31547"/>
                                </a:lnTo>
                                <a:cubicBezTo>
                                  <a:pt x="52375" y="13792"/>
                                  <a:pt x="52248" y="3569"/>
                                  <a:pt x="49047" y="0"/>
                                </a:cubicBezTo>
                                <a:lnTo>
                                  <a:pt x="66561" y="0"/>
                                </a:lnTo>
                                <a:cubicBezTo>
                                  <a:pt x="63487" y="3061"/>
                                  <a:pt x="63360" y="14808"/>
                                  <a:pt x="63360" y="35890"/>
                                </a:cubicBezTo>
                                <a:lnTo>
                                  <a:pt x="63360" y="45860"/>
                                </a:lnTo>
                                <a:cubicBezTo>
                                  <a:pt x="63360" y="66929"/>
                                  <a:pt x="63487" y="78816"/>
                                  <a:pt x="66561" y="81877"/>
                                </a:cubicBezTo>
                                <a:lnTo>
                                  <a:pt x="49047" y="81877"/>
                                </a:lnTo>
                                <a:cubicBezTo>
                                  <a:pt x="52121" y="78296"/>
                                  <a:pt x="52375" y="67958"/>
                                  <a:pt x="52375" y="50203"/>
                                </a:cubicBezTo>
                                <a:lnTo>
                                  <a:pt x="52375" y="40488"/>
                                </a:lnTo>
                                <a:lnTo>
                                  <a:pt x="14173" y="40488"/>
                                </a:lnTo>
                                <a:lnTo>
                                  <a:pt x="14173" y="50203"/>
                                </a:lnTo>
                                <a:cubicBezTo>
                                  <a:pt x="14173" y="67958"/>
                                  <a:pt x="14173" y="78296"/>
                                  <a:pt x="17374" y="81877"/>
                                </a:cubicBezTo>
                                <a:lnTo>
                                  <a:pt x="0" y="81877"/>
                                </a:lnTo>
                                <a:cubicBezTo>
                                  <a:pt x="3061" y="78689"/>
                                  <a:pt x="3188" y="66421"/>
                                  <a:pt x="3188" y="44450"/>
                                </a:cubicBezTo>
                                <a:lnTo>
                                  <a:pt x="3188" y="39205"/>
                                </a:lnTo>
                                <a:cubicBezTo>
                                  <a:pt x="3188" y="16218"/>
                                  <a:pt x="3188" y="331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486004" y="1133"/>
                            <a:ext cx="51613" cy="82525"/>
                          </a:xfrm>
                          <a:custGeom>
                            <a:avLst/>
                            <a:gdLst/>
                            <a:ahLst/>
                            <a:cxnLst/>
                            <a:rect l="0" t="0" r="0" b="0"/>
                            <a:pathLst>
                              <a:path w="51613" h="82525">
                                <a:moveTo>
                                  <a:pt x="40246" y="0"/>
                                </a:moveTo>
                                <a:cubicBezTo>
                                  <a:pt x="40754" y="0"/>
                                  <a:pt x="42164" y="127"/>
                                  <a:pt x="44717" y="127"/>
                                </a:cubicBezTo>
                                <a:lnTo>
                                  <a:pt x="45733" y="12141"/>
                                </a:lnTo>
                                <a:cubicBezTo>
                                  <a:pt x="43307" y="5753"/>
                                  <a:pt x="35903" y="5118"/>
                                  <a:pt x="22492" y="5118"/>
                                </a:cubicBezTo>
                                <a:lnTo>
                                  <a:pt x="15329" y="5118"/>
                                </a:lnTo>
                                <a:cubicBezTo>
                                  <a:pt x="14440" y="9080"/>
                                  <a:pt x="14186" y="18021"/>
                                  <a:pt x="14186" y="31940"/>
                                </a:cubicBezTo>
                                <a:lnTo>
                                  <a:pt x="14186" y="36157"/>
                                </a:lnTo>
                                <a:cubicBezTo>
                                  <a:pt x="17132" y="36411"/>
                                  <a:pt x="20447" y="36411"/>
                                  <a:pt x="24155" y="36411"/>
                                </a:cubicBezTo>
                                <a:cubicBezTo>
                                  <a:pt x="32334" y="36411"/>
                                  <a:pt x="39611" y="36157"/>
                                  <a:pt x="45999" y="35001"/>
                                </a:cubicBezTo>
                                <a:cubicBezTo>
                                  <a:pt x="39992" y="41910"/>
                                  <a:pt x="30671" y="42418"/>
                                  <a:pt x="17513" y="42418"/>
                                </a:cubicBezTo>
                                <a:cubicBezTo>
                                  <a:pt x="16739" y="42418"/>
                                  <a:pt x="15596" y="42291"/>
                                  <a:pt x="14186" y="42291"/>
                                </a:cubicBezTo>
                                <a:lnTo>
                                  <a:pt x="14186" y="50597"/>
                                </a:lnTo>
                                <a:cubicBezTo>
                                  <a:pt x="14186" y="64516"/>
                                  <a:pt x="14440" y="73584"/>
                                  <a:pt x="15329" y="77546"/>
                                </a:cubicBezTo>
                                <a:lnTo>
                                  <a:pt x="22746" y="77546"/>
                                </a:lnTo>
                                <a:cubicBezTo>
                                  <a:pt x="37186" y="77546"/>
                                  <a:pt x="46253" y="76010"/>
                                  <a:pt x="51613" y="68732"/>
                                </a:cubicBezTo>
                                <a:lnTo>
                                  <a:pt x="49441" y="81509"/>
                                </a:lnTo>
                                <a:cubicBezTo>
                                  <a:pt x="46126" y="82144"/>
                                  <a:pt x="41783" y="82525"/>
                                  <a:pt x="36665" y="82525"/>
                                </a:cubicBezTo>
                                <a:cubicBezTo>
                                  <a:pt x="29896" y="82525"/>
                                  <a:pt x="21209" y="82271"/>
                                  <a:pt x="10477" y="82271"/>
                                </a:cubicBezTo>
                                <a:lnTo>
                                  <a:pt x="0" y="82271"/>
                                </a:lnTo>
                                <a:cubicBezTo>
                                  <a:pt x="3073" y="79083"/>
                                  <a:pt x="3200" y="66815"/>
                                  <a:pt x="3200" y="44844"/>
                                </a:cubicBezTo>
                                <a:lnTo>
                                  <a:pt x="3200" y="39611"/>
                                </a:lnTo>
                                <a:cubicBezTo>
                                  <a:pt x="3200" y="16612"/>
                                  <a:pt x="3200" y="3708"/>
                                  <a:pt x="0" y="394"/>
                                </a:cubicBezTo>
                                <a:lnTo>
                                  <a:pt x="7925" y="394"/>
                                </a:lnTo>
                                <a:cubicBezTo>
                                  <a:pt x="22873" y="394"/>
                                  <a:pt x="33604" y="0"/>
                                  <a:pt x="402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577477" y="0"/>
                            <a:ext cx="74092" cy="84932"/>
                          </a:xfrm>
                          <a:custGeom>
                            <a:avLst/>
                            <a:gdLst/>
                            <a:ahLst/>
                            <a:cxnLst/>
                            <a:rect l="0" t="0" r="0" b="0"/>
                            <a:pathLst>
                              <a:path w="74092" h="84932">
                                <a:moveTo>
                                  <a:pt x="50967" y="0"/>
                                </a:moveTo>
                                <a:lnTo>
                                  <a:pt x="51333" y="0"/>
                                </a:lnTo>
                                <a:lnTo>
                                  <a:pt x="71158" y="1518"/>
                                </a:lnTo>
                                <a:lnTo>
                                  <a:pt x="71031" y="16466"/>
                                </a:lnTo>
                                <a:cubicBezTo>
                                  <a:pt x="64770" y="9443"/>
                                  <a:pt x="56464" y="5862"/>
                                  <a:pt x="46241" y="5862"/>
                                </a:cubicBezTo>
                                <a:cubicBezTo>
                                  <a:pt x="26060" y="5862"/>
                                  <a:pt x="13284" y="19921"/>
                                  <a:pt x="13284" y="42654"/>
                                </a:cubicBezTo>
                                <a:cubicBezTo>
                                  <a:pt x="13284" y="65653"/>
                                  <a:pt x="27203" y="78683"/>
                                  <a:pt x="49695" y="78683"/>
                                </a:cubicBezTo>
                                <a:cubicBezTo>
                                  <a:pt x="53010" y="78683"/>
                                  <a:pt x="56083" y="78430"/>
                                  <a:pt x="59144" y="77655"/>
                                </a:cubicBezTo>
                                <a:cubicBezTo>
                                  <a:pt x="59906" y="72930"/>
                                  <a:pt x="60173" y="67952"/>
                                  <a:pt x="60173" y="62580"/>
                                </a:cubicBezTo>
                                <a:cubicBezTo>
                                  <a:pt x="60173" y="51975"/>
                                  <a:pt x="59398" y="45206"/>
                                  <a:pt x="56972" y="42273"/>
                                </a:cubicBezTo>
                                <a:lnTo>
                                  <a:pt x="74092" y="42273"/>
                                </a:lnTo>
                                <a:cubicBezTo>
                                  <a:pt x="71412" y="46108"/>
                                  <a:pt x="71158" y="53766"/>
                                  <a:pt x="71158" y="65653"/>
                                </a:cubicBezTo>
                                <a:cubicBezTo>
                                  <a:pt x="71158" y="73311"/>
                                  <a:pt x="71285" y="79065"/>
                                  <a:pt x="72555" y="82773"/>
                                </a:cubicBezTo>
                                <a:cubicBezTo>
                                  <a:pt x="58890" y="83535"/>
                                  <a:pt x="49187" y="84932"/>
                                  <a:pt x="43434" y="84932"/>
                                </a:cubicBezTo>
                                <a:cubicBezTo>
                                  <a:pt x="15202" y="84932"/>
                                  <a:pt x="0" y="70378"/>
                                  <a:pt x="0" y="44698"/>
                                </a:cubicBezTo>
                                <a:cubicBezTo>
                                  <a:pt x="0" y="24296"/>
                                  <a:pt x="10708" y="9344"/>
                                  <a:pt x="29586" y="3143"/>
                                </a:cubicBezTo>
                                <a:lnTo>
                                  <a:pt x="50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664601" y="1133"/>
                            <a:ext cx="51600" cy="82525"/>
                          </a:xfrm>
                          <a:custGeom>
                            <a:avLst/>
                            <a:gdLst/>
                            <a:ahLst/>
                            <a:cxnLst/>
                            <a:rect l="0" t="0" r="0" b="0"/>
                            <a:pathLst>
                              <a:path w="51600" h="82525">
                                <a:moveTo>
                                  <a:pt x="40234" y="0"/>
                                </a:moveTo>
                                <a:cubicBezTo>
                                  <a:pt x="40742" y="0"/>
                                  <a:pt x="42151" y="127"/>
                                  <a:pt x="44704" y="127"/>
                                </a:cubicBezTo>
                                <a:lnTo>
                                  <a:pt x="45733" y="12141"/>
                                </a:lnTo>
                                <a:cubicBezTo>
                                  <a:pt x="43294" y="5753"/>
                                  <a:pt x="35890" y="5118"/>
                                  <a:pt x="22479" y="5118"/>
                                </a:cubicBezTo>
                                <a:lnTo>
                                  <a:pt x="15329" y="5118"/>
                                </a:lnTo>
                                <a:cubicBezTo>
                                  <a:pt x="14427" y="9080"/>
                                  <a:pt x="14173" y="18021"/>
                                  <a:pt x="14173" y="31940"/>
                                </a:cubicBezTo>
                                <a:lnTo>
                                  <a:pt x="14173" y="36157"/>
                                </a:lnTo>
                                <a:cubicBezTo>
                                  <a:pt x="17120" y="36411"/>
                                  <a:pt x="20434" y="36411"/>
                                  <a:pt x="24143" y="36411"/>
                                </a:cubicBezTo>
                                <a:cubicBezTo>
                                  <a:pt x="32309" y="36411"/>
                                  <a:pt x="39599" y="36157"/>
                                  <a:pt x="45987" y="35001"/>
                                </a:cubicBezTo>
                                <a:cubicBezTo>
                                  <a:pt x="39980" y="41910"/>
                                  <a:pt x="30658" y="42418"/>
                                  <a:pt x="17501" y="42418"/>
                                </a:cubicBezTo>
                                <a:cubicBezTo>
                                  <a:pt x="16739" y="42418"/>
                                  <a:pt x="15583" y="42291"/>
                                  <a:pt x="14173" y="42291"/>
                                </a:cubicBezTo>
                                <a:lnTo>
                                  <a:pt x="14173" y="50597"/>
                                </a:lnTo>
                                <a:cubicBezTo>
                                  <a:pt x="14173" y="64516"/>
                                  <a:pt x="14427" y="73584"/>
                                  <a:pt x="15329" y="77546"/>
                                </a:cubicBezTo>
                                <a:lnTo>
                                  <a:pt x="22733" y="77546"/>
                                </a:lnTo>
                                <a:cubicBezTo>
                                  <a:pt x="37173" y="77546"/>
                                  <a:pt x="46241" y="76010"/>
                                  <a:pt x="51600" y="68732"/>
                                </a:cubicBezTo>
                                <a:lnTo>
                                  <a:pt x="49428" y="81509"/>
                                </a:lnTo>
                                <a:cubicBezTo>
                                  <a:pt x="46114" y="82144"/>
                                  <a:pt x="41770" y="82525"/>
                                  <a:pt x="36652" y="82525"/>
                                </a:cubicBezTo>
                                <a:cubicBezTo>
                                  <a:pt x="29896" y="82525"/>
                                  <a:pt x="21196" y="82271"/>
                                  <a:pt x="10465" y="82271"/>
                                </a:cubicBezTo>
                                <a:lnTo>
                                  <a:pt x="0" y="82271"/>
                                </a:lnTo>
                                <a:cubicBezTo>
                                  <a:pt x="3061" y="79083"/>
                                  <a:pt x="3188" y="66815"/>
                                  <a:pt x="3188" y="44844"/>
                                </a:cubicBezTo>
                                <a:lnTo>
                                  <a:pt x="3188" y="39611"/>
                                </a:lnTo>
                                <a:cubicBezTo>
                                  <a:pt x="3188" y="16612"/>
                                  <a:pt x="3188" y="3708"/>
                                  <a:pt x="0" y="394"/>
                                </a:cubicBezTo>
                                <a:lnTo>
                                  <a:pt x="7912" y="394"/>
                                </a:lnTo>
                                <a:cubicBezTo>
                                  <a:pt x="22860" y="394"/>
                                  <a:pt x="33591" y="0"/>
                                  <a:pt x="40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723616" y="242"/>
                            <a:ext cx="39662" cy="84691"/>
                          </a:xfrm>
                          <a:custGeom>
                            <a:avLst/>
                            <a:gdLst/>
                            <a:ahLst/>
                            <a:cxnLst/>
                            <a:rect l="0" t="0" r="0" b="0"/>
                            <a:pathLst>
                              <a:path w="39662" h="84691">
                                <a:moveTo>
                                  <a:pt x="39662" y="0"/>
                                </a:moveTo>
                                <a:lnTo>
                                  <a:pt x="39662" y="5580"/>
                                </a:lnTo>
                                <a:lnTo>
                                  <a:pt x="20196" y="14453"/>
                                </a:lnTo>
                                <a:cubicBezTo>
                                  <a:pt x="15519" y="20346"/>
                                  <a:pt x="12903" y="29065"/>
                                  <a:pt x="12903" y="40368"/>
                                </a:cubicBezTo>
                                <a:cubicBezTo>
                                  <a:pt x="12903" y="58761"/>
                                  <a:pt x="19011" y="71053"/>
                                  <a:pt x="29555" y="76049"/>
                                </a:cubicBezTo>
                                <a:lnTo>
                                  <a:pt x="39662" y="78179"/>
                                </a:lnTo>
                                <a:lnTo>
                                  <a:pt x="39662" y="84301"/>
                                </a:lnTo>
                                <a:lnTo>
                                  <a:pt x="37554" y="84691"/>
                                </a:lnTo>
                                <a:cubicBezTo>
                                  <a:pt x="13538" y="84691"/>
                                  <a:pt x="0" y="70010"/>
                                  <a:pt x="0" y="43822"/>
                                </a:cubicBezTo>
                                <a:cubicBezTo>
                                  <a:pt x="0" y="22458"/>
                                  <a:pt x="8115" y="8344"/>
                                  <a:pt x="23494" y="2622"/>
                                </a:cubicBezTo>
                                <a:lnTo>
                                  <a:pt x="396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763278" y="0"/>
                            <a:ext cx="39535" cy="84544"/>
                          </a:xfrm>
                          <a:custGeom>
                            <a:avLst/>
                            <a:gdLst/>
                            <a:ahLst/>
                            <a:cxnLst/>
                            <a:rect l="0" t="0" r="0" b="0"/>
                            <a:pathLst>
                              <a:path w="39535" h="84544">
                                <a:moveTo>
                                  <a:pt x="1495" y="0"/>
                                </a:moveTo>
                                <a:lnTo>
                                  <a:pt x="1712" y="0"/>
                                </a:lnTo>
                                <a:lnTo>
                                  <a:pt x="18141" y="2515"/>
                                </a:lnTo>
                                <a:cubicBezTo>
                                  <a:pt x="32348" y="7572"/>
                                  <a:pt x="39535" y="20176"/>
                                  <a:pt x="39535" y="40102"/>
                                </a:cubicBezTo>
                                <a:cubicBezTo>
                                  <a:pt x="39535" y="60600"/>
                                  <a:pt x="30262" y="75569"/>
                                  <a:pt x="15012" y="81772"/>
                                </a:cubicBezTo>
                                <a:lnTo>
                                  <a:pt x="0" y="84544"/>
                                </a:lnTo>
                                <a:lnTo>
                                  <a:pt x="0" y="78421"/>
                                </a:lnTo>
                                <a:lnTo>
                                  <a:pt x="1854" y="78812"/>
                                </a:lnTo>
                                <a:cubicBezTo>
                                  <a:pt x="17056" y="78812"/>
                                  <a:pt x="26759" y="66544"/>
                                  <a:pt x="26759" y="44700"/>
                                </a:cubicBezTo>
                                <a:cubicBezTo>
                                  <a:pt x="26759" y="20049"/>
                                  <a:pt x="16408" y="5736"/>
                                  <a:pt x="190" y="5736"/>
                                </a:cubicBezTo>
                                <a:lnTo>
                                  <a:pt x="0" y="5823"/>
                                </a:lnTo>
                                <a:lnTo>
                                  <a:pt x="0" y="242"/>
                                </a:lnTo>
                                <a:lnTo>
                                  <a:pt x="1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813041" y="1522"/>
                            <a:ext cx="46228" cy="82144"/>
                          </a:xfrm>
                          <a:custGeom>
                            <a:avLst/>
                            <a:gdLst/>
                            <a:ahLst/>
                            <a:cxnLst/>
                            <a:rect l="0" t="0" r="0" b="0"/>
                            <a:pathLst>
                              <a:path w="46228" h="82144">
                                <a:moveTo>
                                  <a:pt x="0" y="0"/>
                                </a:moveTo>
                                <a:lnTo>
                                  <a:pt x="17361" y="0"/>
                                </a:lnTo>
                                <a:cubicBezTo>
                                  <a:pt x="14300" y="3188"/>
                                  <a:pt x="14173" y="15456"/>
                                  <a:pt x="14173" y="37300"/>
                                </a:cubicBezTo>
                                <a:lnTo>
                                  <a:pt x="14173" y="42545"/>
                                </a:lnTo>
                                <a:cubicBezTo>
                                  <a:pt x="14173" y="62471"/>
                                  <a:pt x="14681" y="74092"/>
                                  <a:pt x="15329" y="77152"/>
                                </a:cubicBezTo>
                                <a:cubicBezTo>
                                  <a:pt x="17742" y="77292"/>
                                  <a:pt x="19914" y="77292"/>
                                  <a:pt x="22085" y="77292"/>
                                </a:cubicBezTo>
                                <a:cubicBezTo>
                                  <a:pt x="33972" y="77292"/>
                                  <a:pt x="41250" y="75502"/>
                                  <a:pt x="46228" y="68339"/>
                                </a:cubicBezTo>
                                <a:lnTo>
                                  <a:pt x="43421" y="81115"/>
                                </a:lnTo>
                                <a:cubicBezTo>
                                  <a:pt x="40107" y="81763"/>
                                  <a:pt x="35763" y="82144"/>
                                  <a:pt x="30645" y="82144"/>
                                </a:cubicBezTo>
                                <a:cubicBezTo>
                                  <a:pt x="23876" y="82144"/>
                                  <a:pt x="15189" y="81890"/>
                                  <a:pt x="4458" y="81890"/>
                                </a:cubicBezTo>
                                <a:lnTo>
                                  <a:pt x="0" y="81890"/>
                                </a:lnTo>
                                <a:cubicBezTo>
                                  <a:pt x="3061" y="78689"/>
                                  <a:pt x="3188" y="66434"/>
                                  <a:pt x="3188" y="44450"/>
                                </a:cubicBezTo>
                                <a:lnTo>
                                  <a:pt x="3188" y="39218"/>
                                </a:lnTo>
                                <a:cubicBezTo>
                                  <a:pt x="3188" y="16231"/>
                                  <a:pt x="3188" y="3327"/>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864774" y="240"/>
                            <a:ext cx="39662" cy="84693"/>
                          </a:xfrm>
                          <a:custGeom>
                            <a:avLst/>
                            <a:gdLst/>
                            <a:ahLst/>
                            <a:cxnLst/>
                            <a:rect l="0" t="0" r="0" b="0"/>
                            <a:pathLst>
                              <a:path w="39662" h="84693">
                                <a:moveTo>
                                  <a:pt x="39662" y="0"/>
                                </a:moveTo>
                                <a:lnTo>
                                  <a:pt x="39662" y="5582"/>
                                </a:lnTo>
                                <a:lnTo>
                                  <a:pt x="20196" y="14455"/>
                                </a:lnTo>
                                <a:cubicBezTo>
                                  <a:pt x="15519" y="20348"/>
                                  <a:pt x="12903" y="29067"/>
                                  <a:pt x="12903" y="40370"/>
                                </a:cubicBezTo>
                                <a:cubicBezTo>
                                  <a:pt x="12903" y="58763"/>
                                  <a:pt x="19004" y="71054"/>
                                  <a:pt x="29550" y="76051"/>
                                </a:cubicBezTo>
                                <a:lnTo>
                                  <a:pt x="39662" y="78181"/>
                                </a:lnTo>
                                <a:lnTo>
                                  <a:pt x="39662" y="84303"/>
                                </a:lnTo>
                                <a:lnTo>
                                  <a:pt x="37554" y="84693"/>
                                </a:lnTo>
                                <a:cubicBezTo>
                                  <a:pt x="13538" y="84693"/>
                                  <a:pt x="0" y="70012"/>
                                  <a:pt x="0" y="43824"/>
                                </a:cubicBezTo>
                                <a:cubicBezTo>
                                  <a:pt x="0" y="22460"/>
                                  <a:pt x="8115" y="8346"/>
                                  <a:pt x="23489" y="2624"/>
                                </a:cubicBezTo>
                                <a:lnTo>
                                  <a:pt x="396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904436" y="0"/>
                            <a:ext cx="39535" cy="84544"/>
                          </a:xfrm>
                          <a:custGeom>
                            <a:avLst/>
                            <a:gdLst/>
                            <a:ahLst/>
                            <a:cxnLst/>
                            <a:rect l="0" t="0" r="0" b="0"/>
                            <a:pathLst>
                              <a:path w="39535" h="84544">
                                <a:moveTo>
                                  <a:pt x="1482" y="0"/>
                                </a:moveTo>
                                <a:lnTo>
                                  <a:pt x="1699" y="0"/>
                                </a:lnTo>
                                <a:lnTo>
                                  <a:pt x="18136" y="2515"/>
                                </a:lnTo>
                                <a:cubicBezTo>
                                  <a:pt x="32349" y="7572"/>
                                  <a:pt x="39535" y="20176"/>
                                  <a:pt x="39535" y="40102"/>
                                </a:cubicBezTo>
                                <a:cubicBezTo>
                                  <a:pt x="39535" y="60600"/>
                                  <a:pt x="30262" y="75569"/>
                                  <a:pt x="15012" y="81772"/>
                                </a:cubicBezTo>
                                <a:lnTo>
                                  <a:pt x="0" y="84544"/>
                                </a:lnTo>
                                <a:lnTo>
                                  <a:pt x="0" y="78421"/>
                                </a:lnTo>
                                <a:lnTo>
                                  <a:pt x="1854" y="78812"/>
                                </a:lnTo>
                                <a:cubicBezTo>
                                  <a:pt x="17043" y="78812"/>
                                  <a:pt x="26759" y="66544"/>
                                  <a:pt x="26759" y="44700"/>
                                </a:cubicBezTo>
                                <a:cubicBezTo>
                                  <a:pt x="26759" y="20049"/>
                                  <a:pt x="16408" y="5736"/>
                                  <a:pt x="190" y="5736"/>
                                </a:cubicBezTo>
                                <a:lnTo>
                                  <a:pt x="0" y="5823"/>
                                </a:lnTo>
                                <a:lnTo>
                                  <a:pt x="0" y="240"/>
                                </a:lnTo>
                                <a:lnTo>
                                  <a:pt x="1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 name="Shape 147"/>
                        <wps:cNvSpPr/>
                        <wps:spPr>
                          <a:xfrm>
                            <a:off x="952143" y="0"/>
                            <a:ext cx="74092" cy="84932"/>
                          </a:xfrm>
                          <a:custGeom>
                            <a:avLst/>
                            <a:gdLst/>
                            <a:ahLst/>
                            <a:cxnLst/>
                            <a:rect l="0" t="0" r="0" b="0"/>
                            <a:pathLst>
                              <a:path w="74092" h="84932">
                                <a:moveTo>
                                  <a:pt x="50967" y="0"/>
                                </a:moveTo>
                                <a:lnTo>
                                  <a:pt x="51333" y="0"/>
                                </a:lnTo>
                                <a:lnTo>
                                  <a:pt x="71158" y="1518"/>
                                </a:lnTo>
                                <a:lnTo>
                                  <a:pt x="71031" y="16466"/>
                                </a:lnTo>
                                <a:cubicBezTo>
                                  <a:pt x="64770" y="9443"/>
                                  <a:pt x="56464" y="5862"/>
                                  <a:pt x="46241" y="5862"/>
                                </a:cubicBezTo>
                                <a:cubicBezTo>
                                  <a:pt x="26060" y="5862"/>
                                  <a:pt x="13284" y="19921"/>
                                  <a:pt x="13284" y="42654"/>
                                </a:cubicBezTo>
                                <a:cubicBezTo>
                                  <a:pt x="13284" y="65653"/>
                                  <a:pt x="27203" y="78683"/>
                                  <a:pt x="49695" y="78683"/>
                                </a:cubicBezTo>
                                <a:cubicBezTo>
                                  <a:pt x="53010" y="78683"/>
                                  <a:pt x="56083" y="78430"/>
                                  <a:pt x="59144" y="77655"/>
                                </a:cubicBezTo>
                                <a:cubicBezTo>
                                  <a:pt x="59906" y="72930"/>
                                  <a:pt x="60173" y="67952"/>
                                  <a:pt x="60173" y="62580"/>
                                </a:cubicBezTo>
                                <a:cubicBezTo>
                                  <a:pt x="60173" y="51975"/>
                                  <a:pt x="59398" y="45206"/>
                                  <a:pt x="56972" y="42273"/>
                                </a:cubicBezTo>
                                <a:lnTo>
                                  <a:pt x="74092" y="42273"/>
                                </a:lnTo>
                                <a:cubicBezTo>
                                  <a:pt x="71412" y="46108"/>
                                  <a:pt x="71158" y="53766"/>
                                  <a:pt x="71158" y="65653"/>
                                </a:cubicBezTo>
                                <a:cubicBezTo>
                                  <a:pt x="71158" y="73311"/>
                                  <a:pt x="71285" y="79065"/>
                                  <a:pt x="72555" y="82773"/>
                                </a:cubicBezTo>
                                <a:cubicBezTo>
                                  <a:pt x="58890" y="83535"/>
                                  <a:pt x="49187" y="84932"/>
                                  <a:pt x="43434" y="84932"/>
                                </a:cubicBezTo>
                                <a:cubicBezTo>
                                  <a:pt x="15202" y="84932"/>
                                  <a:pt x="0" y="70378"/>
                                  <a:pt x="0" y="44698"/>
                                </a:cubicBezTo>
                                <a:cubicBezTo>
                                  <a:pt x="0" y="24296"/>
                                  <a:pt x="10708" y="9344"/>
                                  <a:pt x="29586" y="3143"/>
                                </a:cubicBezTo>
                                <a:lnTo>
                                  <a:pt x="50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1039266" y="1527"/>
                            <a:ext cx="17374" cy="81877"/>
                          </a:xfrm>
                          <a:custGeom>
                            <a:avLst/>
                            <a:gdLst/>
                            <a:ahLst/>
                            <a:cxnLst/>
                            <a:rect l="0" t="0" r="0" b="0"/>
                            <a:pathLst>
                              <a:path w="17374" h="81877">
                                <a:moveTo>
                                  <a:pt x="0" y="0"/>
                                </a:moveTo>
                                <a:lnTo>
                                  <a:pt x="17374" y="0"/>
                                </a:lnTo>
                                <a:cubicBezTo>
                                  <a:pt x="14300" y="3061"/>
                                  <a:pt x="14173" y="14808"/>
                                  <a:pt x="14173" y="35890"/>
                                </a:cubicBezTo>
                                <a:lnTo>
                                  <a:pt x="14173" y="45860"/>
                                </a:lnTo>
                                <a:cubicBezTo>
                                  <a:pt x="14173" y="66929"/>
                                  <a:pt x="14300" y="78816"/>
                                  <a:pt x="17374" y="81877"/>
                                </a:cubicBezTo>
                                <a:lnTo>
                                  <a:pt x="0" y="81877"/>
                                </a:lnTo>
                                <a:cubicBezTo>
                                  <a:pt x="3061" y="78689"/>
                                  <a:pt x="3188" y="66421"/>
                                  <a:pt x="3188" y="44450"/>
                                </a:cubicBezTo>
                                <a:lnTo>
                                  <a:pt x="3188" y="39218"/>
                                </a:lnTo>
                                <a:cubicBezTo>
                                  <a:pt x="3188" y="16218"/>
                                  <a:pt x="3188" y="331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Shape 149"/>
                        <wps:cNvSpPr/>
                        <wps:spPr>
                          <a:xfrm>
                            <a:off x="1067487" y="0"/>
                            <a:ext cx="67069" cy="84935"/>
                          </a:xfrm>
                          <a:custGeom>
                            <a:avLst/>
                            <a:gdLst/>
                            <a:ahLst/>
                            <a:cxnLst/>
                            <a:rect l="0" t="0" r="0" b="0"/>
                            <a:pathLst>
                              <a:path w="67069" h="84935">
                                <a:moveTo>
                                  <a:pt x="43354" y="0"/>
                                </a:moveTo>
                                <a:lnTo>
                                  <a:pt x="43635" y="0"/>
                                </a:lnTo>
                                <a:lnTo>
                                  <a:pt x="62471" y="1522"/>
                                </a:lnTo>
                                <a:lnTo>
                                  <a:pt x="61709" y="19022"/>
                                </a:lnTo>
                                <a:cubicBezTo>
                                  <a:pt x="58128" y="10208"/>
                                  <a:pt x="51613" y="5611"/>
                                  <a:pt x="42037" y="5611"/>
                                </a:cubicBezTo>
                                <a:cubicBezTo>
                                  <a:pt x="23774" y="5611"/>
                                  <a:pt x="12649" y="18387"/>
                                  <a:pt x="12649" y="39583"/>
                                </a:cubicBezTo>
                                <a:cubicBezTo>
                                  <a:pt x="12649" y="62075"/>
                                  <a:pt x="25552" y="75486"/>
                                  <a:pt x="44209" y="75486"/>
                                </a:cubicBezTo>
                                <a:cubicBezTo>
                                  <a:pt x="53404" y="75486"/>
                                  <a:pt x="61455" y="71778"/>
                                  <a:pt x="67069" y="65390"/>
                                </a:cubicBezTo>
                                <a:cubicBezTo>
                                  <a:pt x="64135" y="77023"/>
                                  <a:pt x="53149" y="84935"/>
                                  <a:pt x="38202" y="84935"/>
                                </a:cubicBezTo>
                                <a:cubicBezTo>
                                  <a:pt x="16231" y="84935"/>
                                  <a:pt x="0" y="68082"/>
                                  <a:pt x="0" y="43292"/>
                                </a:cubicBezTo>
                                <a:cubicBezTo>
                                  <a:pt x="0" y="23270"/>
                                  <a:pt x="8987" y="8921"/>
                                  <a:pt x="25069" y="2997"/>
                                </a:cubicBezTo>
                                <a:lnTo>
                                  <a:pt x="4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1132258" y="1523"/>
                            <a:ext cx="41389" cy="81890"/>
                          </a:xfrm>
                          <a:custGeom>
                            <a:avLst/>
                            <a:gdLst/>
                            <a:ahLst/>
                            <a:cxnLst/>
                            <a:rect l="0" t="0" r="0" b="0"/>
                            <a:pathLst>
                              <a:path w="41389" h="81890">
                                <a:moveTo>
                                  <a:pt x="35522" y="0"/>
                                </a:moveTo>
                                <a:lnTo>
                                  <a:pt x="41389" y="0"/>
                                </a:lnTo>
                                <a:lnTo>
                                  <a:pt x="41389" y="10811"/>
                                </a:lnTo>
                                <a:lnTo>
                                  <a:pt x="28486" y="41643"/>
                                </a:lnTo>
                                <a:lnTo>
                                  <a:pt x="41389" y="41643"/>
                                </a:lnTo>
                                <a:lnTo>
                                  <a:pt x="41389" y="46368"/>
                                </a:lnTo>
                                <a:lnTo>
                                  <a:pt x="26441" y="46368"/>
                                </a:lnTo>
                                <a:lnTo>
                                  <a:pt x="20955" y="59779"/>
                                </a:lnTo>
                                <a:cubicBezTo>
                                  <a:pt x="18136" y="66561"/>
                                  <a:pt x="15710" y="72301"/>
                                  <a:pt x="15710" y="77927"/>
                                </a:cubicBezTo>
                                <a:cubicBezTo>
                                  <a:pt x="15710" y="79324"/>
                                  <a:pt x="15964" y="80607"/>
                                  <a:pt x="16358" y="81890"/>
                                </a:cubicBezTo>
                                <a:lnTo>
                                  <a:pt x="0" y="81890"/>
                                </a:lnTo>
                                <a:cubicBezTo>
                                  <a:pt x="8306" y="71920"/>
                                  <a:pt x="15964" y="57480"/>
                                  <a:pt x="24016" y="38583"/>
                                </a:cubicBezTo>
                                <a:cubicBezTo>
                                  <a:pt x="32957" y="17755"/>
                                  <a:pt x="36538" y="5740"/>
                                  <a:pt x="36538" y="3962"/>
                                </a:cubicBezTo>
                                <a:cubicBezTo>
                                  <a:pt x="36538" y="2553"/>
                                  <a:pt x="36157" y="1270"/>
                                  <a:pt x="355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1173648" y="1523"/>
                            <a:ext cx="41643" cy="81890"/>
                          </a:xfrm>
                          <a:custGeom>
                            <a:avLst/>
                            <a:gdLst/>
                            <a:ahLst/>
                            <a:cxnLst/>
                            <a:rect l="0" t="0" r="0" b="0"/>
                            <a:pathLst>
                              <a:path w="41643" h="81890">
                                <a:moveTo>
                                  <a:pt x="0" y="0"/>
                                </a:moveTo>
                                <a:lnTo>
                                  <a:pt x="9970" y="0"/>
                                </a:lnTo>
                                <a:cubicBezTo>
                                  <a:pt x="23254" y="44323"/>
                                  <a:pt x="34366" y="71539"/>
                                  <a:pt x="41643" y="81890"/>
                                </a:cubicBezTo>
                                <a:lnTo>
                                  <a:pt x="27724" y="81890"/>
                                </a:lnTo>
                                <a:lnTo>
                                  <a:pt x="14821" y="46368"/>
                                </a:lnTo>
                                <a:lnTo>
                                  <a:pt x="0" y="46368"/>
                                </a:lnTo>
                                <a:lnTo>
                                  <a:pt x="0" y="41643"/>
                                </a:lnTo>
                                <a:lnTo>
                                  <a:pt x="12903" y="41643"/>
                                </a:lnTo>
                                <a:lnTo>
                                  <a:pt x="889" y="8687"/>
                                </a:lnTo>
                                <a:lnTo>
                                  <a:pt x="0" y="108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1219763" y="1522"/>
                            <a:ext cx="46241" cy="82144"/>
                          </a:xfrm>
                          <a:custGeom>
                            <a:avLst/>
                            <a:gdLst/>
                            <a:ahLst/>
                            <a:cxnLst/>
                            <a:rect l="0" t="0" r="0" b="0"/>
                            <a:pathLst>
                              <a:path w="46241" h="82144">
                                <a:moveTo>
                                  <a:pt x="0" y="0"/>
                                </a:moveTo>
                                <a:lnTo>
                                  <a:pt x="17374" y="0"/>
                                </a:lnTo>
                                <a:cubicBezTo>
                                  <a:pt x="14313" y="3188"/>
                                  <a:pt x="14173" y="15456"/>
                                  <a:pt x="14173" y="37300"/>
                                </a:cubicBezTo>
                                <a:lnTo>
                                  <a:pt x="14173" y="42545"/>
                                </a:lnTo>
                                <a:cubicBezTo>
                                  <a:pt x="14173" y="62471"/>
                                  <a:pt x="14694" y="74092"/>
                                  <a:pt x="15329" y="77152"/>
                                </a:cubicBezTo>
                                <a:cubicBezTo>
                                  <a:pt x="17755" y="77292"/>
                                  <a:pt x="19926" y="77292"/>
                                  <a:pt x="22098" y="77292"/>
                                </a:cubicBezTo>
                                <a:cubicBezTo>
                                  <a:pt x="33985" y="77292"/>
                                  <a:pt x="41262" y="75502"/>
                                  <a:pt x="46241" y="68339"/>
                                </a:cubicBezTo>
                                <a:lnTo>
                                  <a:pt x="43434" y="81115"/>
                                </a:lnTo>
                                <a:cubicBezTo>
                                  <a:pt x="40106" y="81763"/>
                                  <a:pt x="35763" y="82144"/>
                                  <a:pt x="30658" y="82144"/>
                                </a:cubicBezTo>
                                <a:cubicBezTo>
                                  <a:pt x="23889" y="82144"/>
                                  <a:pt x="15202" y="81890"/>
                                  <a:pt x="4470" y="81890"/>
                                </a:cubicBezTo>
                                <a:lnTo>
                                  <a:pt x="0" y="81890"/>
                                </a:lnTo>
                                <a:cubicBezTo>
                                  <a:pt x="3073" y="78689"/>
                                  <a:pt x="3188" y="66434"/>
                                  <a:pt x="3188" y="44450"/>
                                </a:cubicBezTo>
                                <a:lnTo>
                                  <a:pt x="3188" y="39218"/>
                                </a:lnTo>
                                <a:cubicBezTo>
                                  <a:pt x="3188" y="16231"/>
                                  <a:pt x="3188" y="3327"/>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1303176" y="0"/>
                            <a:ext cx="51867" cy="84932"/>
                          </a:xfrm>
                          <a:custGeom>
                            <a:avLst/>
                            <a:gdLst/>
                            <a:ahLst/>
                            <a:cxnLst/>
                            <a:rect l="0" t="0" r="0" b="0"/>
                            <a:pathLst>
                              <a:path w="51867" h="84932">
                                <a:moveTo>
                                  <a:pt x="29332" y="0"/>
                                </a:moveTo>
                                <a:lnTo>
                                  <a:pt x="29851" y="0"/>
                                </a:lnTo>
                                <a:lnTo>
                                  <a:pt x="42926" y="503"/>
                                </a:lnTo>
                                <a:cubicBezTo>
                                  <a:pt x="43561" y="503"/>
                                  <a:pt x="44323" y="630"/>
                                  <a:pt x="45352" y="630"/>
                                </a:cubicBezTo>
                                <a:lnTo>
                                  <a:pt x="48539" y="630"/>
                                </a:lnTo>
                                <a:lnTo>
                                  <a:pt x="48539" y="13914"/>
                                </a:lnTo>
                                <a:cubicBezTo>
                                  <a:pt x="45352" y="8542"/>
                                  <a:pt x="39472" y="5608"/>
                                  <a:pt x="31686" y="5608"/>
                                </a:cubicBezTo>
                                <a:cubicBezTo>
                                  <a:pt x="20434" y="5608"/>
                                  <a:pt x="14440" y="11107"/>
                                  <a:pt x="14440" y="18511"/>
                                </a:cubicBezTo>
                                <a:cubicBezTo>
                                  <a:pt x="14440" y="27579"/>
                                  <a:pt x="22225" y="31415"/>
                                  <a:pt x="32195" y="36647"/>
                                </a:cubicBezTo>
                                <a:cubicBezTo>
                                  <a:pt x="45225" y="43543"/>
                                  <a:pt x="51867" y="50198"/>
                                  <a:pt x="51867" y="60155"/>
                                </a:cubicBezTo>
                                <a:cubicBezTo>
                                  <a:pt x="51867" y="73312"/>
                                  <a:pt x="39726" y="84932"/>
                                  <a:pt x="22619" y="84932"/>
                                </a:cubicBezTo>
                                <a:cubicBezTo>
                                  <a:pt x="15583" y="84932"/>
                                  <a:pt x="8179" y="83154"/>
                                  <a:pt x="0" y="80081"/>
                                </a:cubicBezTo>
                                <a:lnTo>
                                  <a:pt x="0" y="66162"/>
                                </a:lnTo>
                                <a:cubicBezTo>
                                  <a:pt x="4991" y="74595"/>
                                  <a:pt x="13030" y="79192"/>
                                  <a:pt x="23000" y="79192"/>
                                </a:cubicBezTo>
                                <a:cubicBezTo>
                                  <a:pt x="33211" y="79192"/>
                                  <a:pt x="39726" y="72423"/>
                                  <a:pt x="39726" y="63609"/>
                                </a:cubicBezTo>
                                <a:cubicBezTo>
                                  <a:pt x="39726" y="55938"/>
                                  <a:pt x="35001" y="51087"/>
                                  <a:pt x="26060" y="46236"/>
                                </a:cubicBezTo>
                                <a:cubicBezTo>
                                  <a:pt x="12776" y="38946"/>
                                  <a:pt x="2807" y="34094"/>
                                  <a:pt x="2807" y="21318"/>
                                </a:cubicBezTo>
                                <a:cubicBezTo>
                                  <a:pt x="2807" y="15381"/>
                                  <a:pt x="5299" y="10047"/>
                                  <a:pt x="9868" y="6197"/>
                                </a:cubicBezTo>
                                <a:lnTo>
                                  <a:pt x="29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1361179" y="243"/>
                            <a:ext cx="39656" cy="84690"/>
                          </a:xfrm>
                          <a:custGeom>
                            <a:avLst/>
                            <a:gdLst/>
                            <a:ahLst/>
                            <a:cxnLst/>
                            <a:rect l="0" t="0" r="0" b="0"/>
                            <a:pathLst>
                              <a:path w="39656" h="84690">
                                <a:moveTo>
                                  <a:pt x="39656" y="0"/>
                                </a:moveTo>
                                <a:lnTo>
                                  <a:pt x="39656" y="5582"/>
                                </a:lnTo>
                                <a:lnTo>
                                  <a:pt x="20190" y="14452"/>
                                </a:lnTo>
                                <a:cubicBezTo>
                                  <a:pt x="15510" y="20345"/>
                                  <a:pt x="12890" y="29064"/>
                                  <a:pt x="12890" y="40367"/>
                                </a:cubicBezTo>
                                <a:cubicBezTo>
                                  <a:pt x="12890" y="58760"/>
                                  <a:pt x="18998" y="71052"/>
                                  <a:pt x="29548" y="76048"/>
                                </a:cubicBezTo>
                                <a:lnTo>
                                  <a:pt x="39656" y="78176"/>
                                </a:lnTo>
                                <a:lnTo>
                                  <a:pt x="39656" y="84302"/>
                                </a:lnTo>
                                <a:lnTo>
                                  <a:pt x="37554" y="84690"/>
                                </a:lnTo>
                                <a:cubicBezTo>
                                  <a:pt x="13538" y="84690"/>
                                  <a:pt x="0" y="70009"/>
                                  <a:pt x="0" y="43821"/>
                                </a:cubicBezTo>
                                <a:cubicBezTo>
                                  <a:pt x="0" y="22457"/>
                                  <a:pt x="8115" y="8343"/>
                                  <a:pt x="23494" y="2621"/>
                                </a:cubicBezTo>
                                <a:lnTo>
                                  <a:pt x="396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1400834" y="0"/>
                            <a:ext cx="39541" cy="84545"/>
                          </a:xfrm>
                          <a:custGeom>
                            <a:avLst/>
                            <a:gdLst/>
                            <a:ahLst/>
                            <a:cxnLst/>
                            <a:rect l="0" t="0" r="0" b="0"/>
                            <a:pathLst>
                              <a:path w="39541" h="84545">
                                <a:moveTo>
                                  <a:pt x="1501" y="0"/>
                                </a:moveTo>
                                <a:lnTo>
                                  <a:pt x="1718" y="0"/>
                                </a:lnTo>
                                <a:lnTo>
                                  <a:pt x="18148" y="2515"/>
                                </a:lnTo>
                                <a:cubicBezTo>
                                  <a:pt x="32355" y="7572"/>
                                  <a:pt x="39541" y="20176"/>
                                  <a:pt x="39541" y="40102"/>
                                </a:cubicBezTo>
                                <a:cubicBezTo>
                                  <a:pt x="39541" y="60600"/>
                                  <a:pt x="30269" y="75569"/>
                                  <a:pt x="15019" y="81772"/>
                                </a:cubicBezTo>
                                <a:lnTo>
                                  <a:pt x="0" y="84545"/>
                                </a:lnTo>
                                <a:lnTo>
                                  <a:pt x="0" y="78420"/>
                                </a:lnTo>
                                <a:lnTo>
                                  <a:pt x="1861" y="78812"/>
                                </a:lnTo>
                                <a:cubicBezTo>
                                  <a:pt x="17062" y="78812"/>
                                  <a:pt x="26765" y="66544"/>
                                  <a:pt x="26765" y="44700"/>
                                </a:cubicBezTo>
                                <a:cubicBezTo>
                                  <a:pt x="26765" y="20049"/>
                                  <a:pt x="16415" y="5736"/>
                                  <a:pt x="197" y="5736"/>
                                </a:cubicBezTo>
                                <a:lnTo>
                                  <a:pt x="0" y="5826"/>
                                </a:lnTo>
                                <a:lnTo>
                                  <a:pt x="0" y="243"/>
                                </a:lnTo>
                                <a:lnTo>
                                  <a:pt x="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1448295" y="0"/>
                            <a:ext cx="67069" cy="84935"/>
                          </a:xfrm>
                          <a:custGeom>
                            <a:avLst/>
                            <a:gdLst/>
                            <a:ahLst/>
                            <a:cxnLst/>
                            <a:rect l="0" t="0" r="0" b="0"/>
                            <a:pathLst>
                              <a:path w="67069" h="84935">
                                <a:moveTo>
                                  <a:pt x="43341" y="0"/>
                                </a:moveTo>
                                <a:lnTo>
                                  <a:pt x="43622" y="0"/>
                                </a:lnTo>
                                <a:lnTo>
                                  <a:pt x="62471" y="1522"/>
                                </a:lnTo>
                                <a:lnTo>
                                  <a:pt x="61697" y="19022"/>
                                </a:lnTo>
                                <a:cubicBezTo>
                                  <a:pt x="58115" y="10208"/>
                                  <a:pt x="51600" y="5611"/>
                                  <a:pt x="42024" y="5611"/>
                                </a:cubicBezTo>
                                <a:cubicBezTo>
                                  <a:pt x="23762" y="5611"/>
                                  <a:pt x="12649" y="18387"/>
                                  <a:pt x="12649" y="39583"/>
                                </a:cubicBezTo>
                                <a:cubicBezTo>
                                  <a:pt x="12649" y="62075"/>
                                  <a:pt x="25553" y="75486"/>
                                  <a:pt x="44196" y="75486"/>
                                </a:cubicBezTo>
                                <a:cubicBezTo>
                                  <a:pt x="53391" y="75486"/>
                                  <a:pt x="61443" y="71778"/>
                                  <a:pt x="67069" y="65390"/>
                                </a:cubicBezTo>
                                <a:cubicBezTo>
                                  <a:pt x="64122" y="77023"/>
                                  <a:pt x="53137" y="84935"/>
                                  <a:pt x="38189" y="84935"/>
                                </a:cubicBezTo>
                                <a:cubicBezTo>
                                  <a:pt x="16218" y="84935"/>
                                  <a:pt x="0" y="68082"/>
                                  <a:pt x="0" y="43292"/>
                                </a:cubicBezTo>
                                <a:cubicBezTo>
                                  <a:pt x="0" y="23270"/>
                                  <a:pt x="8980" y="8921"/>
                                  <a:pt x="25059" y="2997"/>
                                </a:cubicBezTo>
                                <a:lnTo>
                                  <a:pt x="433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1525453" y="1527"/>
                            <a:ext cx="17374" cy="81877"/>
                          </a:xfrm>
                          <a:custGeom>
                            <a:avLst/>
                            <a:gdLst/>
                            <a:ahLst/>
                            <a:cxnLst/>
                            <a:rect l="0" t="0" r="0" b="0"/>
                            <a:pathLst>
                              <a:path w="17374" h="81877">
                                <a:moveTo>
                                  <a:pt x="0" y="0"/>
                                </a:moveTo>
                                <a:lnTo>
                                  <a:pt x="17374" y="0"/>
                                </a:lnTo>
                                <a:cubicBezTo>
                                  <a:pt x="14300" y="3061"/>
                                  <a:pt x="14173" y="14808"/>
                                  <a:pt x="14173" y="35890"/>
                                </a:cubicBezTo>
                                <a:lnTo>
                                  <a:pt x="14173" y="45860"/>
                                </a:lnTo>
                                <a:cubicBezTo>
                                  <a:pt x="14173" y="66929"/>
                                  <a:pt x="14300" y="78816"/>
                                  <a:pt x="17374" y="81877"/>
                                </a:cubicBezTo>
                                <a:lnTo>
                                  <a:pt x="0" y="81877"/>
                                </a:lnTo>
                                <a:cubicBezTo>
                                  <a:pt x="3061" y="78689"/>
                                  <a:pt x="3188" y="66421"/>
                                  <a:pt x="3188" y="44450"/>
                                </a:cubicBezTo>
                                <a:lnTo>
                                  <a:pt x="3188" y="39218"/>
                                </a:lnTo>
                                <a:cubicBezTo>
                                  <a:pt x="3188" y="16218"/>
                                  <a:pt x="3188" y="331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1556370" y="1133"/>
                            <a:ext cx="51600" cy="82525"/>
                          </a:xfrm>
                          <a:custGeom>
                            <a:avLst/>
                            <a:gdLst/>
                            <a:ahLst/>
                            <a:cxnLst/>
                            <a:rect l="0" t="0" r="0" b="0"/>
                            <a:pathLst>
                              <a:path w="51600" h="82525">
                                <a:moveTo>
                                  <a:pt x="40234" y="0"/>
                                </a:moveTo>
                                <a:cubicBezTo>
                                  <a:pt x="40742" y="0"/>
                                  <a:pt x="42151" y="127"/>
                                  <a:pt x="44704" y="127"/>
                                </a:cubicBezTo>
                                <a:lnTo>
                                  <a:pt x="45720" y="12141"/>
                                </a:lnTo>
                                <a:cubicBezTo>
                                  <a:pt x="43294" y="5753"/>
                                  <a:pt x="35890" y="5118"/>
                                  <a:pt x="22479" y="5118"/>
                                </a:cubicBezTo>
                                <a:lnTo>
                                  <a:pt x="15316" y="5118"/>
                                </a:lnTo>
                                <a:cubicBezTo>
                                  <a:pt x="14427" y="9080"/>
                                  <a:pt x="14173" y="18021"/>
                                  <a:pt x="14173" y="31940"/>
                                </a:cubicBezTo>
                                <a:lnTo>
                                  <a:pt x="14173" y="36157"/>
                                </a:lnTo>
                                <a:cubicBezTo>
                                  <a:pt x="17107" y="36411"/>
                                  <a:pt x="20434" y="36411"/>
                                  <a:pt x="24130" y="36411"/>
                                </a:cubicBezTo>
                                <a:cubicBezTo>
                                  <a:pt x="32322" y="36411"/>
                                  <a:pt x="39599" y="36157"/>
                                  <a:pt x="45974" y="35001"/>
                                </a:cubicBezTo>
                                <a:cubicBezTo>
                                  <a:pt x="39980" y="41910"/>
                                  <a:pt x="30645" y="42418"/>
                                  <a:pt x="17488" y="42418"/>
                                </a:cubicBezTo>
                                <a:cubicBezTo>
                                  <a:pt x="16726" y="42418"/>
                                  <a:pt x="15583" y="42291"/>
                                  <a:pt x="14173" y="42291"/>
                                </a:cubicBezTo>
                                <a:lnTo>
                                  <a:pt x="14173" y="50597"/>
                                </a:lnTo>
                                <a:cubicBezTo>
                                  <a:pt x="14173" y="64516"/>
                                  <a:pt x="14427" y="73584"/>
                                  <a:pt x="15316" y="77546"/>
                                </a:cubicBezTo>
                                <a:lnTo>
                                  <a:pt x="22733" y="77546"/>
                                </a:lnTo>
                                <a:cubicBezTo>
                                  <a:pt x="37160" y="77546"/>
                                  <a:pt x="46241" y="76010"/>
                                  <a:pt x="51600" y="68732"/>
                                </a:cubicBezTo>
                                <a:lnTo>
                                  <a:pt x="49429" y="81509"/>
                                </a:lnTo>
                                <a:cubicBezTo>
                                  <a:pt x="46114" y="82144"/>
                                  <a:pt x="41770" y="82525"/>
                                  <a:pt x="36652" y="82525"/>
                                </a:cubicBezTo>
                                <a:cubicBezTo>
                                  <a:pt x="29883" y="82525"/>
                                  <a:pt x="21196" y="82271"/>
                                  <a:pt x="10465" y="82271"/>
                                </a:cubicBezTo>
                                <a:lnTo>
                                  <a:pt x="0" y="82271"/>
                                </a:lnTo>
                                <a:cubicBezTo>
                                  <a:pt x="3061" y="79083"/>
                                  <a:pt x="3188" y="66815"/>
                                  <a:pt x="3188" y="44844"/>
                                </a:cubicBezTo>
                                <a:lnTo>
                                  <a:pt x="3188" y="39611"/>
                                </a:lnTo>
                                <a:cubicBezTo>
                                  <a:pt x="3188" y="16612"/>
                                  <a:pt x="3188" y="3708"/>
                                  <a:pt x="0" y="394"/>
                                </a:cubicBezTo>
                                <a:lnTo>
                                  <a:pt x="7912" y="394"/>
                                </a:lnTo>
                                <a:cubicBezTo>
                                  <a:pt x="22860" y="394"/>
                                  <a:pt x="33592" y="0"/>
                                  <a:pt x="40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1610782" y="1523"/>
                            <a:ext cx="67958" cy="81890"/>
                          </a:xfrm>
                          <a:custGeom>
                            <a:avLst/>
                            <a:gdLst/>
                            <a:ahLst/>
                            <a:cxnLst/>
                            <a:rect l="0" t="0" r="0" b="0"/>
                            <a:pathLst>
                              <a:path w="67958" h="81890">
                                <a:moveTo>
                                  <a:pt x="3073" y="0"/>
                                </a:moveTo>
                                <a:lnTo>
                                  <a:pt x="67958" y="0"/>
                                </a:lnTo>
                                <a:cubicBezTo>
                                  <a:pt x="64770" y="4978"/>
                                  <a:pt x="60553" y="6515"/>
                                  <a:pt x="54165" y="6515"/>
                                </a:cubicBezTo>
                                <a:lnTo>
                                  <a:pt x="38583" y="6642"/>
                                </a:lnTo>
                                <a:cubicBezTo>
                                  <a:pt x="38075" y="20053"/>
                                  <a:pt x="37935" y="32068"/>
                                  <a:pt x="37935" y="42672"/>
                                </a:cubicBezTo>
                                <a:cubicBezTo>
                                  <a:pt x="37935" y="65786"/>
                                  <a:pt x="37935" y="78562"/>
                                  <a:pt x="41135" y="81890"/>
                                </a:cubicBezTo>
                                <a:lnTo>
                                  <a:pt x="23762" y="81890"/>
                                </a:lnTo>
                                <a:cubicBezTo>
                                  <a:pt x="26822" y="78689"/>
                                  <a:pt x="26949" y="66942"/>
                                  <a:pt x="26949" y="45860"/>
                                </a:cubicBezTo>
                                <a:lnTo>
                                  <a:pt x="26949" y="40881"/>
                                </a:lnTo>
                                <a:cubicBezTo>
                                  <a:pt x="26949" y="30277"/>
                                  <a:pt x="26822" y="19037"/>
                                  <a:pt x="26187" y="6896"/>
                                </a:cubicBezTo>
                                <a:lnTo>
                                  <a:pt x="12649" y="6896"/>
                                </a:lnTo>
                                <a:cubicBezTo>
                                  <a:pt x="8179" y="6896"/>
                                  <a:pt x="4216" y="7277"/>
                                  <a:pt x="0" y="10096"/>
                                </a:cubicBezTo>
                                <a:lnTo>
                                  <a:pt x="3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1675672" y="1265"/>
                            <a:ext cx="66040" cy="82144"/>
                          </a:xfrm>
                          <a:custGeom>
                            <a:avLst/>
                            <a:gdLst/>
                            <a:ahLst/>
                            <a:cxnLst/>
                            <a:rect l="0" t="0" r="0" b="0"/>
                            <a:pathLst>
                              <a:path w="66040" h="82144">
                                <a:moveTo>
                                  <a:pt x="10351" y="0"/>
                                </a:moveTo>
                                <a:cubicBezTo>
                                  <a:pt x="15710" y="0"/>
                                  <a:pt x="17628" y="1918"/>
                                  <a:pt x="20574" y="8052"/>
                                </a:cubicBezTo>
                                <a:cubicBezTo>
                                  <a:pt x="26695" y="20828"/>
                                  <a:pt x="30658" y="32321"/>
                                  <a:pt x="33973" y="42672"/>
                                </a:cubicBezTo>
                                <a:lnTo>
                                  <a:pt x="44844" y="22733"/>
                                </a:lnTo>
                                <a:cubicBezTo>
                                  <a:pt x="49060" y="14821"/>
                                  <a:pt x="51994" y="9576"/>
                                  <a:pt x="51994" y="5626"/>
                                </a:cubicBezTo>
                                <a:cubicBezTo>
                                  <a:pt x="51994" y="3708"/>
                                  <a:pt x="51232" y="1918"/>
                                  <a:pt x="49695" y="254"/>
                                </a:cubicBezTo>
                                <a:lnTo>
                                  <a:pt x="66040" y="254"/>
                                </a:lnTo>
                                <a:cubicBezTo>
                                  <a:pt x="53911" y="18263"/>
                                  <a:pt x="45987" y="30785"/>
                                  <a:pt x="42405" y="37681"/>
                                </a:cubicBezTo>
                                <a:cubicBezTo>
                                  <a:pt x="37046" y="48158"/>
                                  <a:pt x="36919" y="57226"/>
                                  <a:pt x="36919" y="69113"/>
                                </a:cubicBezTo>
                                <a:cubicBezTo>
                                  <a:pt x="36919" y="73965"/>
                                  <a:pt x="37681" y="78181"/>
                                  <a:pt x="39472" y="82144"/>
                                </a:cubicBezTo>
                                <a:lnTo>
                                  <a:pt x="22733" y="82144"/>
                                </a:lnTo>
                                <a:cubicBezTo>
                                  <a:pt x="24905" y="78308"/>
                                  <a:pt x="26060" y="71920"/>
                                  <a:pt x="26060" y="62979"/>
                                </a:cubicBezTo>
                                <a:cubicBezTo>
                                  <a:pt x="26060" y="45352"/>
                                  <a:pt x="21082" y="32449"/>
                                  <a:pt x="11239" y="15456"/>
                                </a:cubicBezTo>
                                <a:cubicBezTo>
                                  <a:pt x="6769" y="7798"/>
                                  <a:pt x="2807" y="2680"/>
                                  <a:pt x="0" y="254"/>
                                </a:cubicBezTo>
                                <a:cubicBezTo>
                                  <a:pt x="4725" y="127"/>
                                  <a:pt x="8179" y="0"/>
                                  <a:pt x="103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340163" y="125513"/>
                            <a:ext cx="39656" cy="84692"/>
                          </a:xfrm>
                          <a:custGeom>
                            <a:avLst/>
                            <a:gdLst/>
                            <a:ahLst/>
                            <a:cxnLst/>
                            <a:rect l="0" t="0" r="0" b="0"/>
                            <a:pathLst>
                              <a:path w="39656" h="84692">
                                <a:moveTo>
                                  <a:pt x="39656" y="0"/>
                                </a:moveTo>
                                <a:lnTo>
                                  <a:pt x="39656" y="5584"/>
                                </a:lnTo>
                                <a:lnTo>
                                  <a:pt x="20190" y="14454"/>
                                </a:lnTo>
                                <a:cubicBezTo>
                                  <a:pt x="15510" y="20347"/>
                                  <a:pt x="12890" y="29066"/>
                                  <a:pt x="12890" y="40369"/>
                                </a:cubicBezTo>
                                <a:cubicBezTo>
                                  <a:pt x="12890" y="58761"/>
                                  <a:pt x="18998" y="71053"/>
                                  <a:pt x="29543" y="76050"/>
                                </a:cubicBezTo>
                                <a:lnTo>
                                  <a:pt x="39656" y="78181"/>
                                </a:lnTo>
                                <a:lnTo>
                                  <a:pt x="39656" y="84303"/>
                                </a:lnTo>
                                <a:lnTo>
                                  <a:pt x="37554" y="84692"/>
                                </a:lnTo>
                                <a:cubicBezTo>
                                  <a:pt x="13538" y="84692"/>
                                  <a:pt x="0" y="70010"/>
                                  <a:pt x="0" y="43823"/>
                                </a:cubicBezTo>
                                <a:cubicBezTo>
                                  <a:pt x="0" y="22458"/>
                                  <a:pt x="8115" y="8345"/>
                                  <a:pt x="23489" y="2623"/>
                                </a:cubicBezTo>
                                <a:lnTo>
                                  <a:pt x="396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379819" y="125254"/>
                            <a:ext cx="39541" cy="84562"/>
                          </a:xfrm>
                          <a:custGeom>
                            <a:avLst/>
                            <a:gdLst/>
                            <a:ahLst/>
                            <a:cxnLst/>
                            <a:rect l="0" t="0" r="0" b="0"/>
                            <a:pathLst>
                              <a:path w="39541" h="84562">
                                <a:moveTo>
                                  <a:pt x="1594" y="0"/>
                                </a:moveTo>
                                <a:cubicBezTo>
                                  <a:pt x="26765" y="0"/>
                                  <a:pt x="39541" y="13551"/>
                                  <a:pt x="39541" y="40119"/>
                                </a:cubicBezTo>
                                <a:cubicBezTo>
                                  <a:pt x="39541" y="60617"/>
                                  <a:pt x="30269" y="75586"/>
                                  <a:pt x="15019" y="81789"/>
                                </a:cubicBezTo>
                                <a:lnTo>
                                  <a:pt x="0" y="84562"/>
                                </a:lnTo>
                                <a:lnTo>
                                  <a:pt x="0" y="78439"/>
                                </a:lnTo>
                                <a:lnTo>
                                  <a:pt x="1848" y="78829"/>
                                </a:lnTo>
                                <a:cubicBezTo>
                                  <a:pt x="17050" y="78829"/>
                                  <a:pt x="26765" y="66561"/>
                                  <a:pt x="26765" y="44717"/>
                                </a:cubicBezTo>
                                <a:cubicBezTo>
                                  <a:pt x="26765" y="20066"/>
                                  <a:pt x="16415" y="5753"/>
                                  <a:pt x="197" y="5753"/>
                                </a:cubicBezTo>
                                <a:lnTo>
                                  <a:pt x="0" y="5843"/>
                                </a:lnTo>
                                <a:lnTo>
                                  <a:pt x="0" y="259"/>
                                </a:lnTo>
                                <a:lnTo>
                                  <a:pt x="1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428304" y="126405"/>
                            <a:ext cx="46749" cy="82271"/>
                          </a:xfrm>
                          <a:custGeom>
                            <a:avLst/>
                            <a:gdLst/>
                            <a:ahLst/>
                            <a:cxnLst/>
                            <a:rect l="0" t="0" r="0" b="0"/>
                            <a:pathLst>
                              <a:path w="46749" h="82271">
                                <a:moveTo>
                                  <a:pt x="32436" y="0"/>
                                </a:moveTo>
                                <a:cubicBezTo>
                                  <a:pt x="38062" y="0"/>
                                  <a:pt x="42659" y="254"/>
                                  <a:pt x="46241" y="775"/>
                                </a:cubicBezTo>
                                <a:lnTo>
                                  <a:pt x="46749" y="11366"/>
                                </a:lnTo>
                                <a:cubicBezTo>
                                  <a:pt x="43942" y="6134"/>
                                  <a:pt x="37046" y="4991"/>
                                  <a:pt x="24778" y="4991"/>
                                </a:cubicBezTo>
                                <a:cubicBezTo>
                                  <a:pt x="21590" y="4991"/>
                                  <a:pt x="18517" y="5118"/>
                                  <a:pt x="15329" y="5372"/>
                                </a:cubicBezTo>
                                <a:cubicBezTo>
                                  <a:pt x="14427" y="9588"/>
                                  <a:pt x="14173" y="18275"/>
                                  <a:pt x="14173" y="31940"/>
                                </a:cubicBezTo>
                                <a:lnTo>
                                  <a:pt x="14173" y="38075"/>
                                </a:lnTo>
                                <a:cubicBezTo>
                                  <a:pt x="19279" y="38329"/>
                                  <a:pt x="23495" y="38456"/>
                                  <a:pt x="27076" y="38456"/>
                                </a:cubicBezTo>
                                <a:cubicBezTo>
                                  <a:pt x="32830" y="38456"/>
                                  <a:pt x="38697" y="38075"/>
                                  <a:pt x="44958" y="36919"/>
                                </a:cubicBezTo>
                                <a:cubicBezTo>
                                  <a:pt x="40742" y="43688"/>
                                  <a:pt x="32830" y="44336"/>
                                  <a:pt x="18898" y="44336"/>
                                </a:cubicBezTo>
                                <a:lnTo>
                                  <a:pt x="14173" y="44336"/>
                                </a:lnTo>
                                <a:lnTo>
                                  <a:pt x="14173" y="50597"/>
                                </a:lnTo>
                                <a:cubicBezTo>
                                  <a:pt x="14173" y="68351"/>
                                  <a:pt x="14173" y="78702"/>
                                  <a:pt x="17374" y="82271"/>
                                </a:cubicBezTo>
                                <a:lnTo>
                                  <a:pt x="0" y="82271"/>
                                </a:lnTo>
                                <a:cubicBezTo>
                                  <a:pt x="3061" y="79083"/>
                                  <a:pt x="3188" y="66815"/>
                                  <a:pt x="3188" y="44844"/>
                                </a:cubicBezTo>
                                <a:lnTo>
                                  <a:pt x="3188" y="39611"/>
                                </a:lnTo>
                                <a:cubicBezTo>
                                  <a:pt x="3188" y="16612"/>
                                  <a:pt x="3188" y="3708"/>
                                  <a:pt x="0" y="381"/>
                                </a:cubicBezTo>
                                <a:lnTo>
                                  <a:pt x="8814" y="381"/>
                                </a:lnTo>
                                <a:cubicBezTo>
                                  <a:pt x="14935" y="381"/>
                                  <a:pt x="22733" y="0"/>
                                  <a:pt x="32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504261" y="127076"/>
                            <a:ext cx="41275" cy="81648"/>
                          </a:xfrm>
                          <a:custGeom>
                            <a:avLst/>
                            <a:gdLst/>
                            <a:ahLst/>
                            <a:cxnLst/>
                            <a:rect l="0" t="0" r="0" b="0"/>
                            <a:pathLst>
                              <a:path w="41275" h="81648">
                                <a:moveTo>
                                  <a:pt x="35420" y="0"/>
                                </a:moveTo>
                                <a:lnTo>
                                  <a:pt x="41275" y="0"/>
                                </a:lnTo>
                                <a:lnTo>
                                  <a:pt x="41275" y="10786"/>
                                </a:lnTo>
                                <a:lnTo>
                                  <a:pt x="28410" y="41529"/>
                                </a:lnTo>
                                <a:lnTo>
                                  <a:pt x="41275" y="41529"/>
                                </a:lnTo>
                                <a:lnTo>
                                  <a:pt x="41275" y="46241"/>
                                </a:lnTo>
                                <a:lnTo>
                                  <a:pt x="26365" y="46241"/>
                                </a:lnTo>
                                <a:lnTo>
                                  <a:pt x="20891" y="59614"/>
                                </a:lnTo>
                                <a:cubicBezTo>
                                  <a:pt x="18085" y="66370"/>
                                  <a:pt x="15672" y="72098"/>
                                  <a:pt x="15672" y="77711"/>
                                </a:cubicBezTo>
                                <a:cubicBezTo>
                                  <a:pt x="15672" y="79108"/>
                                  <a:pt x="15926" y="80378"/>
                                  <a:pt x="16307" y="81648"/>
                                </a:cubicBezTo>
                                <a:lnTo>
                                  <a:pt x="0" y="81648"/>
                                </a:lnTo>
                                <a:cubicBezTo>
                                  <a:pt x="8280" y="71717"/>
                                  <a:pt x="15926" y="57328"/>
                                  <a:pt x="23952" y="38468"/>
                                </a:cubicBezTo>
                                <a:cubicBezTo>
                                  <a:pt x="32868" y="17704"/>
                                  <a:pt x="36436" y="5740"/>
                                  <a:pt x="36436" y="3950"/>
                                </a:cubicBezTo>
                                <a:cubicBezTo>
                                  <a:pt x="36436" y="2553"/>
                                  <a:pt x="36055" y="1270"/>
                                  <a:pt x="354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545536" y="127076"/>
                            <a:ext cx="41529" cy="81648"/>
                          </a:xfrm>
                          <a:custGeom>
                            <a:avLst/>
                            <a:gdLst/>
                            <a:ahLst/>
                            <a:cxnLst/>
                            <a:rect l="0" t="0" r="0" b="0"/>
                            <a:pathLst>
                              <a:path w="41529" h="81648">
                                <a:moveTo>
                                  <a:pt x="0" y="0"/>
                                </a:moveTo>
                                <a:lnTo>
                                  <a:pt x="9931" y="0"/>
                                </a:lnTo>
                                <a:cubicBezTo>
                                  <a:pt x="23177" y="44209"/>
                                  <a:pt x="34265" y="71336"/>
                                  <a:pt x="41529" y="81648"/>
                                </a:cubicBezTo>
                                <a:lnTo>
                                  <a:pt x="27635" y="81648"/>
                                </a:lnTo>
                                <a:lnTo>
                                  <a:pt x="14770" y="46241"/>
                                </a:lnTo>
                                <a:lnTo>
                                  <a:pt x="0" y="46241"/>
                                </a:lnTo>
                                <a:lnTo>
                                  <a:pt x="0" y="41529"/>
                                </a:lnTo>
                                <a:lnTo>
                                  <a:pt x="12865" y="41529"/>
                                </a:lnTo>
                                <a:lnTo>
                                  <a:pt x="889" y="8661"/>
                                </a:lnTo>
                                <a:lnTo>
                                  <a:pt x="0" y="107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592112" y="127077"/>
                            <a:ext cx="89560" cy="83439"/>
                          </a:xfrm>
                          <a:custGeom>
                            <a:avLst/>
                            <a:gdLst/>
                            <a:ahLst/>
                            <a:cxnLst/>
                            <a:rect l="0" t="0" r="0" b="0"/>
                            <a:pathLst>
                              <a:path w="89560" h="83439">
                                <a:moveTo>
                                  <a:pt x="3696" y="0"/>
                                </a:moveTo>
                                <a:lnTo>
                                  <a:pt x="17958" y="0"/>
                                </a:lnTo>
                                <a:cubicBezTo>
                                  <a:pt x="19876" y="0"/>
                                  <a:pt x="20510" y="127"/>
                                  <a:pt x="21272" y="2299"/>
                                </a:cubicBezTo>
                                <a:lnTo>
                                  <a:pt x="44336" y="63817"/>
                                </a:lnTo>
                                <a:lnTo>
                                  <a:pt x="69939" y="2934"/>
                                </a:lnTo>
                                <a:cubicBezTo>
                                  <a:pt x="70828" y="635"/>
                                  <a:pt x="71590" y="0"/>
                                  <a:pt x="74143" y="0"/>
                                </a:cubicBezTo>
                                <a:lnTo>
                                  <a:pt x="86627" y="0"/>
                                </a:lnTo>
                                <a:cubicBezTo>
                                  <a:pt x="84201" y="3188"/>
                                  <a:pt x="83566" y="9817"/>
                                  <a:pt x="83566" y="19875"/>
                                </a:cubicBezTo>
                                <a:cubicBezTo>
                                  <a:pt x="83566" y="54648"/>
                                  <a:pt x="84328" y="74905"/>
                                  <a:pt x="89560" y="81648"/>
                                </a:cubicBezTo>
                                <a:lnTo>
                                  <a:pt x="70828" y="81648"/>
                                </a:lnTo>
                                <a:cubicBezTo>
                                  <a:pt x="73635" y="77318"/>
                                  <a:pt x="74143" y="71463"/>
                                  <a:pt x="74143" y="63182"/>
                                </a:cubicBezTo>
                                <a:cubicBezTo>
                                  <a:pt x="74143" y="62928"/>
                                  <a:pt x="74016" y="59233"/>
                                  <a:pt x="73889" y="52235"/>
                                </a:cubicBezTo>
                                <a:lnTo>
                                  <a:pt x="73114" y="7645"/>
                                </a:lnTo>
                                <a:lnTo>
                                  <a:pt x="41275" y="83439"/>
                                </a:lnTo>
                                <a:lnTo>
                                  <a:pt x="11849" y="7645"/>
                                </a:lnTo>
                                <a:lnTo>
                                  <a:pt x="11595" y="63310"/>
                                </a:lnTo>
                                <a:lnTo>
                                  <a:pt x="11595" y="67259"/>
                                </a:lnTo>
                                <a:cubicBezTo>
                                  <a:pt x="11595" y="72860"/>
                                  <a:pt x="11849" y="77584"/>
                                  <a:pt x="14529" y="81648"/>
                                </a:cubicBezTo>
                                <a:lnTo>
                                  <a:pt x="0" y="81648"/>
                                </a:lnTo>
                                <a:cubicBezTo>
                                  <a:pt x="5093" y="77203"/>
                                  <a:pt x="6883" y="53124"/>
                                  <a:pt x="6883" y="8915"/>
                                </a:cubicBezTo>
                                <a:cubicBezTo>
                                  <a:pt x="6883" y="5093"/>
                                  <a:pt x="6248" y="2553"/>
                                  <a:pt x="36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167"/>
                        <wps:cNvSpPr/>
                        <wps:spPr>
                          <a:xfrm>
                            <a:off x="691698" y="126691"/>
                            <a:ext cx="51448" cy="82296"/>
                          </a:xfrm>
                          <a:custGeom>
                            <a:avLst/>
                            <a:gdLst/>
                            <a:ahLst/>
                            <a:cxnLst/>
                            <a:rect l="0" t="0" r="0" b="0"/>
                            <a:pathLst>
                              <a:path w="51448" h="82296">
                                <a:moveTo>
                                  <a:pt x="40119" y="0"/>
                                </a:moveTo>
                                <a:cubicBezTo>
                                  <a:pt x="40615" y="0"/>
                                  <a:pt x="42024" y="140"/>
                                  <a:pt x="44577" y="140"/>
                                </a:cubicBezTo>
                                <a:lnTo>
                                  <a:pt x="45593" y="12103"/>
                                </a:lnTo>
                                <a:cubicBezTo>
                                  <a:pt x="43167" y="5740"/>
                                  <a:pt x="35789" y="5105"/>
                                  <a:pt x="22415" y="5105"/>
                                </a:cubicBezTo>
                                <a:lnTo>
                                  <a:pt x="15265" y="5105"/>
                                </a:lnTo>
                                <a:cubicBezTo>
                                  <a:pt x="14389" y="9055"/>
                                  <a:pt x="14135" y="17970"/>
                                  <a:pt x="14135" y="31852"/>
                                </a:cubicBezTo>
                                <a:lnTo>
                                  <a:pt x="14135" y="36055"/>
                                </a:lnTo>
                                <a:cubicBezTo>
                                  <a:pt x="17056" y="36309"/>
                                  <a:pt x="20371" y="36309"/>
                                  <a:pt x="24066" y="36309"/>
                                </a:cubicBezTo>
                                <a:cubicBezTo>
                                  <a:pt x="32220" y="36309"/>
                                  <a:pt x="39484" y="36055"/>
                                  <a:pt x="45847" y="34912"/>
                                </a:cubicBezTo>
                                <a:cubicBezTo>
                                  <a:pt x="39853" y="41783"/>
                                  <a:pt x="30556" y="42304"/>
                                  <a:pt x="17437" y="42304"/>
                                </a:cubicBezTo>
                                <a:cubicBezTo>
                                  <a:pt x="16675" y="42304"/>
                                  <a:pt x="15532" y="42164"/>
                                  <a:pt x="14135" y="42164"/>
                                </a:cubicBezTo>
                                <a:lnTo>
                                  <a:pt x="14135" y="50444"/>
                                </a:lnTo>
                                <a:cubicBezTo>
                                  <a:pt x="14135" y="64338"/>
                                  <a:pt x="14389" y="73381"/>
                                  <a:pt x="15265" y="77330"/>
                                </a:cubicBezTo>
                                <a:lnTo>
                                  <a:pt x="22657" y="77330"/>
                                </a:lnTo>
                                <a:cubicBezTo>
                                  <a:pt x="37059" y="77330"/>
                                  <a:pt x="46101" y="75794"/>
                                  <a:pt x="51448" y="68542"/>
                                </a:cubicBezTo>
                                <a:lnTo>
                                  <a:pt x="49289" y="81280"/>
                                </a:lnTo>
                                <a:cubicBezTo>
                                  <a:pt x="45974" y="81915"/>
                                  <a:pt x="41643" y="82296"/>
                                  <a:pt x="36551" y="82296"/>
                                </a:cubicBezTo>
                                <a:cubicBezTo>
                                  <a:pt x="29794" y="82296"/>
                                  <a:pt x="21133" y="82042"/>
                                  <a:pt x="10439" y="82042"/>
                                </a:cubicBezTo>
                                <a:lnTo>
                                  <a:pt x="0" y="82042"/>
                                </a:lnTo>
                                <a:cubicBezTo>
                                  <a:pt x="3048" y="78854"/>
                                  <a:pt x="3175" y="66624"/>
                                  <a:pt x="3175" y="44717"/>
                                </a:cubicBezTo>
                                <a:lnTo>
                                  <a:pt x="3175" y="39497"/>
                                </a:lnTo>
                                <a:cubicBezTo>
                                  <a:pt x="3175" y="16561"/>
                                  <a:pt x="3175" y="3696"/>
                                  <a:pt x="0" y="394"/>
                                </a:cubicBezTo>
                                <a:lnTo>
                                  <a:pt x="7887" y="394"/>
                                </a:lnTo>
                                <a:cubicBezTo>
                                  <a:pt x="22796" y="394"/>
                                  <a:pt x="33490" y="0"/>
                                  <a:pt x="401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751628" y="126387"/>
                            <a:ext cx="26435" cy="82339"/>
                          </a:xfrm>
                          <a:custGeom>
                            <a:avLst/>
                            <a:gdLst/>
                            <a:ahLst/>
                            <a:cxnLst/>
                            <a:rect l="0" t="0" r="0" b="0"/>
                            <a:pathLst>
                              <a:path w="26435" h="82339">
                                <a:moveTo>
                                  <a:pt x="26435" y="0"/>
                                </a:moveTo>
                                <a:lnTo>
                                  <a:pt x="26435" y="5881"/>
                                </a:lnTo>
                                <a:lnTo>
                                  <a:pt x="23317" y="4895"/>
                                </a:lnTo>
                                <a:cubicBezTo>
                                  <a:pt x="21019" y="4895"/>
                                  <a:pt x="18352" y="4895"/>
                                  <a:pt x="15291" y="5276"/>
                                </a:cubicBezTo>
                                <a:cubicBezTo>
                                  <a:pt x="14402" y="9352"/>
                                  <a:pt x="14135" y="17887"/>
                                  <a:pt x="14135" y="30752"/>
                                </a:cubicBezTo>
                                <a:lnTo>
                                  <a:pt x="14135" y="38016"/>
                                </a:lnTo>
                                <a:cubicBezTo>
                                  <a:pt x="15799" y="38397"/>
                                  <a:pt x="17590" y="38524"/>
                                  <a:pt x="19495" y="38524"/>
                                </a:cubicBezTo>
                                <a:lnTo>
                                  <a:pt x="26435" y="36136"/>
                                </a:lnTo>
                                <a:lnTo>
                                  <a:pt x="26435" y="50692"/>
                                </a:lnTo>
                                <a:lnTo>
                                  <a:pt x="24841" y="48456"/>
                                </a:lnTo>
                                <a:cubicBezTo>
                                  <a:pt x="22289" y="44900"/>
                                  <a:pt x="20384" y="42982"/>
                                  <a:pt x="15164" y="42982"/>
                                </a:cubicBezTo>
                                <a:lnTo>
                                  <a:pt x="14135" y="42982"/>
                                </a:lnTo>
                                <a:lnTo>
                                  <a:pt x="14135" y="50754"/>
                                </a:lnTo>
                                <a:cubicBezTo>
                                  <a:pt x="14135" y="68458"/>
                                  <a:pt x="14135" y="78783"/>
                                  <a:pt x="17323" y="82339"/>
                                </a:cubicBezTo>
                                <a:lnTo>
                                  <a:pt x="0" y="82339"/>
                                </a:lnTo>
                                <a:cubicBezTo>
                                  <a:pt x="3061" y="79164"/>
                                  <a:pt x="3200" y="66934"/>
                                  <a:pt x="3200" y="45027"/>
                                </a:cubicBezTo>
                                <a:lnTo>
                                  <a:pt x="3200" y="39794"/>
                                </a:lnTo>
                                <a:cubicBezTo>
                                  <a:pt x="3200" y="16871"/>
                                  <a:pt x="3200" y="4006"/>
                                  <a:pt x="0" y="691"/>
                                </a:cubicBezTo>
                                <a:lnTo>
                                  <a:pt x="3696" y="691"/>
                                </a:lnTo>
                                <a:cubicBezTo>
                                  <a:pt x="10192" y="691"/>
                                  <a:pt x="15732" y="469"/>
                                  <a:pt x="20334" y="246"/>
                                </a:cubicBezTo>
                                <a:lnTo>
                                  <a:pt x="264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778063" y="126189"/>
                            <a:ext cx="38665" cy="82537"/>
                          </a:xfrm>
                          <a:custGeom>
                            <a:avLst/>
                            <a:gdLst/>
                            <a:ahLst/>
                            <a:cxnLst/>
                            <a:rect l="0" t="0" r="0" b="0"/>
                            <a:pathLst>
                              <a:path w="38665" h="82537">
                                <a:moveTo>
                                  <a:pt x="4909" y="0"/>
                                </a:moveTo>
                                <a:cubicBezTo>
                                  <a:pt x="17901" y="0"/>
                                  <a:pt x="24530" y="5728"/>
                                  <a:pt x="24530" y="16307"/>
                                </a:cubicBezTo>
                                <a:cubicBezTo>
                                  <a:pt x="24530" y="26746"/>
                                  <a:pt x="17901" y="35027"/>
                                  <a:pt x="5150" y="40373"/>
                                </a:cubicBezTo>
                                <a:lnTo>
                                  <a:pt x="23374" y="65723"/>
                                </a:lnTo>
                                <a:cubicBezTo>
                                  <a:pt x="29496" y="74130"/>
                                  <a:pt x="34588" y="79743"/>
                                  <a:pt x="38665" y="82537"/>
                                </a:cubicBezTo>
                                <a:lnTo>
                                  <a:pt x="26562" y="82537"/>
                                </a:lnTo>
                                <a:cubicBezTo>
                                  <a:pt x="23374" y="82537"/>
                                  <a:pt x="22104" y="81902"/>
                                  <a:pt x="20199" y="79235"/>
                                </a:cubicBezTo>
                                <a:lnTo>
                                  <a:pt x="0" y="50890"/>
                                </a:lnTo>
                                <a:lnTo>
                                  <a:pt x="0" y="36334"/>
                                </a:lnTo>
                                <a:lnTo>
                                  <a:pt x="7361" y="33801"/>
                                </a:lnTo>
                                <a:cubicBezTo>
                                  <a:pt x="10611" y="30601"/>
                                  <a:pt x="12300" y="25921"/>
                                  <a:pt x="12300" y="20003"/>
                                </a:cubicBezTo>
                                <a:cubicBezTo>
                                  <a:pt x="12300" y="14967"/>
                                  <a:pt x="11055" y="11240"/>
                                  <a:pt x="8506" y="8771"/>
                                </a:cubicBezTo>
                                <a:lnTo>
                                  <a:pt x="0" y="6079"/>
                                </a:lnTo>
                                <a:lnTo>
                                  <a:pt x="0" y="198"/>
                                </a:lnTo>
                                <a:lnTo>
                                  <a:pt x="4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821548" y="127084"/>
                            <a:ext cx="17323" cy="81648"/>
                          </a:xfrm>
                          <a:custGeom>
                            <a:avLst/>
                            <a:gdLst/>
                            <a:ahLst/>
                            <a:cxnLst/>
                            <a:rect l="0" t="0" r="0" b="0"/>
                            <a:pathLst>
                              <a:path w="17323" h="81648">
                                <a:moveTo>
                                  <a:pt x="0" y="0"/>
                                </a:moveTo>
                                <a:lnTo>
                                  <a:pt x="17323" y="0"/>
                                </a:lnTo>
                                <a:cubicBezTo>
                                  <a:pt x="14262" y="3048"/>
                                  <a:pt x="14135" y="14770"/>
                                  <a:pt x="14135" y="35789"/>
                                </a:cubicBezTo>
                                <a:lnTo>
                                  <a:pt x="14135" y="45720"/>
                                </a:lnTo>
                                <a:cubicBezTo>
                                  <a:pt x="14135" y="66738"/>
                                  <a:pt x="14262" y="78588"/>
                                  <a:pt x="17323" y="81648"/>
                                </a:cubicBezTo>
                                <a:lnTo>
                                  <a:pt x="0" y="81648"/>
                                </a:lnTo>
                                <a:cubicBezTo>
                                  <a:pt x="3048" y="78461"/>
                                  <a:pt x="3175" y="66230"/>
                                  <a:pt x="3175" y="44323"/>
                                </a:cubicBezTo>
                                <a:lnTo>
                                  <a:pt x="3175" y="39103"/>
                                </a:lnTo>
                                <a:cubicBezTo>
                                  <a:pt x="3175" y="16167"/>
                                  <a:pt x="3175" y="3302"/>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848178" y="125556"/>
                            <a:ext cx="66878" cy="84709"/>
                          </a:xfrm>
                          <a:custGeom>
                            <a:avLst/>
                            <a:gdLst/>
                            <a:ahLst/>
                            <a:cxnLst/>
                            <a:rect l="0" t="0" r="0" b="0"/>
                            <a:pathLst>
                              <a:path w="66878" h="84709">
                                <a:moveTo>
                                  <a:pt x="43307" y="0"/>
                                </a:moveTo>
                                <a:cubicBezTo>
                                  <a:pt x="49695" y="0"/>
                                  <a:pt x="55931" y="1524"/>
                                  <a:pt x="62293" y="1524"/>
                                </a:cubicBezTo>
                                <a:lnTo>
                                  <a:pt x="61532" y="18974"/>
                                </a:lnTo>
                                <a:cubicBezTo>
                                  <a:pt x="57963" y="10185"/>
                                  <a:pt x="51473" y="5601"/>
                                  <a:pt x="41910" y="5601"/>
                                </a:cubicBezTo>
                                <a:cubicBezTo>
                                  <a:pt x="23698" y="5601"/>
                                  <a:pt x="12624" y="18339"/>
                                  <a:pt x="12624" y="39484"/>
                                </a:cubicBezTo>
                                <a:cubicBezTo>
                                  <a:pt x="12624" y="61900"/>
                                  <a:pt x="25476" y="75273"/>
                                  <a:pt x="44082" y="75273"/>
                                </a:cubicBezTo>
                                <a:cubicBezTo>
                                  <a:pt x="53251" y="75273"/>
                                  <a:pt x="61278" y="71577"/>
                                  <a:pt x="66878" y="65215"/>
                                </a:cubicBezTo>
                                <a:cubicBezTo>
                                  <a:pt x="63957" y="76810"/>
                                  <a:pt x="52997" y="84709"/>
                                  <a:pt x="38100" y="84709"/>
                                </a:cubicBezTo>
                                <a:cubicBezTo>
                                  <a:pt x="16180" y="84709"/>
                                  <a:pt x="0" y="67882"/>
                                  <a:pt x="0" y="43180"/>
                                </a:cubicBezTo>
                                <a:cubicBezTo>
                                  <a:pt x="0" y="16548"/>
                                  <a:pt x="15926" y="0"/>
                                  <a:pt x="433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914117" y="127076"/>
                            <a:ext cx="41275" cy="81648"/>
                          </a:xfrm>
                          <a:custGeom>
                            <a:avLst/>
                            <a:gdLst/>
                            <a:ahLst/>
                            <a:cxnLst/>
                            <a:rect l="0" t="0" r="0" b="0"/>
                            <a:pathLst>
                              <a:path w="41275" h="81648">
                                <a:moveTo>
                                  <a:pt x="35420" y="0"/>
                                </a:moveTo>
                                <a:lnTo>
                                  <a:pt x="41275" y="0"/>
                                </a:lnTo>
                                <a:lnTo>
                                  <a:pt x="41275" y="10786"/>
                                </a:lnTo>
                                <a:lnTo>
                                  <a:pt x="28410" y="41529"/>
                                </a:lnTo>
                                <a:lnTo>
                                  <a:pt x="41275" y="41529"/>
                                </a:lnTo>
                                <a:lnTo>
                                  <a:pt x="41275" y="46241"/>
                                </a:lnTo>
                                <a:lnTo>
                                  <a:pt x="26365" y="46241"/>
                                </a:lnTo>
                                <a:lnTo>
                                  <a:pt x="20892" y="59614"/>
                                </a:lnTo>
                                <a:cubicBezTo>
                                  <a:pt x="18085" y="66370"/>
                                  <a:pt x="15672" y="72098"/>
                                  <a:pt x="15672" y="77711"/>
                                </a:cubicBezTo>
                                <a:cubicBezTo>
                                  <a:pt x="15672" y="79108"/>
                                  <a:pt x="15926" y="80378"/>
                                  <a:pt x="16307" y="81648"/>
                                </a:cubicBezTo>
                                <a:lnTo>
                                  <a:pt x="0" y="81648"/>
                                </a:lnTo>
                                <a:cubicBezTo>
                                  <a:pt x="8280" y="71717"/>
                                  <a:pt x="15926" y="57328"/>
                                  <a:pt x="23952" y="38468"/>
                                </a:cubicBezTo>
                                <a:cubicBezTo>
                                  <a:pt x="32868" y="17704"/>
                                  <a:pt x="36424" y="5740"/>
                                  <a:pt x="36424" y="3950"/>
                                </a:cubicBezTo>
                                <a:cubicBezTo>
                                  <a:pt x="36424" y="2553"/>
                                  <a:pt x="36055" y="1270"/>
                                  <a:pt x="354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955392" y="127076"/>
                            <a:ext cx="41516" cy="81648"/>
                          </a:xfrm>
                          <a:custGeom>
                            <a:avLst/>
                            <a:gdLst/>
                            <a:ahLst/>
                            <a:cxnLst/>
                            <a:rect l="0" t="0" r="0" b="0"/>
                            <a:pathLst>
                              <a:path w="41516" h="81648">
                                <a:moveTo>
                                  <a:pt x="0" y="0"/>
                                </a:moveTo>
                                <a:lnTo>
                                  <a:pt x="9931" y="0"/>
                                </a:lnTo>
                                <a:cubicBezTo>
                                  <a:pt x="23177" y="44209"/>
                                  <a:pt x="34265" y="71336"/>
                                  <a:pt x="41516" y="81648"/>
                                </a:cubicBezTo>
                                <a:lnTo>
                                  <a:pt x="27635" y="81648"/>
                                </a:lnTo>
                                <a:lnTo>
                                  <a:pt x="14770" y="46241"/>
                                </a:lnTo>
                                <a:lnTo>
                                  <a:pt x="0" y="46241"/>
                                </a:lnTo>
                                <a:lnTo>
                                  <a:pt x="0" y="41529"/>
                                </a:lnTo>
                                <a:lnTo>
                                  <a:pt x="12865" y="41529"/>
                                </a:lnTo>
                                <a:lnTo>
                                  <a:pt x="889" y="8661"/>
                                </a:lnTo>
                                <a:lnTo>
                                  <a:pt x="0" y="107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1013805" y="124356"/>
                            <a:ext cx="11919" cy="30442"/>
                          </a:xfrm>
                          <a:custGeom>
                            <a:avLst/>
                            <a:gdLst/>
                            <a:ahLst/>
                            <a:cxnLst/>
                            <a:rect l="0" t="0" r="0" b="0"/>
                            <a:pathLst>
                              <a:path w="11919" h="30442">
                                <a:moveTo>
                                  <a:pt x="0" y="0"/>
                                </a:moveTo>
                                <a:lnTo>
                                  <a:pt x="11303" y="0"/>
                                </a:lnTo>
                                <a:lnTo>
                                  <a:pt x="11919" y="133"/>
                                </a:lnTo>
                                <a:lnTo>
                                  <a:pt x="11919" y="4371"/>
                                </a:lnTo>
                                <a:lnTo>
                                  <a:pt x="10325" y="3340"/>
                                </a:lnTo>
                                <a:lnTo>
                                  <a:pt x="5131" y="3340"/>
                                </a:lnTo>
                                <a:lnTo>
                                  <a:pt x="5131" y="13881"/>
                                </a:lnTo>
                                <a:lnTo>
                                  <a:pt x="10477" y="13881"/>
                                </a:lnTo>
                                <a:lnTo>
                                  <a:pt x="11919" y="12985"/>
                                </a:lnTo>
                                <a:lnTo>
                                  <a:pt x="11919" y="17891"/>
                                </a:lnTo>
                                <a:lnTo>
                                  <a:pt x="11595" y="17221"/>
                                </a:lnTo>
                                <a:lnTo>
                                  <a:pt x="5131" y="17221"/>
                                </a:lnTo>
                                <a:lnTo>
                                  <a:pt x="5131" y="30442"/>
                                </a:lnTo>
                                <a:lnTo>
                                  <a:pt x="0" y="304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997778" y="113358"/>
                            <a:ext cx="27946" cy="53327"/>
                          </a:xfrm>
                          <a:custGeom>
                            <a:avLst/>
                            <a:gdLst/>
                            <a:ahLst/>
                            <a:cxnLst/>
                            <a:rect l="0" t="0" r="0" b="0"/>
                            <a:pathLst>
                              <a:path w="27946" h="53327">
                                <a:moveTo>
                                  <a:pt x="26581" y="0"/>
                                </a:moveTo>
                                <a:lnTo>
                                  <a:pt x="27946" y="565"/>
                                </a:lnTo>
                                <a:lnTo>
                                  <a:pt x="27946" y="3763"/>
                                </a:lnTo>
                                <a:lnTo>
                                  <a:pt x="26581" y="3200"/>
                                </a:lnTo>
                                <a:cubicBezTo>
                                  <a:pt x="20269" y="3200"/>
                                  <a:pt x="14541" y="5499"/>
                                  <a:pt x="10236" y="9881"/>
                                </a:cubicBezTo>
                                <a:cubicBezTo>
                                  <a:pt x="5626" y="14491"/>
                                  <a:pt x="3188" y="20422"/>
                                  <a:pt x="3188" y="26670"/>
                                </a:cubicBezTo>
                                <a:cubicBezTo>
                                  <a:pt x="3188" y="32829"/>
                                  <a:pt x="5626" y="38621"/>
                                  <a:pt x="10096" y="43155"/>
                                </a:cubicBezTo>
                                <a:cubicBezTo>
                                  <a:pt x="14541" y="47676"/>
                                  <a:pt x="20409" y="50063"/>
                                  <a:pt x="26505" y="50063"/>
                                </a:cubicBezTo>
                                <a:lnTo>
                                  <a:pt x="27946" y="49470"/>
                                </a:lnTo>
                                <a:lnTo>
                                  <a:pt x="27946" y="52754"/>
                                </a:lnTo>
                                <a:lnTo>
                                  <a:pt x="26581" y="53327"/>
                                </a:lnTo>
                                <a:cubicBezTo>
                                  <a:pt x="19520" y="53327"/>
                                  <a:pt x="12916" y="50508"/>
                                  <a:pt x="7785" y="45377"/>
                                </a:cubicBezTo>
                                <a:cubicBezTo>
                                  <a:pt x="2743" y="40335"/>
                                  <a:pt x="0" y="33718"/>
                                  <a:pt x="0" y="26670"/>
                                </a:cubicBezTo>
                                <a:cubicBezTo>
                                  <a:pt x="0" y="19609"/>
                                  <a:pt x="2807" y="12852"/>
                                  <a:pt x="8014" y="7658"/>
                                </a:cubicBezTo>
                                <a:cubicBezTo>
                                  <a:pt x="12916" y="2680"/>
                                  <a:pt x="19368" y="0"/>
                                  <a:pt x="265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1025724" y="124489"/>
                            <a:ext cx="12071" cy="30309"/>
                          </a:xfrm>
                          <a:custGeom>
                            <a:avLst/>
                            <a:gdLst/>
                            <a:ahLst/>
                            <a:cxnLst/>
                            <a:rect l="0" t="0" r="0" b="0"/>
                            <a:pathLst>
                              <a:path w="12071" h="30309">
                                <a:moveTo>
                                  <a:pt x="0" y="0"/>
                                </a:moveTo>
                                <a:lnTo>
                                  <a:pt x="8900" y="1917"/>
                                </a:lnTo>
                                <a:cubicBezTo>
                                  <a:pt x="11014" y="3300"/>
                                  <a:pt x="12071" y="5398"/>
                                  <a:pt x="12071" y="8262"/>
                                </a:cubicBezTo>
                                <a:cubicBezTo>
                                  <a:pt x="12071" y="12491"/>
                                  <a:pt x="9404" y="15603"/>
                                  <a:pt x="4947" y="16352"/>
                                </a:cubicBezTo>
                                <a:lnTo>
                                  <a:pt x="11767" y="30309"/>
                                </a:lnTo>
                                <a:lnTo>
                                  <a:pt x="6064" y="30309"/>
                                </a:lnTo>
                                <a:lnTo>
                                  <a:pt x="0" y="17759"/>
                                </a:lnTo>
                                <a:lnTo>
                                  <a:pt x="0" y="12852"/>
                                </a:lnTo>
                                <a:lnTo>
                                  <a:pt x="6788" y="8630"/>
                                </a:lnTo>
                                <a:lnTo>
                                  <a:pt x="0" y="4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1025724" y="113923"/>
                            <a:ext cx="25292" cy="52189"/>
                          </a:xfrm>
                          <a:custGeom>
                            <a:avLst/>
                            <a:gdLst/>
                            <a:ahLst/>
                            <a:cxnLst/>
                            <a:rect l="0" t="0" r="0" b="0"/>
                            <a:pathLst>
                              <a:path w="25292" h="52189">
                                <a:moveTo>
                                  <a:pt x="0" y="0"/>
                                </a:moveTo>
                                <a:lnTo>
                                  <a:pt x="17647" y="7309"/>
                                </a:lnTo>
                                <a:cubicBezTo>
                                  <a:pt x="22612" y="12287"/>
                                  <a:pt x="25292" y="18967"/>
                                  <a:pt x="25292" y="26105"/>
                                </a:cubicBezTo>
                                <a:cubicBezTo>
                                  <a:pt x="25292" y="33382"/>
                                  <a:pt x="22612" y="39909"/>
                                  <a:pt x="17570" y="44812"/>
                                </a:cubicBezTo>
                                <a:lnTo>
                                  <a:pt x="0" y="52189"/>
                                </a:lnTo>
                                <a:lnTo>
                                  <a:pt x="0" y="48904"/>
                                </a:lnTo>
                                <a:lnTo>
                                  <a:pt x="15335" y="42589"/>
                                </a:lnTo>
                                <a:cubicBezTo>
                                  <a:pt x="19717" y="38284"/>
                                  <a:pt x="22181" y="32556"/>
                                  <a:pt x="22181" y="26244"/>
                                </a:cubicBezTo>
                                <a:cubicBezTo>
                                  <a:pt x="22181" y="19856"/>
                                  <a:pt x="19793" y="13925"/>
                                  <a:pt x="15411" y="9544"/>
                                </a:cubicBezTo>
                                <a:lnTo>
                                  <a:pt x="0" y="31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 style="width:137.143pt;height:23.999pt;mso-position-horizontal-relative:char;mso-position-vertical-relative:line" coordsize="17417,3047">
                <v:shape id="Shape 135" style="position:absolute;width:3046;height:2202;left:0;top:2;" coordsize="304648,220218" path="m91567,0l304648,51l304648,109944c277520,99860,248171,94323,217526,94323c124612,94323,43586,145021,445,220218l0,91580c0,40996,40996,0,91567,0x">
                  <v:stroke weight="0pt" endcap="flat" joinstyle="miter" miterlimit="10" on="false" color="#000000" opacity="0"/>
                  <v:fill on="true" color="#000000"/>
                </v:shape>
                <v:shape id="Shape 136" style="position:absolute;width:3027;height:1976;left:17;top:1070;" coordsize="302755,197688" path="m244323,0c264452,0,284010,2438,302755,6947l302755,197688l0,197688c23978,84760,124231,0,244323,0x">
                  <v:stroke weight="0pt" endcap="flat" joinstyle="miter" miterlimit="10" on="false" color="#000000" opacity="0"/>
                  <v:fill on="true" color="#000000"/>
                </v:shape>
                <v:shape id="Shape 137" style="position:absolute;width:679;height:818;left:3331;top:15;" coordsize="67958,81890" path="m3061,0l67958,0c64757,4978,60541,6515,54153,6515l38570,6642c38062,20053,37935,32068,37935,42672c37935,65786,37935,78562,41123,81890l23749,81890c26822,78689,26949,66942,26949,45860l26949,40881c26949,30277,26822,19037,26187,6896l12637,6896c8166,6896,4216,7277,0,10096l3061,0x">
                  <v:stroke weight="0pt" endcap="flat" joinstyle="miter" miterlimit="10" on="false" color="#000000" opacity="0"/>
                  <v:fill on="true" color="#000000"/>
                </v:shape>
                <v:shape id="Shape 138" style="position:absolute;width:665;height:818;left:4065;top:15;" coordsize="66561,81877" path="m0,0l17374,0c14173,3569,14173,13792,14173,31547l14173,35763l52375,35763l52375,31547c52375,13792,52248,3569,49047,0l66561,0c63487,3061,63360,14808,63360,35890l63360,45860c63360,66929,63487,78816,66561,81877l49047,81877c52121,78296,52375,67958,52375,50203l52375,40488l14173,40488l14173,50203c14173,67958,14173,78296,17374,81877l0,81877c3061,78689,3188,66421,3188,44450l3188,39205c3188,16218,3188,3315,0,0x">
                  <v:stroke weight="0pt" endcap="flat" joinstyle="miter" miterlimit="10" on="false" color="#000000" opacity="0"/>
                  <v:fill on="true" color="#000000"/>
                </v:shape>
                <v:shape id="Shape 139" style="position:absolute;width:516;height:825;left:4860;top:11;" coordsize="51613,82525" path="m40246,0c40754,0,42164,127,44717,127l45733,12141c43307,5753,35903,5118,22492,5118l15329,5118c14440,9080,14186,18021,14186,31940l14186,36157c17132,36411,20447,36411,24155,36411c32334,36411,39611,36157,45999,35001c39992,41910,30671,42418,17513,42418c16739,42418,15596,42291,14186,42291l14186,50597c14186,64516,14440,73584,15329,77546l22746,77546c37186,77546,46253,76010,51613,68732l49441,81509c46126,82144,41783,82525,36665,82525c29896,82525,21209,82271,10477,82271l0,82271c3073,79083,3200,66815,3200,44844l3200,39611c3200,16612,3200,3708,0,394l7925,394c22873,394,33604,0,40246,0x">
                  <v:stroke weight="0pt" endcap="flat" joinstyle="miter" miterlimit="10" on="false" color="#000000" opacity="0"/>
                  <v:fill on="true" color="#000000"/>
                </v:shape>
                <v:shape id="Shape 140" style="position:absolute;width:740;height:849;left:5774;top:0;" coordsize="74092,84932" path="m50967,0l51333,0l71158,1518l71031,16466c64770,9443,56464,5862,46241,5862c26060,5862,13284,19921,13284,42654c13284,65653,27203,78683,49695,78683c53010,78683,56083,78430,59144,77655c59906,72930,60173,67952,60173,62580c60173,51975,59398,45206,56972,42273l74092,42273c71412,46108,71158,53766,71158,65653c71158,73311,71285,79065,72555,82773c58890,83535,49187,84932,43434,84932c15202,84932,0,70378,0,44698c0,24296,10708,9344,29586,3143l50967,0x">
                  <v:stroke weight="0pt" endcap="flat" joinstyle="miter" miterlimit="10" on="false" color="#000000" opacity="0"/>
                  <v:fill on="true" color="#000000"/>
                </v:shape>
                <v:shape id="Shape 141" style="position:absolute;width:516;height:825;left:6646;top:11;" coordsize="51600,82525" path="m40234,0c40742,0,42151,127,44704,127l45733,12141c43294,5753,35890,5118,22479,5118l15329,5118c14427,9080,14173,18021,14173,31940l14173,36157c17120,36411,20434,36411,24143,36411c32309,36411,39599,36157,45987,35001c39980,41910,30658,42418,17501,42418c16739,42418,15583,42291,14173,42291l14173,50597c14173,64516,14427,73584,15329,77546l22733,77546c37173,77546,46241,76010,51600,68732l49428,81509c46114,82144,41770,82525,36652,82525c29896,82525,21196,82271,10465,82271l0,82271c3061,79083,3188,66815,3188,44844l3188,39611c3188,16612,3188,3708,0,394l7912,394c22860,394,33591,0,40234,0x">
                  <v:stroke weight="0pt" endcap="flat" joinstyle="miter" miterlimit="10" on="false" color="#000000" opacity="0"/>
                  <v:fill on="true" color="#000000"/>
                </v:shape>
                <v:shape id="Shape 142" style="position:absolute;width:396;height:846;left:7236;top:2;" coordsize="39662,84691" path="m39662,0l39662,5580l20196,14453c15519,20346,12903,29065,12903,40368c12903,58761,19011,71053,29555,76049l39662,78179l39662,84301l37554,84691c13538,84691,0,70010,0,43822c0,22458,8115,8344,23494,2622l39662,0x">
                  <v:stroke weight="0pt" endcap="flat" joinstyle="miter" miterlimit="10" on="false" color="#000000" opacity="0"/>
                  <v:fill on="true" color="#000000"/>
                </v:shape>
                <v:shape id="Shape 143" style="position:absolute;width:395;height:845;left:7632;top:0;" coordsize="39535,84544" path="m1495,0l1712,0l18141,2515c32348,7572,39535,20176,39535,40102c39535,60600,30262,75569,15012,81772l0,84544l0,78421l1854,78812c17056,78812,26759,66544,26759,44700c26759,20049,16408,5736,190,5736l0,5823l0,242l1495,0x">
                  <v:stroke weight="0pt" endcap="flat" joinstyle="miter" miterlimit="10" on="false" color="#000000" opacity="0"/>
                  <v:fill on="true" color="#000000"/>
                </v:shape>
                <v:shape id="Shape 144" style="position:absolute;width:462;height:821;left:8130;top:15;" coordsize="46228,82144" path="m0,0l17361,0c14300,3188,14173,15456,14173,37300l14173,42545c14173,62471,14681,74092,15329,77152c17742,77292,19914,77292,22085,77292c33972,77292,41250,75502,46228,68339l43421,81115c40107,81763,35763,82144,30645,82144c23876,82144,15189,81890,4458,81890l0,81890c3061,78689,3188,66434,3188,44450l3188,39218c3188,16231,3188,3327,0,0x">
                  <v:stroke weight="0pt" endcap="flat" joinstyle="miter" miterlimit="10" on="false" color="#000000" opacity="0"/>
                  <v:fill on="true" color="#000000"/>
                </v:shape>
                <v:shape id="Shape 145" style="position:absolute;width:396;height:846;left:8647;top:2;" coordsize="39662,84693" path="m39662,0l39662,5582l20196,14455c15519,20348,12903,29067,12903,40370c12903,58763,19004,71054,29550,76051l39662,78181l39662,84303l37554,84693c13538,84693,0,70012,0,43824c0,22460,8115,8346,23489,2624l39662,0x">
                  <v:stroke weight="0pt" endcap="flat" joinstyle="miter" miterlimit="10" on="false" color="#000000" opacity="0"/>
                  <v:fill on="true" color="#000000"/>
                </v:shape>
                <v:shape id="Shape 146" style="position:absolute;width:395;height:845;left:9044;top:0;" coordsize="39535,84544" path="m1482,0l1699,0l18136,2515c32349,7572,39535,20176,39535,40102c39535,60600,30262,75569,15012,81772l0,84544l0,78421l1854,78812c17043,78812,26759,66544,26759,44700c26759,20049,16408,5736,190,5736l0,5823l0,240l1482,0x">
                  <v:stroke weight="0pt" endcap="flat" joinstyle="miter" miterlimit="10" on="false" color="#000000" opacity="0"/>
                  <v:fill on="true" color="#000000"/>
                </v:shape>
                <v:shape id="Shape 147" style="position:absolute;width:740;height:849;left:9521;top:0;" coordsize="74092,84932" path="m50967,0l51333,0l71158,1518l71031,16466c64770,9443,56464,5862,46241,5862c26060,5862,13284,19921,13284,42654c13284,65653,27203,78683,49695,78683c53010,78683,56083,78430,59144,77655c59906,72930,60173,67952,60173,62580c60173,51975,59398,45206,56972,42273l74092,42273c71412,46108,71158,53766,71158,65653c71158,73311,71285,79065,72555,82773c58890,83535,49187,84932,43434,84932c15202,84932,0,70378,0,44698c0,24296,10708,9344,29586,3143l50967,0x">
                  <v:stroke weight="0pt" endcap="flat" joinstyle="miter" miterlimit="10" on="false" color="#000000" opacity="0"/>
                  <v:fill on="true" color="#000000"/>
                </v:shape>
                <v:shape id="Shape 148" style="position:absolute;width:173;height:818;left:10392;top:15;" coordsize="17374,81877" path="m0,0l17374,0c14300,3061,14173,14808,14173,35890l14173,45860c14173,66929,14300,78816,17374,81877l0,81877c3061,78689,3188,66421,3188,44450l3188,39218c3188,16218,3188,3315,0,0x">
                  <v:stroke weight="0pt" endcap="flat" joinstyle="miter" miterlimit="10" on="false" color="#000000" opacity="0"/>
                  <v:fill on="true" color="#000000"/>
                </v:shape>
                <v:shape id="Shape 149" style="position:absolute;width:670;height:849;left:10674;top:0;" coordsize="67069,84935" path="m43354,0l43635,0l62471,1522l61709,19022c58128,10208,51613,5611,42037,5611c23774,5611,12649,18387,12649,39583c12649,62075,25552,75486,44209,75486c53404,75486,61455,71778,67069,65390c64135,77023,53149,84935,38202,84935c16231,84935,0,68082,0,43292c0,23270,8987,8921,25069,2997l43354,0x">
                  <v:stroke weight="0pt" endcap="flat" joinstyle="miter" miterlimit="10" on="false" color="#000000" opacity="0"/>
                  <v:fill on="true" color="#000000"/>
                </v:shape>
                <v:shape id="Shape 150" style="position:absolute;width:413;height:818;left:11322;top:15;" coordsize="41389,81890" path="m35522,0l41389,0l41389,10811l28486,41643l41389,41643l41389,46368l26441,46368l20955,59779c18136,66561,15710,72301,15710,77927c15710,79324,15964,80607,16358,81890l0,81890c8306,71920,15964,57480,24016,38583c32957,17755,36538,5740,36538,3962c36538,2553,36157,1270,35522,0x">
                  <v:stroke weight="0pt" endcap="flat" joinstyle="miter" miterlimit="10" on="false" color="#000000" opacity="0"/>
                  <v:fill on="true" color="#000000"/>
                </v:shape>
                <v:shape id="Shape 151" style="position:absolute;width:416;height:818;left:11736;top:15;" coordsize="41643,81890" path="m0,0l9970,0c23254,44323,34366,71539,41643,81890l27724,81890l14821,46368l0,46368l0,41643l12903,41643l889,8687l0,10811l0,0x">
                  <v:stroke weight="0pt" endcap="flat" joinstyle="miter" miterlimit="10" on="false" color="#000000" opacity="0"/>
                  <v:fill on="true" color="#000000"/>
                </v:shape>
                <v:shape id="Shape 152" style="position:absolute;width:462;height:821;left:12197;top:15;" coordsize="46241,82144" path="m0,0l17374,0c14313,3188,14173,15456,14173,37300l14173,42545c14173,62471,14694,74092,15329,77152c17755,77292,19926,77292,22098,77292c33985,77292,41262,75502,46241,68339l43434,81115c40106,81763,35763,82144,30658,82144c23889,82144,15202,81890,4470,81890l0,81890c3073,78689,3188,66434,3188,44450l3188,39218c3188,16231,3188,3327,0,0x">
                  <v:stroke weight="0pt" endcap="flat" joinstyle="miter" miterlimit="10" on="false" color="#000000" opacity="0"/>
                  <v:fill on="true" color="#000000"/>
                </v:shape>
                <v:shape id="Shape 153" style="position:absolute;width:518;height:849;left:13031;top:0;" coordsize="51867,84932" path="m29332,0l29851,0l42926,503c43561,503,44323,630,45352,630l48539,630l48539,13914c45352,8542,39472,5608,31686,5608c20434,5608,14440,11107,14440,18511c14440,27579,22225,31415,32195,36647c45225,43543,51867,50198,51867,60155c51867,73312,39726,84932,22619,84932c15583,84932,8179,83154,0,80081l0,66162c4991,74595,13030,79192,23000,79192c33211,79192,39726,72423,39726,63609c39726,55938,35001,51087,26060,46236c12776,38946,2807,34094,2807,21318c2807,15381,5299,10047,9868,6197l29332,0x">
                  <v:stroke weight="0pt" endcap="flat" joinstyle="miter" miterlimit="10" on="false" color="#000000" opacity="0"/>
                  <v:fill on="true" color="#000000"/>
                </v:shape>
                <v:shape id="Shape 154" style="position:absolute;width:396;height:846;left:13611;top:2;" coordsize="39656,84690" path="m39656,0l39656,5582l20190,14452c15510,20345,12890,29064,12890,40367c12890,58760,18998,71052,29548,76048l39656,78176l39656,84302l37554,84690c13538,84690,0,70009,0,43821c0,22457,8115,8343,23494,2621l39656,0x">
                  <v:stroke weight="0pt" endcap="flat" joinstyle="miter" miterlimit="10" on="false" color="#000000" opacity="0"/>
                  <v:fill on="true" color="#000000"/>
                </v:shape>
                <v:shape id="Shape 155" style="position:absolute;width:395;height:845;left:14008;top:0;" coordsize="39541,84545" path="m1501,0l1718,0l18148,2515c32355,7572,39541,20176,39541,40102c39541,60600,30269,75569,15019,81772l0,84545l0,78420l1861,78812c17062,78812,26765,66544,26765,44700c26765,20049,16415,5736,197,5736l0,5826l0,243l1501,0x">
                  <v:stroke weight="0pt" endcap="flat" joinstyle="miter" miterlimit="10" on="false" color="#000000" opacity="0"/>
                  <v:fill on="true" color="#000000"/>
                </v:shape>
                <v:shape id="Shape 156" style="position:absolute;width:670;height:849;left:14482;top:0;" coordsize="67069,84935" path="m43341,0l43622,0l62471,1522l61697,19022c58115,10208,51600,5611,42024,5611c23762,5611,12649,18387,12649,39583c12649,62075,25553,75486,44196,75486c53391,75486,61443,71778,67069,65390c64122,77023,53137,84935,38189,84935c16218,84935,0,68082,0,43292c0,23270,8980,8921,25059,2997l43341,0x">
                  <v:stroke weight="0pt" endcap="flat" joinstyle="miter" miterlimit="10" on="false" color="#000000" opacity="0"/>
                  <v:fill on="true" color="#000000"/>
                </v:shape>
                <v:shape id="Shape 157" style="position:absolute;width:173;height:818;left:15254;top:15;" coordsize="17374,81877" path="m0,0l17374,0c14300,3061,14173,14808,14173,35890l14173,45860c14173,66929,14300,78816,17374,81877l0,81877c3061,78689,3188,66421,3188,44450l3188,39218c3188,16218,3188,3315,0,0x">
                  <v:stroke weight="0pt" endcap="flat" joinstyle="miter" miterlimit="10" on="false" color="#000000" opacity="0"/>
                  <v:fill on="true" color="#000000"/>
                </v:shape>
                <v:shape id="Shape 158" style="position:absolute;width:516;height:825;left:15563;top:11;" coordsize="51600,82525" path="m40234,0c40742,0,42151,127,44704,127l45720,12141c43294,5753,35890,5118,22479,5118l15316,5118c14427,9080,14173,18021,14173,31940l14173,36157c17107,36411,20434,36411,24130,36411c32322,36411,39599,36157,45974,35001c39980,41910,30645,42418,17488,42418c16726,42418,15583,42291,14173,42291l14173,50597c14173,64516,14427,73584,15316,77546l22733,77546c37160,77546,46241,76010,51600,68732l49429,81509c46114,82144,41770,82525,36652,82525c29883,82525,21196,82271,10465,82271l0,82271c3061,79083,3188,66815,3188,44844l3188,39611c3188,16612,3188,3708,0,394l7912,394c22860,394,33592,0,40234,0x">
                  <v:stroke weight="0pt" endcap="flat" joinstyle="miter" miterlimit="10" on="false" color="#000000" opacity="0"/>
                  <v:fill on="true" color="#000000"/>
                </v:shape>
                <v:shape id="Shape 159" style="position:absolute;width:679;height:818;left:16107;top:15;" coordsize="67958,81890" path="m3073,0l67958,0c64770,4978,60553,6515,54165,6515l38583,6642c38075,20053,37935,32068,37935,42672c37935,65786,37935,78562,41135,81890l23762,81890c26822,78689,26949,66942,26949,45860l26949,40881c26949,30277,26822,19037,26187,6896l12649,6896c8179,6896,4216,7277,0,10096l3073,0x">
                  <v:stroke weight="0pt" endcap="flat" joinstyle="miter" miterlimit="10" on="false" color="#000000" opacity="0"/>
                  <v:fill on="true" color="#000000"/>
                </v:shape>
                <v:shape id="Shape 160" style="position:absolute;width:660;height:821;left:16756;top:12;" coordsize="66040,82144" path="m10351,0c15710,0,17628,1918,20574,8052c26695,20828,30658,32321,33973,42672l44844,22733c49060,14821,51994,9576,51994,5626c51994,3708,51232,1918,49695,254l66040,254c53911,18263,45987,30785,42405,37681c37046,48158,36919,57226,36919,69113c36919,73965,37681,78181,39472,82144l22733,82144c24905,78308,26060,71920,26060,62979c26060,45352,21082,32449,11239,15456c6769,7798,2807,2680,0,254c4725,127,8179,0,10351,0x">
                  <v:stroke weight="0pt" endcap="flat" joinstyle="miter" miterlimit="10" on="false" color="#000000" opacity="0"/>
                  <v:fill on="true" color="#000000"/>
                </v:shape>
                <v:shape id="Shape 161" style="position:absolute;width:396;height:846;left:3401;top:1255;" coordsize="39656,84692" path="m39656,0l39656,5584l20190,14454c15510,20347,12890,29066,12890,40369c12890,58761,18998,71053,29543,76050l39656,78181l39656,84303l37554,84692c13538,84692,0,70010,0,43823c0,22458,8115,8345,23489,2623l39656,0x">
                  <v:stroke weight="0pt" endcap="flat" joinstyle="miter" miterlimit="10" on="false" color="#000000" opacity="0"/>
                  <v:fill on="true" color="#000000"/>
                </v:shape>
                <v:shape id="Shape 162" style="position:absolute;width:395;height:845;left:3798;top:1252;" coordsize="39541,84562" path="m1594,0c26765,0,39541,13551,39541,40119c39541,60617,30269,75586,15019,81789l0,84562l0,78439l1848,78829c17050,78829,26765,66561,26765,44717c26765,20066,16415,5753,197,5753l0,5843l0,259l1594,0x">
                  <v:stroke weight="0pt" endcap="flat" joinstyle="miter" miterlimit="10" on="false" color="#000000" opacity="0"/>
                  <v:fill on="true" color="#000000"/>
                </v:shape>
                <v:shape id="Shape 163" style="position:absolute;width:467;height:822;left:4283;top:1264;" coordsize="46749,82271" path="m32436,0c38062,0,42659,254,46241,775l46749,11366c43942,6134,37046,4991,24778,4991c21590,4991,18517,5118,15329,5372c14427,9588,14173,18275,14173,31940l14173,38075c19279,38329,23495,38456,27076,38456c32830,38456,38697,38075,44958,36919c40742,43688,32830,44336,18898,44336l14173,44336l14173,50597c14173,68351,14173,78702,17374,82271l0,82271c3061,79083,3188,66815,3188,44844l3188,39611c3188,16612,3188,3708,0,381l8814,381c14935,381,22733,0,32436,0x">
                  <v:stroke weight="0pt" endcap="flat" joinstyle="miter" miterlimit="10" on="false" color="#000000" opacity="0"/>
                  <v:fill on="true" color="#000000"/>
                </v:shape>
                <v:shape id="Shape 164" style="position:absolute;width:412;height:816;left:5042;top:1270;" coordsize="41275,81648" path="m35420,0l41275,0l41275,10786l28410,41529l41275,41529l41275,46241l26365,46241l20891,59614c18085,66370,15672,72098,15672,77711c15672,79108,15926,80378,16307,81648l0,81648c8280,71717,15926,57328,23952,38468c32868,17704,36436,5740,36436,3950c36436,2553,36055,1270,35420,0x">
                  <v:stroke weight="0pt" endcap="flat" joinstyle="miter" miterlimit="10" on="false" color="#000000" opacity="0"/>
                  <v:fill on="true" color="#000000"/>
                </v:shape>
                <v:shape id="Shape 165" style="position:absolute;width:415;height:816;left:5455;top:1270;" coordsize="41529,81648" path="m0,0l9931,0c23177,44209,34265,71336,41529,81648l27635,81648l14770,46241l0,46241l0,41529l12865,41529l889,8661l0,10786l0,0x">
                  <v:stroke weight="0pt" endcap="flat" joinstyle="miter" miterlimit="10" on="false" color="#000000" opacity="0"/>
                  <v:fill on="true" color="#000000"/>
                </v:shape>
                <v:shape id="Shape 166" style="position:absolute;width:895;height:834;left:5921;top:1270;" coordsize="89560,83439" path="m3696,0l17958,0c19876,0,20510,127,21272,2299l44336,63817l69939,2934c70828,635,71590,0,74143,0l86627,0c84201,3188,83566,9817,83566,19875c83566,54648,84328,74905,89560,81648l70828,81648c73635,77318,74143,71463,74143,63182c74143,62928,74016,59233,73889,52235l73114,7645l41275,83439l11849,7645l11595,63310l11595,67259c11595,72860,11849,77584,14529,81648l0,81648c5093,77203,6883,53124,6883,8915c6883,5093,6248,2553,3696,0x">
                  <v:stroke weight="0pt" endcap="flat" joinstyle="miter" miterlimit="10" on="false" color="#000000" opacity="0"/>
                  <v:fill on="true" color="#000000"/>
                </v:shape>
                <v:shape id="Shape 167" style="position:absolute;width:514;height:822;left:6916;top:1266;" coordsize="51448,82296" path="m40119,0c40615,0,42024,140,44577,140l45593,12103c43167,5740,35789,5105,22415,5105l15265,5105c14389,9055,14135,17970,14135,31852l14135,36055c17056,36309,20371,36309,24066,36309c32220,36309,39484,36055,45847,34912c39853,41783,30556,42304,17437,42304c16675,42304,15532,42164,14135,42164l14135,50444c14135,64338,14389,73381,15265,77330l22657,77330c37059,77330,46101,75794,51448,68542l49289,81280c45974,81915,41643,82296,36551,82296c29794,82296,21133,82042,10439,82042l0,82042c3048,78854,3175,66624,3175,44717l3175,39497c3175,16561,3175,3696,0,394l7887,394c22796,394,33490,0,40119,0x">
                  <v:stroke weight="0pt" endcap="flat" joinstyle="miter" miterlimit="10" on="false" color="#000000" opacity="0"/>
                  <v:fill on="true" color="#000000"/>
                </v:shape>
                <v:shape id="Shape 168" style="position:absolute;width:264;height:823;left:7516;top:1263;" coordsize="26435,82339" path="m26435,0l26435,5881l23317,4895c21019,4895,18352,4895,15291,5276c14402,9352,14135,17887,14135,30752l14135,38016c15799,38397,17590,38524,19495,38524l26435,36136l26435,50692l24841,48456c22289,44900,20384,42982,15164,42982l14135,42982l14135,50754c14135,68458,14135,78783,17323,82339l0,82339c3061,79164,3200,66934,3200,45027l3200,39794c3200,16871,3200,4006,0,691l3696,691c10192,691,15732,469,20334,246l26435,0x">
                  <v:stroke weight="0pt" endcap="flat" joinstyle="miter" miterlimit="10" on="false" color="#000000" opacity="0"/>
                  <v:fill on="true" color="#000000"/>
                </v:shape>
                <v:shape id="Shape 169" style="position:absolute;width:386;height:825;left:7780;top:1261;" coordsize="38665,82537" path="m4909,0c17901,0,24530,5728,24530,16307c24530,26746,17901,35027,5150,40373l23374,65723c29496,74130,34588,79743,38665,82537l26562,82537c23374,82537,22104,81902,20199,79235l0,50890l0,36334l7361,33801c10611,30601,12300,25921,12300,20003c12300,14967,11055,11240,8506,8771l0,6079l0,198l4909,0x">
                  <v:stroke weight="0pt" endcap="flat" joinstyle="miter" miterlimit="10" on="false" color="#000000" opacity="0"/>
                  <v:fill on="true" color="#000000"/>
                </v:shape>
                <v:shape id="Shape 170" style="position:absolute;width:173;height:816;left:8215;top:1270;" coordsize="17323,81648" path="m0,0l17323,0c14262,3048,14135,14770,14135,35789l14135,45720c14135,66738,14262,78588,17323,81648l0,81648c3048,78461,3175,66230,3175,44323l3175,39103c3175,16167,3175,3302,0,0x">
                  <v:stroke weight="0pt" endcap="flat" joinstyle="miter" miterlimit="10" on="false" color="#000000" opacity="0"/>
                  <v:fill on="true" color="#000000"/>
                </v:shape>
                <v:shape id="Shape 171" style="position:absolute;width:668;height:847;left:8481;top:1255;" coordsize="66878,84709" path="m43307,0c49695,0,55931,1524,62293,1524l61532,18974c57963,10185,51473,5601,41910,5601c23698,5601,12624,18339,12624,39484c12624,61900,25476,75273,44082,75273c53251,75273,61278,71577,66878,65215c63957,76810,52997,84709,38100,84709c16180,84709,0,67882,0,43180c0,16548,15926,0,43307,0x">
                  <v:stroke weight="0pt" endcap="flat" joinstyle="miter" miterlimit="10" on="false" color="#000000" opacity="0"/>
                  <v:fill on="true" color="#000000"/>
                </v:shape>
                <v:shape id="Shape 172" style="position:absolute;width:412;height:816;left:9141;top:1270;" coordsize="41275,81648" path="m35420,0l41275,0l41275,10786l28410,41529l41275,41529l41275,46241l26365,46241l20892,59614c18085,66370,15672,72098,15672,77711c15672,79108,15926,80378,16307,81648l0,81648c8280,71717,15926,57328,23952,38468c32868,17704,36424,5740,36424,3950c36424,2553,36055,1270,35420,0x">
                  <v:stroke weight="0pt" endcap="flat" joinstyle="miter" miterlimit="10" on="false" color="#000000" opacity="0"/>
                  <v:fill on="true" color="#000000"/>
                </v:shape>
                <v:shape id="Shape 173" style="position:absolute;width:415;height:816;left:9553;top:1270;" coordsize="41516,81648" path="m0,0l9931,0c23177,44209,34265,71336,41516,81648l27635,81648l14770,46241l0,46241l0,41529l12865,41529l889,8661l0,10786l0,0x">
                  <v:stroke weight="0pt" endcap="flat" joinstyle="miter" miterlimit="10" on="false" color="#000000" opacity="0"/>
                  <v:fill on="true" color="#000000"/>
                </v:shape>
                <v:shape id="Shape 174" style="position:absolute;width:119;height:304;left:10138;top:1243;" coordsize="11919,30442" path="m0,0l11303,0l11919,133l11919,4371l10325,3340l5131,3340l5131,13881l10477,13881l11919,12985l11919,17891l11595,17221l5131,17221l5131,30442l0,30442l0,0x">
                  <v:stroke weight="0pt" endcap="flat" joinstyle="miter" miterlimit="10" on="false" color="#000000" opacity="0"/>
                  <v:fill on="true" color="#000000"/>
                </v:shape>
                <v:shape id="Shape 175" style="position:absolute;width:279;height:533;left:9977;top:1133;" coordsize="27946,53327" path="m26581,0l27946,565l27946,3763l26581,3200c20269,3200,14541,5499,10236,9881c5626,14491,3188,20422,3188,26670c3188,32829,5626,38621,10096,43155c14541,47676,20409,50063,26505,50063l27946,49470l27946,52754l26581,53327c19520,53327,12916,50508,7785,45377c2743,40335,0,33718,0,26670c0,19609,2807,12852,8014,7658c12916,2680,19368,0,26581,0x">
                  <v:stroke weight="0pt" endcap="flat" joinstyle="miter" miterlimit="10" on="false" color="#000000" opacity="0"/>
                  <v:fill on="true" color="#000000"/>
                </v:shape>
                <v:shape id="Shape 176" style="position:absolute;width:120;height:303;left:10257;top:1244;" coordsize="12071,30309" path="m0,0l8900,1917c11014,3300,12071,5398,12071,8262c12071,12491,9404,15603,4947,16352l11767,30309l6064,30309l0,17759l0,12852l6788,8630l0,4239l0,0x">
                  <v:stroke weight="0pt" endcap="flat" joinstyle="miter" miterlimit="10" on="false" color="#000000" opacity="0"/>
                  <v:fill on="true" color="#000000"/>
                </v:shape>
                <v:shape id="Shape 177" style="position:absolute;width:252;height:521;left:10257;top:1139;" coordsize="25292,52189" path="m0,0l17647,7309c22612,12287,25292,18967,25292,26105c25292,33382,22612,39909,17570,44812l0,52189l0,48904l15335,42589c19717,38284,22181,32556,22181,26244c22181,19856,19793,13925,15411,9544l0,3197l0,0x">
                  <v:stroke weight="0pt" endcap="flat" joinstyle="miter" miterlimit="10" on="false" color="#000000" opacity="0"/>
                  <v:fill on="true" color="#000000"/>
                </v:shape>
              </v:group>
            </w:pict>
          </mc:Fallback>
        </mc:AlternateContent>
      </w:r>
    </w:p>
    <w:p w14:paraId="20613ECC" w14:textId="77777777" w:rsidR="00CF37A3" w:rsidRDefault="006C56C7">
      <w:pPr>
        <w:spacing w:after="180" w:line="240" w:lineRule="auto"/>
        <w:ind w:left="16" w:hanging="16"/>
      </w:pPr>
      <w:r>
        <w:rPr>
          <w:b/>
          <w:sz w:val="36"/>
        </w:rPr>
        <w:t>Triassic to Neogene evolution of the south-central Andean arc determined by detrital zircon U-Pb and Hf analysis of Neuquén Basin strata, central Argentina (34°S–40°S)</w:t>
      </w:r>
    </w:p>
    <w:p w14:paraId="4DB2E5BC" w14:textId="77777777" w:rsidR="00CF37A3" w:rsidRDefault="006C56C7">
      <w:pPr>
        <w:spacing w:after="0"/>
        <w:ind w:left="31"/>
      </w:pPr>
      <w:r>
        <w:rPr>
          <w:b/>
          <w:sz w:val="19"/>
        </w:rPr>
        <w:t>Elizabeth A. Balgord*</w:t>
      </w:r>
    </w:p>
    <w:p w14:paraId="63243E07" w14:textId="77777777" w:rsidR="00CF37A3" w:rsidRDefault="006C56C7">
      <w:pPr>
        <w:spacing w:after="455"/>
        <w:ind w:left="31"/>
      </w:pPr>
      <w:r>
        <w:rPr>
          <w:sz w:val="14"/>
        </w:rPr>
        <w:t>DEPARTMENT OF GEOSCIENCES, UNIVERSITY OF ARIZONA, 1040 4TH STREET,</w:t>
      </w:r>
      <w:r>
        <w:rPr>
          <w:sz w:val="14"/>
        </w:rPr>
        <w:t xml:space="preserve"> TUCSON, ARIZONA 85721, USA</w:t>
      </w:r>
    </w:p>
    <w:p w14:paraId="006C7F7E" w14:textId="77777777" w:rsidR="00CF37A3" w:rsidRDefault="006C56C7">
      <w:pPr>
        <w:pStyle w:val="1"/>
        <w:spacing w:after="387"/>
        <w:ind w:left="20"/>
      </w:pPr>
      <w:r>
        <w:t>ABSTRACT</w:t>
      </w:r>
    </w:p>
    <w:p w14:paraId="5D63BC4B" w14:textId="77777777" w:rsidR="00CF37A3" w:rsidRDefault="006C56C7">
      <w:pPr>
        <w:spacing w:after="167"/>
        <w:ind w:left="13" w:hanging="5"/>
        <w:jc w:val="both"/>
      </w:pPr>
      <w:r>
        <w:rPr>
          <w:sz w:val="17"/>
        </w:rPr>
        <w:t>The Andes Mountains provide an ideal natural laboratory to analyze the relationship between the tectonic evolution of a subduction margin, basin morphology, and volcanic activity. Magmatic output rates in Cordilleran-st</w:t>
      </w:r>
      <w:r>
        <w:rPr>
          <w:sz w:val="17"/>
        </w:rPr>
        <w:t>yle orogenic systems vary through time and are characterized by high-flux magmatic events alternating with periods of low or no activity. The Neuquén Basin (34°S–40°S) of south-central Argentina is in a retroarc position and provides a geological record of</w:t>
      </w:r>
      <w:r>
        <w:rPr>
          <w:sz w:val="17"/>
        </w:rPr>
        <w:t xml:space="preserve"> sedimentation in variable tectonic settings. Strata ranging in age from Middle Jurassic to Neogene were sampled and analyzed to determine their detrital zircon U-Pb age spectra and Hf isotopic composition. When all detrital zircon data are combined, resul</w:t>
      </w:r>
      <w:r>
        <w:rPr>
          <w:sz w:val="17"/>
        </w:rPr>
        <w:t xml:space="preserve">ts indicate that significant pulses in magmatic activity occurred from 190 to 145 Ma, and at 129 Ma, 110 Ma, 67 Ma, 52 Ma, 16 Ma, and 7 Ma. The </w:t>
      </w:r>
      <w:r>
        <w:rPr>
          <w:rFonts w:ascii="Segoe UI Symbol" w:eastAsia="Segoe UI Symbol" w:hAnsi="Segoe UI Symbol" w:cs="Segoe UI Symbol"/>
          <w:b/>
          <w:sz w:val="17"/>
        </w:rPr>
        <w:t>ε</w:t>
      </w:r>
      <w:r>
        <w:rPr>
          <w:sz w:val="17"/>
        </w:rPr>
        <w:t xml:space="preserve">Hf values were highly evolved when the arc initiated at 190 Ma and transitioned into intermediate and juvenile </w:t>
      </w:r>
      <w:r>
        <w:rPr>
          <w:sz w:val="17"/>
        </w:rPr>
        <w:t>values between ca. 160 and 150 Ma. There was a large shift toward more juvenile Hf isotopic values at 16 Ma that is consistent with renewed extension in the backarc during the Neogene. Overall geochemical trends in the Neuquén Basin section of the Andean a</w:t>
      </w:r>
      <w:r>
        <w:rPr>
          <w:sz w:val="17"/>
        </w:rPr>
        <w:t>rc are different from those observed in the central (21°S–26°S) and southern Andean arc (41°S–46°S), suggesting a segmented margin with variable tectonic settings and arc processes controlling magmatic output and chemistry along strike.</w:t>
      </w:r>
    </w:p>
    <w:tbl>
      <w:tblPr>
        <w:tblStyle w:val="TableGrid"/>
        <w:tblW w:w="10560" w:type="dxa"/>
        <w:tblInd w:w="25" w:type="dxa"/>
        <w:tblCellMar>
          <w:top w:w="47" w:type="dxa"/>
          <w:left w:w="124" w:type="dxa"/>
          <w:bottom w:w="0" w:type="dxa"/>
          <w:right w:w="41" w:type="dxa"/>
        </w:tblCellMar>
        <w:tblLook w:val="04A0" w:firstRow="1" w:lastRow="0" w:firstColumn="1" w:lastColumn="0" w:noHBand="0" w:noVBand="1"/>
      </w:tblPr>
      <w:tblGrid>
        <w:gridCol w:w="7197"/>
        <w:gridCol w:w="3363"/>
      </w:tblGrid>
      <w:tr w:rsidR="00CF37A3" w14:paraId="21A28C04" w14:textId="77777777">
        <w:trPr>
          <w:trHeight w:val="305"/>
        </w:trPr>
        <w:tc>
          <w:tcPr>
            <w:tcW w:w="7197" w:type="dxa"/>
            <w:tcBorders>
              <w:top w:val="single" w:sz="5" w:space="0" w:color="000000"/>
              <w:left w:val="nil"/>
              <w:bottom w:val="single" w:sz="5" w:space="0" w:color="000000"/>
              <w:right w:val="nil"/>
            </w:tcBorders>
            <w:shd w:val="clear" w:color="auto" w:fill="000000"/>
          </w:tcPr>
          <w:p w14:paraId="563B79F0" w14:textId="77777777" w:rsidR="00CF37A3" w:rsidRDefault="006C56C7">
            <w:pPr>
              <w:spacing w:after="0"/>
            </w:pPr>
            <w:r>
              <w:rPr>
                <w:color w:val="FFFFFF"/>
                <w:sz w:val="17"/>
              </w:rPr>
              <w:t xml:space="preserve">LITHOSPHERE; v. 9; </w:t>
            </w:r>
            <w:r>
              <w:rPr>
                <w:color w:val="FFFFFF"/>
                <w:sz w:val="17"/>
              </w:rPr>
              <w:t xml:space="preserve">no. 3; p. 453–462; GSA Data Repository Item 2017170 | Published online 4 April 2017 </w:t>
            </w:r>
          </w:p>
        </w:tc>
        <w:tc>
          <w:tcPr>
            <w:tcW w:w="3363" w:type="dxa"/>
            <w:tcBorders>
              <w:top w:val="single" w:sz="5" w:space="0" w:color="000000"/>
              <w:left w:val="nil"/>
              <w:bottom w:val="single" w:sz="5" w:space="0" w:color="000000"/>
              <w:right w:val="nil"/>
            </w:tcBorders>
            <w:shd w:val="clear" w:color="auto" w:fill="000000"/>
          </w:tcPr>
          <w:p w14:paraId="42C1D8AF" w14:textId="77777777" w:rsidR="00CF37A3" w:rsidRDefault="006C56C7">
            <w:pPr>
              <w:spacing w:after="0"/>
              <w:ind w:right="71"/>
              <w:jc w:val="right"/>
            </w:pPr>
            <w:r>
              <w:rPr>
                <w:color w:val="FFFFFF"/>
                <w:sz w:val="17"/>
              </w:rPr>
              <w:t>doi:10.1130/L546.1</w:t>
            </w:r>
          </w:p>
        </w:tc>
      </w:tr>
    </w:tbl>
    <w:p w14:paraId="73E23224" w14:textId="77777777" w:rsidR="00CF37A3" w:rsidRDefault="00CF37A3">
      <w:pPr>
        <w:sectPr w:rsidR="00CF37A3">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1880" w:h="15660"/>
          <w:pgMar w:top="1200" w:right="562" w:bottom="1221" w:left="695" w:header="387" w:footer="720" w:gutter="0"/>
          <w:pgNumType w:start="453"/>
          <w:cols w:space="720"/>
          <w:titlePg/>
        </w:sectPr>
      </w:pPr>
    </w:p>
    <w:p w14:paraId="47AA943A" w14:textId="77777777" w:rsidR="00CF37A3" w:rsidRDefault="006C56C7">
      <w:pPr>
        <w:pStyle w:val="1"/>
        <w:ind w:left="156"/>
      </w:pPr>
      <w:r>
        <w:t>INTRODUCTION</w:t>
      </w:r>
    </w:p>
    <w:p w14:paraId="7605465D" w14:textId="77777777" w:rsidR="00CF37A3" w:rsidRDefault="006C56C7">
      <w:pPr>
        <w:spacing w:after="3" w:line="262" w:lineRule="auto"/>
        <w:ind w:left="139" w:right="24" w:firstLine="236"/>
        <w:jc w:val="both"/>
      </w:pPr>
      <w:r>
        <w:rPr>
          <w:rFonts w:ascii="Times New Roman" w:eastAsia="Times New Roman" w:hAnsi="Times New Roman" w:cs="Times New Roman"/>
          <w:sz w:val="18"/>
        </w:rPr>
        <w:t>Retroarc basins in Cordilleran-style orogenic systems provide an archive of varying tectonic regimes and accompanying arc-related processes. The Andean magmatic arc of central Chile and Argentina has bee</w:t>
      </w:r>
      <w:r>
        <w:rPr>
          <w:rFonts w:ascii="Times New Roman" w:eastAsia="Times New Roman" w:hAnsi="Times New Roman" w:cs="Times New Roman"/>
          <w:sz w:val="18"/>
        </w:rPr>
        <w:t xml:space="preserve">n active since at least 190 Ma (Hervé et al., 1988; Franzese et al., 2003) with variable volcanic output caused by changing tectonic regimes, including extension from the Late Triassic to Late Cretaceous </w:t>
      </w:r>
    </w:p>
    <w:p w14:paraId="4369610F" w14:textId="77777777" w:rsidR="00CF37A3" w:rsidRDefault="006C56C7">
      <w:pPr>
        <w:spacing w:after="373" w:line="262" w:lineRule="auto"/>
        <w:ind w:left="140" w:right="24" w:hanging="6"/>
        <w:jc w:val="both"/>
      </w:pPr>
      <w:r>
        <w:rPr>
          <w:rFonts w:ascii="Times New Roman" w:eastAsia="Times New Roman" w:hAnsi="Times New Roman" w:cs="Times New Roman"/>
          <w:sz w:val="18"/>
        </w:rPr>
        <w:t>(Sagripanti et al., 2013), contraction from the Lat</w:t>
      </w:r>
      <w:r>
        <w:rPr>
          <w:rFonts w:ascii="Times New Roman" w:eastAsia="Times New Roman" w:hAnsi="Times New Roman" w:cs="Times New Roman"/>
          <w:sz w:val="18"/>
        </w:rPr>
        <w:t>e Cretaceous to Eocene (Tunik et al., 2010; Di Giulio et al., 2012), and variable extension and contraction along strike in the late Paleogene to Neogene (Ramos and Kay, 2006). The Neuquén Basin (34°S–40°S) is in a retroarc position and provides a stratigr</w:t>
      </w:r>
      <w:r>
        <w:rPr>
          <w:rFonts w:ascii="Times New Roman" w:eastAsia="Times New Roman" w:hAnsi="Times New Roman" w:cs="Times New Roman"/>
          <w:sz w:val="18"/>
        </w:rPr>
        <w:t xml:space="preserve">aphic sequence ranging in </w:t>
      </w:r>
    </w:p>
    <w:p w14:paraId="3CBD5F48" w14:textId="77777777" w:rsidR="00CF37A3" w:rsidRDefault="006C56C7">
      <w:pPr>
        <w:tabs>
          <w:tab w:val="center" w:pos="777"/>
          <w:tab w:val="right" w:pos="3415"/>
        </w:tabs>
        <w:spacing w:after="0"/>
      </w:pPr>
      <w:r>
        <w:tab/>
      </w:r>
      <w:r>
        <w:rPr>
          <w:sz w:val="16"/>
        </w:rPr>
        <w:t xml:space="preserve">Elizabeth Balgord </w:t>
      </w:r>
      <w:r>
        <w:rPr>
          <w:sz w:val="16"/>
        </w:rPr>
        <w:tab/>
      </w:r>
      <w:hyperlink r:id="rId13">
        <w:r>
          <w:rPr>
            <w:sz w:val="16"/>
          </w:rPr>
          <w:t xml:space="preserve"> </w:t>
        </w:r>
      </w:hyperlink>
      <w:r>
        <w:rPr>
          <w:sz w:val="16"/>
        </w:rPr>
        <w:t xml:space="preserve">http://orcid.org /0000 -0002 </w:t>
      </w:r>
    </w:p>
    <w:p w14:paraId="47FD1709" w14:textId="77777777" w:rsidR="00CF37A3" w:rsidRDefault="006C56C7">
      <w:pPr>
        <w:spacing w:after="23" w:line="225" w:lineRule="auto"/>
        <w:ind w:left="132" w:right="59" w:hanging="10"/>
        <w:jc w:val="both"/>
      </w:pPr>
      <w:r>
        <w:rPr>
          <w:sz w:val="16"/>
        </w:rPr>
        <w:t>-8076-5454</w:t>
      </w:r>
    </w:p>
    <w:p w14:paraId="536991DB" w14:textId="77777777" w:rsidR="00CF37A3" w:rsidRDefault="006C56C7">
      <w:pPr>
        <w:spacing w:after="23" w:line="225" w:lineRule="auto"/>
        <w:ind w:left="122" w:right="59" w:firstLine="180"/>
        <w:jc w:val="both"/>
      </w:pPr>
      <w:r>
        <w:rPr>
          <w:sz w:val="16"/>
        </w:rPr>
        <w:t xml:space="preserve">*Present address: Department of Geosciences, Weber State University, 1415 Edvalson Street, Dept. </w:t>
      </w:r>
      <w:r>
        <w:rPr>
          <w:sz w:val="16"/>
        </w:rPr>
        <w:t>2507, Ogden, Utah 84408, USA; elizabethbalgord@weber.edu</w:t>
      </w:r>
    </w:p>
    <w:p w14:paraId="140D5361" w14:textId="77777777" w:rsidR="00CF37A3" w:rsidRDefault="006C56C7">
      <w:pPr>
        <w:spacing w:after="3" w:line="262" w:lineRule="auto"/>
        <w:ind w:left="12" w:right="24"/>
        <w:jc w:val="both"/>
      </w:pPr>
      <w:r>
        <w:rPr>
          <w:rFonts w:ascii="Times New Roman" w:eastAsia="Times New Roman" w:hAnsi="Times New Roman" w:cs="Times New Roman"/>
          <w:sz w:val="18"/>
        </w:rPr>
        <w:t>age from the Late Triassic to Neogene (Howell et al., 2005) and thus preserves a detrital record of ar</w:t>
      </w:r>
      <w:r>
        <w:rPr>
          <w:rFonts w:ascii="Times New Roman" w:eastAsia="Times New Roman" w:hAnsi="Times New Roman" w:cs="Times New Roman"/>
          <w:sz w:val="18"/>
        </w:rPr>
        <w:t>c activity during variable tectonic conditions.</w:t>
      </w:r>
    </w:p>
    <w:p w14:paraId="5E447B64" w14:textId="77777777" w:rsidR="00CF37A3" w:rsidRDefault="006C56C7">
      <w:pPr>
        <w:spacing w:after="3" w:line="262" w:lineRule="auto"/>
        <w:ind w:left="12" w:right="24" w:firstLine="236"/>
        <w:jc w:val="both"/>
      </w:pPr>
      <w:r>
        <w:rPr>
          <w:rFonts w:ascii="Times New Roman" w:eastAsia="Times New Roman" w:hAnsi="Times New Roman" w:cs="Times New Roman"/>
          <w:sz w:val="18"/>
        </w:rPr>
        <w:t xml:space="preserve">The detrital zircon U-Pb signatures from strata in retroarc basins closely resemble the age distribution produced through in situ sampling of intermediate and felsic volcanic and plutonic units, specifically </w:t>
      </w:r>
      <w:r>
        <w:rPr>
          <w:rFonts w:ascii="Times New Roman" w:eastAsia="Times New Roman" w:hAnsi="Times New Roman" w:cs="Times New Roman"/>
          <w:sz w:val="18"/>
        </w:rPr>
        <w:t>when it comes to identification of high-flux magmatic events (Kay et al., 2005; Ducea et al., 2015; Paterson and Ducea, 2015). Furthermore, plutonic units of varying compositions and depths within arc complexes also show the same major age populations as t</w:t>
      </w:r>
      <w:r>
        <w:rPr>
          <w:rFonts w:ascii="Times New Roman" w:eastAsia="Times New Roman" w:hAnsi="Times New Roman" w:cs="Times New Roman"/>
          <w:sz w:val="18"/>
        </w:rPr>
        <w:t>hose recorded in detrital studies (Ducea et al., 2015). Zircons are dominantly found in intermediate and felsic igneous rock, meaning that mafic units, especially mafic volcanic units, will be underrepresented in the zircon record. However, even though the</w:t>
      </w:r>
      <w:r>
        <w:rPr>
          <w:rFonts w:ascii="Times New Roman" w:eastAsia="Times New Roman" w:hAnsi="Times New Roman" w:cs="Times New Roman"/>
          <w:sz w:val="18"/>
        </w:rPr>
        <w:t>re may be mafic volcanism dur-</w:t>
      </w:r>
    </w:p>
    <w:p w14:paraId="043E8C4A" w14:textId="77777777" w:rsidR="00CF37A3" w:rsidRDefault="006C56C7">
      <w:pPr>
        <w:spacing w:after="3" w:line="262" w:lineRule="auto"/>
        <w:ind w:left="15" w:right="24" w:hanging="3"/>
        <w:jc w:val="both"/>
      </w:pPr>
      <w:r>
        <w:rPr>
          <w:rFonts w:ascii="Times New Roman" w:eastAsia="Times New Roman" w:hAnsi="Times New Roman" w:cs="Times New Roman"/>
          <w:sz w:val="18"/>
        </w:rPr>
        <w:t xml:space="preserve">ing magmatic lulls (i.e., lulls in zircons) those times do not seem to be significant to the overall </w:t>
      </w:r>
      <w:r>
        <w:rPr>
          <w:rFonts w:ascii="Times New Roman" w:eastAsia="Times New Roman" w:hAnsi="Times New Roman" w:cs="Times New Roman"/>
          <w:sz w:val="18"/>
        </w:rPr>
        <w:t>volumetric additions to the arc that are well recorded in the detrital zircon patterns (Ducea et al., 2015; Paterson and Duc</w:t>
      </w:r>
      <w:r>
        <w:rPr>
          <w:rFonts w:ascii="Times New Roman" w:eastAsia="Times New Roman" w:hAnsi="Times New Roman" w:cs="Times New Roman"/>
          <w:sz w:val="18"/>
        </w:rPr>
        <w:t>ea, 2015).</w:t>
      </w:r>
    </w:p>
    <w:p w14:paraId="6E98A801" w14:textId="77777777" w:rsidR="00CF37A3" w:rsidRDefault="006C56C7">
      <w:pPr>
        <w:spacing w:after="3" w:line="262" w:lineRule="auto"/>
        <w:ind w:left="12" w:right="24" w:firstLine="236"/>
        <w:jc w:val="both"/>
      </w:pPr>
      <w:r>
        <w:rPr>
          <w:rFonts w:ascii="Times New Roman" w:eastAsia="Times New Roman" w:hAnsi="Times New Roman" w:cs="Times New Roman"/>
          <w:sz w:val="18"/>
        </w:rPr>
        <w:t xml:space="preserve">Changes in arc magmatic behavior (i.e., highflux events and lulls) and geochemistry have been correlated with regional shortening, crustal thickening, flat-slab subduction, and lithospheric removal (Kay et al., 2005; Cembrano and Lara </w:t>
      </w:r>
    </w:p>
    <w:p w14:paraId="7172263F" w14:textId="77777777" w:rsidR="00CF37A3" w:rsidRDefault="006C56C7">
      <w:pPr>
        <w:spacing w:after="3" w:line="262" w:lineRule="auto"/>
        <w:ind w:left="12" w:right="24"/>
        <w:jc w:val="both"/>
      </w:pPr>
      <w:r>
        <w:rPr>
          <w:rFonts w:ascii="Times New Roman" w:eastAsia="Times New Roman" w:hAnsi="Times New Roman" w:cs="Times New Roman"/>
          <w:sz w:val="18"/>
        </w:rPr>
        <w:t>2009; DeC</w:t>
      </w:r>
      <w:r>
        <w:rPr>
          <w:rFonts w:ascii="Times New Roman" w:eastAsia="Times New Roman" w:hAnsi="Times New Roman" w:cs="Times New Roman"/>
          <w:sz w:val="18"/>
        </w:rPr>
        <w:t xml:space="preserve">elles et al., 2009, 2015; Ducea et al., 2015; Paterson and Ducea, 2015). The Hf isotopic composition of detrital zircons records crustal-scale processes of addition, removal, and recycling of crust: zircons with positive </w:t>
      </w:r>
      <w:r>
        <w:rPr>
          <w:rFonts w:ascii="Segoe UI Symbol" w:eastAsia="Segoe UI Symbol" w:hAnsi="Segoe UI Symbol" w:cs="Segoe UI Symbol"/>
          <w:b/>
          <w:sz w:val="18"/>
        </w:rPr>
        <w:t>ε</w:t>
      </w:r>
      <w:r>
        <w:rPr>
          <w:rFonts w:ascii="Times New Roman" w:eastAsia="Times New Roman" w:hAnsi="Times New Roman" w:cs="Times New Roman"/>
          <w:sz w:val="18"/>
        </w:rPr>
        <w:t xml:space="preserve">Hf </w:t>
      </w:r>
      <w:proofErr w:type="gramStart"/>
      <w:r>
        <w:rPr>
          <w:rFonts w:ascii="Times New Roman" w:eastAsia="Times New Roman" w:hAnsi="Times New Roman" w:cs="Times New Roman"/>
          <w:sz w:val="18"/>
        </w:rPr>
        <w:t>similar to</w:t>
      </w:r>
      <w:proofErr w:type="gramEnd"/>
      <w:r>
        <w:rPr>
          <w:rFonts w:ascii="Times New Roman" w:eastAsia="Times New Roman" w:hAnsi="Times New Roman" w:cs="Times New Roman"/>
          <w:sz w:val="18"/>
        </w:rPr>
        <w:t xml:space="preserve"> the depleted mantle </w:t>
      </w:r>
      <w:r>
        <w:rPr>
          <w:rFonts w:ascii="Times New Roman" w:eastAsia="Times New Roman" w:hAnsi="Times New Roman" w:cs="Times New Roman"/>
          <w:sz w:val="18"/>
        </w:rPr>
        <w:t xml:space="preserve">originate from </w:t>
      </w:r>
    </w:p>
    <w:p w14:paraId="433230B4" w14:textId="77777777" w:rsidR="00CF37A3" w:rsidRDefault="006C56C7">
      <w:pPr>
        <w:spacing w:after="3" w:line="262" w:lineRule="auto"/>
        <w:ind w:left="17" w:right="24" w:hanging="5"/>
        <w:jc w:val="both"/>
      </w:pPr>
      <w:r>
        <w:rPr>
          <w:rFonts w:ascii="Times New Roman" w:eastAsia="Times New Roman" w:hAnsi="Times New Roman" w:cs="Times New Roman"/>
          <w:sz w:val="18"/>
        </w:rPr>
        <w:t xml:space="preserve">juvenile crust, whereas zircons with negative </w:t>
      </w:r>
      <w:r>
        <w:rPr>
          <w:rFonts w:ascii="Segoe UI Symbol" w:eastAsia="Segoe UI Symbol" w:hAnsi="Segoe UI Symbol" w:cs="Segoe UI Symbol"/>
          <w:b/>
          <w:sz w:val="18"/>
        </w:rPr>
        <w:t>ε</w:t>
      </w:r>
      <w:r>
        <w:rPr>
          <w:rFonts w:ascii="Times New Roman" w:eastAsia="Times New Roman" w:hAnsi="Times New Roman" w:cs="Times New Roman"/>
          <w:sz w:val="18"/>
        </w:rPr>
        <w:t xml:space="preserve">Hf crystallize from melts derived from old recycled crust (e.g., Hildreth and Moorbath, 1988). By combining detrital zircon Hf and U-Pb analyses </w:t>
      </w:r>
    </w:p>
    <w:p w14:paraId="77833FEE" w14:textId="77777777" w:rsidR="00CF37A3" w:rsidRDefault="006C56C7">
      <w:pPr>
        <w:spacing w:after="3" w:line="262" w:lineRule="auto"/>
        <w:ind w:left="21" w:right="24" w:hanging="9"/>
        <w:jc w:val="both"/>
      </w:pPr>
      <w:r>
        <w:rPr>
          <w:rFonts w:ascii="Times New Roman" w:eastAsia="Times New Roman" w:hAnsi="Times New Roman" w:cs="Times New Roman"/>
          <w:sz w:val="18"/>
        </w:rPr>
        <w:t>we can assess timing and periodicity of high-fl</w:t>
      </w:r>
      <w:r>
        <w:rPr>
          <w:rFonts w:ascii="Times New Roman" w:eastAsia="Times New Roman" w:hAnsi="Times New Roman" w:cs="Times New Roman"/>
          <w:sz w:val="18"/>
        </w:rPr>
        <w:t>ux events as well as their relationship to the input of juvenile material throughout the arc’s history.</w:t>
      </w:r>
    </w:p>
    <w:tbl>
      <w:tblPr>
        <w:tblStyle w:val="TableGrid"/>
        <w:tblpPr w:vertAnchor="text" w:horzAnchor="margin" w:tblpY="1863"/>
        <w:tblOverlap w:val="never"/>
        <w:tblW w:w="10652" w:type="dxa"/>
        <w:tblInd w:w="0" w:type="dxa"/>
        <w:tblCellMar>
          <w:top w:w="20" w:type="dxa"/>
          <w:left w:w="137" w:type="dxa"/>
          <w:bottom w:w="0" w:type="dxa"/>
          <w:right w:w="115" w:type="dxa"/>
        </w:tblCellMar>
        <w:tblLook w:val="04A0" w:firstRow="1" w:lastRow="0" w:firstColumn="1" w:lastColumn="0" w:noHBand="0" w:noVBand="1"/>
      </w:tblPr>
      <w:tblGrid>
        <w:gridCol w:w="10652"/>
      </w:tblGrid>
      <w:tr w:rsidR="00CF37A3" w14:paraId="7071B228" w14:textId="77777777">
        <w:trPr>
          <w:trHeight w:val="218"/>
        </w:trPr>
        <w:tc>
          <w:tcPr>
            <w:tcW w:w="6155" w:type="dxa"/>
            <w:tcBorders>
              <w:top w:val="nil"/>
              <w:left w:val="nil"/>
              <w:bottom w:val="nil"/>
              <w:right w:val="nil"/>
            </w:tcBorders>
          </w:tcPr>
          <w:p w14:paraId="013885CD" w14:textId="77777777" w:rsidR="00CF37A3" w:rsidRDefault="006C56C7">
            <w:pPr>
              <w:tabs>
                <w:tab w:val="center" w:pos="3966"/>
              </w:tabs>
              <w:spacing w:after="0"/>
            </w:pPr>
            <w:r>
              <w:rPr>
                <w:sz w:val="16"/>
              </w:rPr>
              <w:t>LITHOSPHERE © 2017 Geological Society of America |</w:t>
            </w:r>
            <w:r>
              <w:rPr>
                <w:sz w:val="16"/>
              </w:rPr>
              <w:tab/>
              <w:t>| Number 3| |</w:t>
            </w:r>
            <w:r>
              <w:rPr>
                <w:sz w:val="16"/>
              </w:rPr>
              <w:t>For permission to copy, contact editing@geosociety.org</w:t>
            </w:r>
          </w:p>
        </w:tc>
      </w:tr>
    </w:tbl>
    <w:p w14:paraId="54CC9A93" w14:textId="77777777" w:rsidR="00CF37A3" w:rsidRDefault="006C56C7">
      <w:pPr>
        <w:spacing w:after="3" w:line="262" w:lineRule="auto"/>
        <w:ind w:left="12" w:right="24" w:firstLine="236"/>
        <w:jc w:val="both"/>
      </w:pPr>
      <w:r>
        <w:rPr>
          <w:noProof/>
        </w:rPr>
        <w:lastRenderedPageBreak/>
        <mc:AlternateContent>
          <mc:Choice Requires="wpg">
            <w:drawing>
              <wp:anchor distT="0" distB="0" distL="114300" distR="114300" simplePos="0" relativeHeight="251658240" behindDoc="1" locked="0" layoutInCell="1" allowOverlap="1" wp14:anchorId="40821326" wp14:editId="59256215">
                <wp:simplePos x="0" y="0"/>
                <wp:positionH relativeFrom="column">
                  <wp:posOffset>-4570216</wp:posOffset>
                </wp:positionH>
                <wp:positionV relativeFrom="paragraph">
                  <wp:posOffset>213182</wp:posOffset>
                </wp:positionV>
                <wp:extent cx="1014057" cy="156210"/>
                <wp:effectExtent l="0" t="0" r="0" b="0"/>
                <wp:wrapNone/>
                <wp:docPr id="56824" name="Group 56824"/>
                <wp:cNvGraphicFramePr/>
                <a:graphic xmlns:a="http://schemas.openxmlformats.org/drawingml/2006/main">
                  <a:graphicData uri="http://schemas.microsoft.com/office/word/2010/wordprocessingGroup">
                    <wpg:wgp>
                      <wpg:cNvGrpSpPr/>
                      <wpg:grpSpPr>
                        <a:xfrm>
                          <a:off x="0" y="0"/>
                          <a:ext cx="1014057" cy="156210"/>
                          <a:chOff x="0" y="0"/>
                          <a:chExt cx="1014057" cy="156210"/>
                        </a:xfrm>
                      </wpg:grpSpPr>
                      <wps:wsp>
                        <wps:cNvPr id="123" name="Shape 123"/>
                        <wps:cNvSpPr/>
                        <wps:spPr>
                          <a:xfrm>
                            <a:off x="0" y="0"/>
                            <a:ext cx="533400" cy="0"/>
                          </a:xfrm>
                          <a:custGeom>
                            <a:avLst/>
                            <a:gdLst/>
                            <a:ahLst/>
                            <a:cxnLst/>
                            <a:rect l="0" t="0" r="0" b="0"/>
                            <a:pathLst>
                              <a:path w="533400">
                                <a:moveTo>
                                  <a:pt x="0" y="0"/>
                                </a:moveTo>
                                <a:lnTo>
                                  <a:pt x="533400" y="0"/>
                                </a:lnTo>
                              </a:path>
                            </a:pathLst>
                          </a:custGeom>
                          <a:ln w="7620" cap="flat">
                            <a:miter lim="127000"/>
                          </a:ln>
                        </wps:spPr>
                        <wps:style>
                          <a:lnRef idx="1">
                            <a:srgbClr val="000000"/>
                          </a:lnRef>
                          <a:fillRef idx="0">
                            <a:srgbClr val="000000">
                              <a:alpha val="0"/>
                            </a:srgbClr>
                          </a:fillRef>
                          <a:effectRef idx="0">
                            <a:scrgbClr r="0" g="0" b="0"/>
                          </a:effectRef>
                          <a:fontRef idx="none"/>
                        </wps:style>
                        <wps:bodyPr/>
                      </wps:wsp>
                      <wps:wsp>
                        <wps:cNvPr id="125" name="Shape 125"/>
                        <wps:cNvSpPr/>
                        <wps:spPr>
                          <a:xfrm>
                            <a:off x="899762" y="41914"/>
                            <a:ext cx="114295" cy="114296"/>
                          </a:xfrm>
                          <a:custGeom>
                            <a:avLst/>
                            <a:gdLst/>
                            <a:ahLst/>
                            <a:cxnLst/>
                            <a:rect l="0" t="0" r="0" b="0"/>
                            <a:pathLst>
                              <a:path w="114295" h="114296">
                                <a:moveTo>
                                  <a:pt x="57150" y="0"/>
                                </a:moveTo>
                                <a:cubicBezTo>
                                  <a:pt x="80820" y="0"/>
                                  <a:pt x="101132" y="14394"/>
                                  <a:pt x="109808" y="34906"/>
                                </a:cubicBezTo>
                                <a:lnTo>
                                  <a:pt x="114295" y="57125"/>
                                </a:lnTo>
                                <a:lnTo>
                                  <a:pt x="114295" y="57175"/>
                                </a:lnTo>
                                <a:lnTo>
                                  <a:pt x="109808" y="79394"/>
                                </a:lnTo>
                                <a:cubicBezTo>
                                  <a:pt x="104024" y="93068"/>
                                  <a:pt x="93068" y="104024"/>
                                  <a:pt x="79394" y="109808"/>
                                </a:cubicBezTo>
                                <a:lnTo>
                                  <a:pt x="57169" y="114296"/>
                                </a:lnTo>
                                <a:lnTo>
                                  <a:pt x="57131" y="114296"/>
                                </a:lnTo>
                                <a:lnTo>
                                  <a:pt x="34906" y="109808"/>
                                </a:lnTo>
                                <a:cubicBezTo>
                                  <a:pt x="14395" y="101132"/>
                                  <a:pt x="0" y="80819"/>
                                  <a:pt x="0" y="57150"/>
                                </a:cubicBezTo>
                                <a:cubicBezTo>
                                  <a:pt x="0" y="25591"/>
                                  <a:pt x="25590" y="0"/>
                                  <a:pt x="571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57" name="Shape 64757"/>
                        <wps:cNvSpPr/>
                        <wps:spPr>
                          <a:xfrm>
                            <a:off x="931440" y="77224"/>
                            <a:ext cx="9144" cy="47828"/>
                          </a:xfrm>
                          <a:custGeom>
                            <a:avLst/>
                            <a:gdLst/>
                            <a:ahLst/>
                            <a:cxnLst/>
                            <a:rect l="0" t="0" r="0" b="0"/>
                            <a:pathLst>
                              <a:path w="9144" h="47828">
                                <a:moveTo>
                                  <a:pt x="0" y="0"/>
                                </a:moveTo>
                                <a:lnTo>
                                  <a:pt x="9144" y="0"/>
                                </a:lnTo>
                                <a:lnTo>
                                  <a:pt x="9144" y="47828"/>
                                </a:lnTo>
                                <a:lnTo>
                                  <a:pt x="0" y="478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 name="Shape 127"/>
                        <wps:cNvSpPr/>
                        <wps:spPr>
                          <a:xfrm>
                            <a:off x="948369" y="77231"/>
                            <a:ext cx="21920" cy="47816"/>
                          </a:xfrm>
                          <a:custGeom>
                            <a:avLst/>
                            <a:gdLst/>
                            <a:ahLst/>
                            <a:cxnLst/>
                            <a:rect l="0" t="0" r="0" b="0"/>
                            <a:pathLst>
                              <a:path w="21920" h="47816">
                                <a:moveTo>
                                  <a:pt x="0" y="0"/>
                                </a:moveTo>
                                <a:lnTo>
                                  <a:pt x="18593" y="0"/>
                                </a:lnTo>
                                <a:lnTo>
                                  <a:pt x="21920" y="1328"/>
                                </a:lnTo>
                                <a:lnTo>
                                  <a:pt x="21920" y="7747"/>
                                </a:lnTo>
                                <a:lnTo>
                                  <a:pt x="17475" y="6159"/>
                                </a:lnTo>
                                <a:lnTo>
                                  <a:pt x="6883" y="6159"/>
                                </a:lnTo>
                                <a:lnTo>
                                  <a:pt x="6883" y="41643"/>
                                </a:lnTo>
                                <a:lnTo>
                                  <a:pt x="17818" y="41643"/>
                                </a:lnTo>
                                <a:lnTo>
                                  <a:pt x="21920" y="39870"/>
                                </a:lnTo>
                                <a:lnTo>
                                  <a:pt x="21920" y="46527"/>
                                </a:lnTo>
                                <a:lnTo>
                                  <a:pt x="18656" y="47816"/>
                                </a:lnTo>
                                <a:lnTo>
                                  <a:pt x="0" y="4781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 name="Shape 128"/>
                        <wps:cNvSpPr/>
                        <wps:spPr>
                          <a:xfrm>
                            <a:off x="970289" y="78559"/>
                            <a:ext cx="22123" cy="45199"/>
                          </a:xfrm>
                          <a:custGeom>
                            <a:avLst/>
                            <a:gdLst/>
                            <a:ahLst/>
                            <a:cxnLst/>
                            <a:rect l="0" t="0" r="0" b="0"/>
                            <a:pathLst>
                              <a:path w="22123" h="45199">
                                <a:moveTo>
                                  <a:pt x="0" y="0"/>
                                </a:moveTo>
                                <a:lnTo>
                                  <a:pt x="16023" y="6396"/>
                                </a:lnTo>
                                <a:cubicBezTo>
                                  <a:pt x="20177" y="10963"/>
                                  <a:pt x="22123" y="16942"/>
                                  <a:pt x="22123" y="22586"/>
                                </a:cubicBezTo>
                                <a:cubicBezTo>
                                  <a:pt x="22123" y="28721"/>
                                  <a:pt x="19723" y="34696"/>
                                  <a:pt x="15350" y="39138"/>
                                </a:cubicBezTo>
                                <a:lnTo>
                                  <a:pt x="0" y="45199"/>
                                </a:lnTo>
                                <a:lnTo>
                                  <a:pt x="0" y="38543"/>
                                </a:lnTo>
                                <a:lnTo>
                                  <a:pt x="11306" y="33656"/>
                                </a:lnTo>
                                <a:cubicBezTo>
                                  <a:pt x="14145" y="29959"/>
                                  <a:pt x="15037" y="25526"/>
                                  <a:pt x="15037" y="22586"/>
                                </a:cubicBezTo>
                                <a:cubicBezTo>
                                  <a:pt x="15037" y="17779"/>
                                  <a:pt x="13513" y="13340"/>
                                  <a:pt x="10316" y="10103"/>
                                </a:cubicBezTo>
                                <a:lnTo>
                                  <a:pt x="0" y="6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 name="Shape 129"/>
                        <wps:cNvSpPr/>
                        <wps:spPr>
                          <a:xfrm>
                            <a:off x="930373" y="62767"/>
                            <a:ext cx="9004" cy="9017"/>
                          </a:xfrm>
                          <a:custGeom>
                            <a:avLst/>
                            <a:gdLst/>
                            <a:ahLst/>
                            <a:cxnLst/>
                            <a:rect l="0" t="0" r="0" b="0"/>
                            <a:pathLst>
                              <a:path w="9004" h="9017">
                                <a:moveTo>
                                  <a:pt x="4496" y="0"/>
                                </a:moveTo>
                                <a:cubicBezTo>
                                  <a:pt x="6972" y="0"/>
                                  <a:pt x="9004" y="2032"/>
                                  <a:pt x="9004" y="4508"/>
                                </a:cubicBezTo>
                                <a:cubicBezTo>
                                  <a:pt x="9004" y="6985"/>
                                  <a:pt x="6972" y="9017"/>
                                  <a:pt x="4496" y="9017"/>
                                </a:cubicBezTo>
                                <a:cubicBezTo>
                                  <a:pt x="2019" y="9017"/>
                                  <a:pt x="0" y="6985"/>
                                  <a:pt x="0" y="4508"/>
                                </a:cubicBezTo>
                                <a:cubicBezTo>
                                  <a:pt x="0" y="2032"/>
                                  <a:pt x="2019" y="0"/>
                                  <a:pt x="44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6824" style="width:79.847pt;height:12.3pt;position:absolute;z-index:-2147483528;mso-position-horizontal-relative:text;mso-position-horizontal:absolute;margin-left:-359.86pt;mso-position-vertical-relative:text;margin-top:16.786pt;" coordsize="10140,1562">
                <v:shape id="Shape 123" style="position:absolute;width:5334;height:0;left:0;top:0;" coordsize="533400,0" path="m0,0l533400,0">
                  <v:stroke weight="0.6pt" endcap="flat" joinstyle="miter" miterlimit="10" on="true" color="#000000"/>
                  <v:fill on="false" color="#000000" opacity="0"/>
                </v:shape>
                <v:shape id="Shape 125" style="position:absolute;width:1142;height:1142;left:8997;top:419;" coordsize="114295,114296" path="m57150,0c80820,0,101132,14394,109808,34906l114295,57125l114295,57175l109808,79394c104024,93068,93068,104024,79394,109808l57169,114296l57131,114296l34906,109808c14395,101132,0,80819,0,57150c0,25591,25590,0,57150,0x">
                  <v:stroke weight="0pt" endcap="flat" joinstyle="miter" miterlimit="10" on="false" color="#000000" opacity="0"/>
                  <v:fill on="true" color="#000000"/>
                </v:shape>
                <v:shape id="Shape 64758" style="position:absolute;width:91;height:478;left:9314;top:772;" coordsize="9144,47828" path="m0,0l9144,0l9144,47828l0,47828l0,0">
                  <v:stroke weight="0pt" endcap="flat" joinstyle="miter" miterlimit="10" on="false" color="#000000" opacity="0"/>
                  <v:fill on="true" color="#ffffff"/>
                </v:shape>
                <v:shape id="Shape 127" style="position:absolute;width:219;height:478;left:9483;top:772;" coordsize="21920,47816" path="m0,0l18593,0l21920,1328l21920,7747l17475,6159l6883,6159l6883,41643l17818,41643l21920,39870l21920,46527l18656,47816l0,47816l0,0x">
                  <v:stroke weight="0pt" endcap="flat" joinstyle="miter" miterlimit="10" on="false" color="#000000" opacity="0"/>
                  <v:fill on="true" color="#ffffff"/>
                </v:shape>
                <v:shape id="Shape 128" style="position:absolute;width:221;height:451;left:9702;top:785;" coordsize="22123,45199" path="m0,0l16023,6396c20177,10963,22123,16942,22123,22586c22123,28721,19723,34696,15350,39138l0,45199l0,38543l11306,33656c14145,29959,15037,25526,15037,22586c15037,17779,13513,13340,10316,10103l0,6419l0,0x">
                  <v:stroke weight="0pt" endcap="flat" joinstyle="miter" miterlimit="10" on="false" color="#000000" opacity="0"/>
                  <v:fill on="true" color="#ffffff"/>
                </v:shape>
                <v:shape id="Shape 129" style="position:absolute;width:90;height:90;left:9303;top:627;" coordsize="9004,9017" path="m4496,0c6972,0,9004,2032,9004,4508c9004,6985,6972,9017,4496,9017c2019,9017,0,6985,0,4508c0,2032,2019,0,4496,0x">
                  <v:stroke weight="0pt" endcap="flat" joinstyle="miter" miterlimit="10" on="false" color="#000000" opacity="0"/>
                  <v:fill on="true" color="#ffffff"/>
                </v:shape>
              </v:group>
            </w:pict>
          </mc:Fallback>
        </mc:AlternateContent>
      </w:r>
      <w:r>
        <w:rPr>
          <w:rFonts w:ascii="Times New Roman" w:eastAsia="Times New Roman" w:hAnsi="Times New Roman" w:cs="Times New Roman"/>
          <w:sz w:val="18"/>
        </w:rPr>
        <w:t>Studies of arc behavior and chemistry from the central Andes (21°S–26°S; Haschke et al., 2002, 2006, and references therein) show an eastward migration of the volcanic arc from 200 Ma to present. Per</w:t>
      </w:r>
      <w:r>
        <w:rPr>
          <w:rFonts w:ascii="Times New Roman" w:eastAsia="Times New Roman" w:hAnsi="Times New Roman" w:cs="Times New Roman"/>
          <w:sz w:val="18"/>
        </w:rPr>
        <w:t>iods of regional shortening and crustal thickening in northern Argentina and southern Bolivia correlate with high-flux events and periods of lithospheric removal (DeCelles et al., 2009, 2015). According to these models, the underthrusting of continental lo</w:t>
      </w:r>
      <w:r>
        <w:rPr>
          <w:rFonts w:ascii="Times New Roman" w:eastAsia="Times New Roman" w:hAnsi="Times New Roman" w:cs="Times New Roman"/>
          <w:sz w:val="18"/>
        </w:rPr>
        <w:t>wer crust and mantle lithosphere under the arc produces periodic high-flux magmatism characterized by more evolved isotopic compositions because of melting of crustal material (Ducea, 2001; Haschke et al., 2002).</w:t>
      </w:r>
    </w:p>
    <w:p w14:paraId="4852C9F3" w14:textId="77777777" w:rsidR="00CF37A3" w:rsidRDefault="006C56C7">
      <w:pPr>
        <w:spacing w:after="3" w:line="262" w:lineRule="auto"/>
        <w:ind w:left="12" w:right="24" w:firstLine="236"/>
        <w:jc w:val="both"/>
      </w:pPr>
      <w:r>
        <w:rPr>
          <w:rFonts w:ascii="Times New Roman" w:eastAsia="Times New Roman" w:hAnsi="Times New Roman" w:cs="Times New Roman"/>
          <w:sz w:val="18"/>
        </w:rPr>
        <w:t xml:space="preserve">In the southern Andes of Chile (41°S–46°S) </w:t>
      </w:r>
      <w:r>
        <w:rPr>
          <w:rFonts w:ascii="Times New Roman" w:eastAsia="Times New Roman" w:hAnsi="Times New Roman" w:cs="Times New Roman"/>
          <w:sz w:val="18"/>
        </w:rPr>
        <w:t>the volcanic arc was relatively stationary from 190 to 120 Ma (Haschke et al., 2006); a pronounced eastward migration of the arc occurred between 120 and 75 Ma (Folguera and Ramos, 2011; Gianni et al., 2015; Orts et al., 2015; Echaurren et al., 2016). Betw</w:t>
      </w:r>
      <w:r>
        <w:rPr>
          <w:rFonts w:ascii="Times New Roman" w:eastAsia="Times New Roman" w:hAnsi="Times New Roman" w:cs="Times New Roman"/>
          <w:sz w:val="18"/>
        </w:rPr>
        <w:t>een 50 and 28 Ma there was a widening event in the magmatic arc that has been related to trench retreat (Haschke et al., 2006). The arc narrowed again between 28 and 8 Ma, was inactive from 8 to 3 Ma, and volcanism from the Pliocene to the present is conce</w:t>
      </w:r>
      <w:r>
        <w:rPr>
          <w:rFonts w:ascii="Times New Roman" w:eastAsia="Times New Roman" w:hAnsi="Times New Roman" w:cs="Times New Roman"/>
          <w:sz w:val="18"/>
        </w:rPr>
        <w:t>ntrated in a narrow zone (Herve et al., 1988; Haschke et al., 2006). Initial Sr and Nd isotopes between 200 and 20 Ma evolved from crust-like to mantle-like ratios, with a reversal at 20 Ma to more diffuse and crust-like ratios (Haschke et al., 2006).</w:t>
      </w:r>
    </w:p>
    <w:p w14:paraId="2B1A533C" w14:textId="77777777" w:rsidR="00CF37A3" w:rsidRDefault="006C56C7">
      <w:pPr>
        <w:spacing w:after="0"/>
        <w:ind w:left="10" w:right="70" w:hanging="10"/>
        <w:jc w:val="right"/>
      </w:pPr>
      <w:r>
        <w:rPr>
          <w:rFonts w:ascii="Times New Roman" w:eastAsia="Times New Roman" w:hAnsi="Times New Roman" w:cs="Times New Roman"/>
          <w:sz w:val="18"/>
        </w:rPr>
        <w:t>Comp</w:t>
      </w:r>
      <w:r>
        <w:rPr>
          <w:rFonts w:ascii="Times New Roman" w:eastAsia="Times New Roman" w:hAnsi="Times New Roman" w:cs="Times New Roman"/>
          <w:sz w:val="18"/>
        </w:rPr>
        <w:t xml:space="preserve">ared to the central Andes, the southern </w:t>
      </w:r>
    </w:p>
    <w:p w14:paraId="2BF7E41D" w14:textId="77777777" w:rsidR="00CF37A3" w:rsidRDefault="006C56C7">
      <w:pPr>
        <w:spacing w:after="3" w:line="262" w:lineRule="auto"/>
        <w:ind w:left="28" w:right="24" w:hanging="16"/>
        <w:jc w:val="both"/>
      </w:pPr>
      <w:r>
        <w:rPr>
          <w:rFonts w:ascii="Times New Roman" w:eastAsia="Times New Roman" w:hAnsi="Times New Roman" w:cs="Times New Roman"/>
          <w:sz w:val="18"/>
        </w:rPr>
        <w:t>Andes are topographically lower, and have thinner crust (Introcaso et al., 1992; Ramos, 2004). Insofar as orogenic growth is driven by the process of continental underthrusting, which in turn controls high-flux even</w:t>
      </w:r>
      <w:r>
        <w:rPr>
          <w:rFonts w:ascii="Times New Roman" w:eastAsia="Times New Roman" w:hAnsi="Times New Roman" w:cs="Times New Roman"/>
          <w:sz w:val="18"/>
        </w:rPr>
        <w:t>ts in the magmatic arc, the prediction would be that longer arc cycles and less evolved isotopic signatures should characterize the southern Andes (e.g., Hildreth and Moorbath, 1988; McMillan et al., 1989; Kay et al., 1991; Kay and Mpodozis, 2001).</w:t>
      </w:r>
    </w:p>
    <w:p w14:paraId="5FF6F2AB" w14:textId="77777777" w:rsidR="00CF37A3" w:rsidRDefault="006C56C7">
      <w:pPr>
        <w:spacing w:after="212" w:line="262" w:lineRule="auto"/>
        <w:ind w:left="12" w:right="24" w:firstLine="236"/>
        <w:jc w:val="both"/>
      </w:pPr>
      <w:r>
        <w:rPr>
          <w:rFonts w:ascii="Times New Roman" w:eastAsia="Times New Roman" w:hAnsi="Times New Roman" w:cs="Times New Roman"/>
          <w:sz w:val="18"/>
        </w:rPr>
        <w:t>In orde</w:t>
      </w:r>
      <w:r>
        <w:rPr>
          <w:rFonts w:ascii="Times New Roman" w:eastAsia="Times New Roman" w:hAnsi="Times New Roman" w:cs="Times New Roman"/>
          <w:sz w:val="18"/>
        </w:rPr>
        <w:t xml:space="preserve">r to assess arc behavior through time and its relations with orogenic scale processes, I sampled and analyzed Middle Jurassic to Neogene strata from the Neuquén Basin to determine detrital zircon U-Pb age spectra and Hf isotopic compositions. The goals of </w:t>
      </w:r>
      <w:r>
        <w:rPr>
          <w:rFonts w:ascii="Times New Roman" w:eastAsia="Times New Roman" w:hAnsi="Times New Roman" w:cs="Times New Roman"/>
          <w:sz w:val="18"/>
        </w:rPr>
        <w:t>this study are to (1) identify the geochronologic and geochemical markers associated with variable tectonic regimes in a Cordilleran-style volcanic arc by comparing and analyzing the retroarc basin detrital record; and (2) evaluate the detrital record of m</w:t>
      </w:r>
      <w:r>
        <w:rPr>
          <w:rFonts w:ascii="Times New Roman" w:eastAsia="Times New Roman" w:hAnsi="Times New Roman" w:cs="Times New Roman"/>
          <w:sz w:val="18"/>
        </w:rPr>
        <w:t xml:space="preserve">agmatism along strike by </w:t>
      </w:r>
      <w:r>
        <w:rPr>
          <w:rFonts w:ascii="Times New Roman" w:eastAsia="Times New Roman" w:hAnsi="Times New Roman" w:cs="Times New Roman"/>
          <w:sz w:val="18"/>
        </w:rPr>
        <w:t xml:space="preserve">comparing the Neuquén Andes (34°S–40°S) with the central (21°S–26°S) and southern (41°S–46°S) Andes. </w:t>
      </w:r>
      <w:r>
        <w:rPr>
          <w:b/>
          <w:sz w:val="17"/>
        </w:rPr>
        <w:t>GEOLOGIC SETTING AND STRATIGRAPHY</w:t>
      </w:r>
    </w:p>
    <w:p w14:paraId="1FC86490" w14:textId="77777777" w:rsidR="00CF37A3" w:rsidRDefault="006C56C7">
      <w:pPr>
        <w:spacing w:after="3" w:line="262" w:lineRule="auto"/>
        <w:ind w:left="12" w:right="24" w:firstLine="236"/>
        <w:jc w:val="both"/>
      </w:pPr>
      <w:r>
        <w:rPr>
          <w:rFonts w:ascii="Times New Roman" w:eastAsia="Times New Roman" w:hAnsi="Times New Roman" w:cs="Times New Roman"/>
          <w:sz w:val="18"/>
        </w:rPr>
        <w:t xml:space="preserve">The Neuquén Basin </w:t>
      </w:r>
      <w:proofErr w:type="gramStart"/>
      <w:r>
        <w:rPr>
          <w:rFonts w:ascii="Times New Roman" w:eastAsia="Times New Roman" w:hAnsi="Times New Roman" w:cs="Times New Roman"/>
          <w:sz w:val="18"/>
        </w:rPr>
        <w:t>is located in</w:t>
      </w:r>
      <w:proofErr w:type="gramEnd"/>
      <w:r>
        <w:rPr>
          <w:rFonts w:ascii="Times New Roman" w:eastAsia="Times New Roman" w:hAnsi="Times New Roman" w:cs="Times New Roman"/>
          <w:sz w:val="18"/>
        </w:rPr>
        <w:t xml:space="preserve"> a retroarc position and is characterized by a variable tectonic history, including (1) extension during the Late Triassic–Middle Jurassic as manifested by isolated rift basins (Franzese et al., 2006; Franzese and Spalletti, </w:t>
      </w:r>
      <w:r>
        <w:rPr>
          <w:rFonts w:ascii="Times New Roman" w:eastAsia="Times New Roman" w:hAnsi="Times New Roman" w:cs="Times New Roman"/>
          <w:sz w:val="18"/>
        </w:rPr>
        <w:t xml:space="preserve">2001); (2) a Middle </w:t>
      </w:r>
    </w:p>
    <w:p w14:paraId="65C6A501" w14:textId="77777777" w:rsidR="00CF37A3" w:rsidRDefault="006C56C7">
      <w:pPr>
        <w:spacing w:after="3" w:line="262" w:lineRule="auto"/>
        <w:ind w:left="12" w:right="24"/>
        <w:jc w:val="both"/>
      </w:pPr>
      <w:r>
        <w:rPr>
          <w:rFonts w:ascii="Times New Roman" w:eastAsia="Times New Roman" w:hAnsi="Times New Roman" w:cs="Times New Roman"/>
          <w:sz w:val="18"/>
        </w:rPr>
        <w:t>Jurassic–Early Cretaceous backarc basin (Spalletti and Franzese, 2000; Howell et al., 2005); (3) a Late Cretaceous (95 Ma) to Eocene retroarc foreland basin (Vergani et al., 1995; Howell et al., 2005; Tunik et al., 2010; Di Giulio et al., 2012, 2016; Balgo</w:t>
      </w:r>
      <w:r>
        <w:rPr>
          <w:rFonts w:ascii="Times New Roman" w:eastAsia="Times New Roman" w:hAnsi="Times New Roman" w:cs="Times New Roman"/>
          <w:sz w:val="18"/>
        </w:rPr>
        <w:t xml:space="preserve">rd and Carrapa, 2016; Fennell et al., 2015); and (4) variable extension and contraction along the length of the Neuquén Basin with extension dominant from 28 to 18 </w:t>
      </w:r>
    </w:p>
    <w:p w14:paraId="10B4F627" w14:textId="77777777" w:rsidR="00CF37A3" w:rsidRDefault="006C56C7">
      <w:pPr>
        <w:spacing w:after="3" w:line="262" w:lineRule="auto"/>
        <w:ind w:left="12" w:right="24"/>
        <w:jc w:val="both"/>
      </w:pPr>
      <w:r>
        <w:rPr>
          <w:rFonts w:ascii="Times New Roman" w:eastAsia="Times New Roman" w:hAnsi="Times New Roman" w:cs="Times New Roman"/>
          <w:sz w:val="18"/>
        </w:rPr>
        <w:t xml:space="preserve">Ma (Spagnuolo et al., 2012), shortening from </w:t>
      </w:r>
    </w:p>
    <w:p w14:paraId="0953E108" w14:textId="77777777" w:rsidR="00CF37A3" w:rsidRDefault="006C56C7">
      <w:pPr>
        <w:spacing w:after="213" w:line="262" w:lineRule="auto"/>
        <w:ind w:left="29" w:right="24" w:hanging="17"/>
        <w:jc w:val="both"/>
      </w:pPr>
      <w:r>
        <w:rPr>
          <w:rFonts w:ascii="Times New Roman" w:eastAsia="Times New Roman" w:hAnsi="Times New Roman" w:cs="Times New Roman"/>
          <w:sz w:val="18"/>
        </w:rPr>
        <w:t>17 to 6 Ma (Silvestro and Atencio, 2009), and</w:t>
      </w:r>
      <w:r>
        <w:rPr>
          <w:rFonts w:ascii="Times New Roman" w:eastAsia="Times New Roman" w:hAnsi="Times New Roman" w:cs="Times New Roman"/>
          <w:sz w:val="18"/>
        </w:rPr>
        <w:t xml:space="preserve"> extension from 6 Ma to present (Ramos and Kay, 2006, and references therein).</w:t>
      </w:r>
    </w:p>
    <w:p w14:paraId="71EC9F7C" w14:textId="77777777" w:rsidR="00CF37A3" w:rsidRDefault="006C56C7">
      <w:pPr>
        <w:pStyle w:val="1"/>
        <w:ind w:left="20"/>
      </w:pPr>
      <w:r>
        <w:t>Crustal Assembly and Geochemistry</w:t>
      </w:r>
    </w:p>
    <w:p w14:paraId="1DAF3F00" w14:textId="77777777" w:rsidR="00CF37A3" w:rsidRDefault="006C56C7">
      <w:pPr>
        <w:spacing w:after="3" w:line="262" w:lineRule="auto"/>
        <w:ind w:left="12" w:right="24" w:firstLine="236"/>
        <w:jc w:val="both"/>
      </w:pPr>
      <w:r>
        <w:rPr>
          <w:rFonts w:ascii="Times New Roman" w:eastAsia="Times New Roman" w:hAnsi="Times New Roman" w:cs="Times New Roman"/>
          <w:sz w:val="18"/>
        </w:rPr>
        <w:t>The Chilenia, Cuyania, Pampia, and Patagonia terranes compose the basement of the Neuquén Basin, and were accreted onto the Rio de la Plata cra</w:t>
      </w:r>
      <w:r>
        <w:rPr>
          <w:rFonts w:ascii="Times New Roman" w:eastAsia="Times New Roman" w:hAnsi="Times New Roman" w:cs="Times New Roman"/>
          <w:sz w:val="18"/>
        </w:rPr>
        <w:t>ton on the southwestern margin of Gondwana during the Neoproterozoic and early Paleozoic (Fig. 1; Ramos, 2010).</w:t>
      </w:r>
    </w:p>
    <w:p w14:paraId="6710ACA7" w14:textId="77777777" w:rsidR="00CF37A3" w:rsidRDefault="006C56C7">
      <w:pPr>
        <w:spacing w:after="3" w:line="262" w:lineRule="auto"/>
        <w:ind w:left="12" w:right="24" w:firstLine="236"/>
        <w:jc w:val="both"/>
      </w:pPr>
      <w:r>
        <w:rPr>
          <w:rFonts w:ascii="Times New Roman" w:eastAsia="Times New Roman" w:hAnsi="Times New Roman" w:cs="Times New Roman"/>
          <w:sz w:val="18"/>
        </w:rPr>
        <w:t>Willner et al. (2008) and Lucassen et al. (2004) identified three episodes of juvenile crustal development in southern Gondwana during the Preca</w:t>
      </w:r>
      <w:r>
        <w:rPr>
          <w:rFonts w:ascii="Times New Roman" w:eastAsia="Times New Roman" w:hAnsi="Times New Roman" w:cs="Times New Roman"/>
          <w:sz w:val="18"/>
        </w:rPr>
        <w:t>mbrian: 3.4–2.7 Ga, 2.4–1.9 Ga, and 1.5–0.8 Ga, based on the geochemistry of detrital zircons from the Carboniferous accretionary prism and batholiths in the Mesozoic volcanic arc. During the Paleozoic, zircons from arc-related calc-alkaline magmas were de</w:t>
      </w:r>
      <w:r>
        <w:rPr>
          <w:rFonts w:ascii="Times New Roman" w:eastAsia="Times New Roman" w:hAnsi="Times New Roman" w:cs="Times New Roman"/>
          <w:sz w:val="18"/>
        </w:rPr>
        <w:t>rived from a recycled crustal reservoir of Mesoproterozoic age, probably represented by the Chilenia terrane (Willner et al., 2008). Following the early Paleozoic accretionary events, a magmatic arc and accretionary prism developed along the western and so</w:t>
      </w:r>
      <w:r>
        <w:rPr>
          <w:rFonts w:ascii="Times New Roman" w:eastAsia="Times New Roman" w:hAnsi="Times New Roman" w:cs="Times New Roman"/>
          <w:sz w:val="18"/>
        </w:rPr>
        <w:t>uthern margin of Gondwana between 320 and 250 Ma (Hervé et al., 1988; Willner et al., 2005, 2008).</w:t>
      </w:r>
    </w:p>
    <w:p w14:paraId="05BC71B7" w14:textId="77777777" w:rsidR="00CF37A3" w:rsidRDefault="006C56C7">
      <w:pPr>
        <w:spacing w:after="3" w:line="262" w:lineRule="auto"/>
        <w:ind w:left="12" w:right="24" w:firstLine="236"/>
        <w:jc w:val="both"/>
      </w:pPr>
      <w:r>
        <w:rPr>
          <w:rFonts w:ascii="Times New Roman" w:eastAsia="Times New Roman" w:hAnsi="Times New Roman" w:cs="Times New Roman"/>
          <w:sz w:val="18"/>
        </w:rPr>
        <w:t>Widespread magmatism associated with orogenic collapse following the early Carboniferous Gondwanan orogeny (Ramos, 1984) led to the formation of abundant lat</w:t>
      </w:r>
      <w:r>
        <w:rPr>
          <w:rFonts w:ascii="Times New Roman" w:eastAsia="Times New Roman" w:hAnsi="Times New Roman" w:cs="Times New Roman"/>
          <w:sz w:val="18"/>
        </w:rPr>
        <w:t xml:space="preserve">e Permian to Early Triassic rhyolites and granites known as the Choiyoi igneous complex in the northern Patagonia terrane (Fig. 1; Kay et al., </w:t>
      </w:r>
      <w:r>
        <w:rPr>
          <w:rFonts w:ascii="Times New Roman" w:eastAsia="Times New Roman" w:hAnsi="Times New Roman" w:cs="Times New Roman"/>
          <w:sz w:val="18"/>
        </w:rPr>
        <w:t>1989; Rocha-Campos et al., 2011). The Choiyoi igneous complex to the north of the Patagonia terrane, in the south</w:t>
      </w:r>
      <w:r>
        <w:rPr>
          <w:rFonts w:ascii="Times New Roman" w:eastAsia="Times New Roman" w:hAnsi="Times New Roman" w:cs="Times New Roman"/>
          <w:sz w:val="18"/>
        </w:rPr>
        <w:t>ern central Andes, has been linked to flat-slab subduction in the late Paleozoic (Ramos and Folguera, 2009). The Choiyoi igneous complex comprises lower and upper sequences with ages of ca. 280 Ma and ca. 265–250 Ma, respectively (Kleiman and Japas, 2009).</w:t>
      </w:r>
      <w:r>
        <w:rPr>
          <w:rFonts w:ascii="Times New Roman" w:eastAsia="Times New Roman" w:hAnsi="Times New Roman" w:cs="Times New Roman"/>
          <w:sz w:val="18"/>
        </w:rPr>
        <w:t xml:space="preserve"> Geochemical and structural analyses of units from the lower Choiyoi igneous complex indicate arc-related volcanism caused by north-northeastwardward oblique convergence. Conversely, in the upper </w:t>
      </w:r>
    </w:p>
    <w:p w14:paraId="2963344D" w14:textId="77777777" w:rsidR="00CF37A3" w:rsidRDefault="006C56C7">
      <w:pPr>
        <w:spacing w:after="3" w:line="262" w:lineRule="auto"/>
        <w:ind w:left="12" w:right="24"/>
        <w:jc w:val="both"/>
      </w:pPr>
      <w:r>
        <w:rPr>
          <w:rFonts w:ascii="Times New Roman" w:eastAsia="Times New Roman" w:hAnsi="Times New Roman" w:cs="Times New Roman"/>
          <w:sz w:val="18"/>
        </w:rPr>
        <w:t>Choiyoi igneous complex, volcanism was extension related (K</w:t>
      </w:r>
      <w:r>
        <w:rPr>
          <w:rFonts w:ascii="Times New Roman" w:eastAsia="Times New Roman" w:hAnsi="Times New Roman" w:cs="Times New Roman"/>
          <w:sz w:val="18"/>
        </w:rPr>
        <w:t>leiman and Japas, 2009). In some areas the youngest phase of Choiyoi igneous activity was followed by rift-related volcanism related to the opening of the Neuquén Basin (ca. 230 Ma; Howell et al., 2005) that coincided with widespread extension throughout S</w:t>
      </w:r>
      <w:r>
        <w:rPr>
          <w:rFonts w:ascii="Times New Roman" w:eastAsia="Times New Roman" w:hAnsi="Times New Roman" w:cs="Times New Roman"/>
          <w:sz w:val="18"/>
        </w:rPr>
        <w:t>outh America during the breakup of Gondwana.</w:t>
      </w:r>
    </w:p>
    <w:p w14:paraId="5DDA3800" w14:textId="77777777" w:rsidR="00CF37A3" w:rsidRDefault="006C56C7">
      <w:pPr>
        <w:spacing w:after="0"/>
        <w:ind w:left="10" w:right="171" w:hanging="10"/>
        <w:jc w:val="right"/>
      </w:pPr>
      <w:r>
        <w:rPr>
          <w:rFonts w:ascii="Times New Roman" w:eastAsia="Times New Roman" w:hAnsi="Times New Roman" w:cs="Times New Roman"/>
          <w:sz w:val="18"/>
        </w:rPr>
        <w:t xml:space="preserve">The oldest Mesozoic magmatic rocks in the </w:t>
      </w:r>
    </w:p>
    <w:p w14:paraId="17A34386" w14:textId="77777777" w:rsidR="00CF37A3" w:rsidRDefault="006C56C7">
      <w:pPr>
        <w:spacing w:after="3" w:line="262" w:lineRule="auto"/>
        <w:ind w:left="12" w:right="24"/>
        <w:jc w:val="both"/>
      </w:pPr>
      <w:r>
        <w:rPr>
          <w:rFonts w:ascii="Times New Roman" w:eastAsia="Times New Roman" w:hAnsi="Times New Roman" w:cs="Times New Roman"/>
          <w:sz w:val="18"/>
        </w:rPr>
        <w:t xml:space="preserve">Coastal Cordillera (Fig. 1) are small-volume </w:t>
      </w:r>
    </w:p>
    <w:p w14:paraId="6D623841" w14:textId="77777777" w:rsidR="00CF37A3" w:rsidRDefault="006C56C7">
      <w:pPr>
        <w:spacing w:after="209" w:line="262" w:lineRule="auto"/>
        <w:ind w:left="12" w:right="119" w:firstLine="20"/>
        <w:jc w:val="both"/>
      </w:pPr>
      <w:r>
        <w:rPr>
          <w:rFonts w:ascii="Times New Roman" w:eastAsia="Times New Roman" w:hAnsi="Times New Roman" w:cs="Times New Roman"/>
          <w:sz w:val="18"/>
        </w:rPr>
        <w:t>Late Triassic granitic batholiths (Hervé et al., 1988) that mark the reinitiation of subduction along the western margin o</w:t>
      </w:r>
      <w:r>
        <w:rPr>
          <w:rFonts w:ascii="Times New Roman" w:eastAsia="Times New Roman" w:hAnsi="Times New Roman" w:cs="Times New Roman"/>
          <w:sz w:val="18"/>
        </w:rPr>
        <w:t xml:space="preserve">f South America. Jurassic to recent arc-related volcanic and intrusive rocks are abundant along the ChileArgentina border (Fig. 1; Rapela and Kay, 1988). </w:t>
      </w:r>
      <w:r>
        <w:rPr>
          <w:b/>
          <w:sz w:val="17"/>
        </w:rPr>
        <w:t>Stratigraphy</w:t>
      </w:r>
    </w:p>
    <w:p w14:paraId="6C1507E0" w14:textId="77777777" w:rsidR="00CF37A3" w:rsidRDefault="006C56C7">
      <w:pPr>
        <w:spacing w:after="3" w:line="262" w:lineRule="auto"/>
        <w:ind w:left="12" w:right="120" w:firstLine="236"/>
        <w:jc w:val="both"/>
      </w:pPr>
      <w:r>
        <w:rPr>
          <w:rFonts w:ascii="Times New Roman" w:eastAsia="Times New Roman" w:hAnsi="Times New Roman" w:cs="Times New Roman"/>
          <w:sz w:val="18"/>
        </w:rPr>
        <w:t xml:space="preserve">The middle Jurassic to lower Cretaceous sedimentary units analyzed in this study include </w:t>
      </w:r>
      <w:r>
        <w:rPr>
          <w:rFonts w:ascii="Times New Roman" w:eastAsia="Times New Roman" w:hAnsi="Times New Roman" w:cs="Times New Roman"/>
          <w:sz w:val="18"/>
        </w:rPr>
        <w:t>the middle Jurassic Las Lajas Formation, the upper Jurassic Lotena and Tordillo Formations, the upper Jurassic to lower Cretaceous Vaca Muerta and Picun Liufu Formations, and the lower Cretaceous Agrio, Huitrín, and Rayoso Formations (Fig. 2; Legarreta and</w:t>
      </w:r>
      <w:r>
        <w:rPr>
          <w:rFonts w:ascii="Times New Roman" w:eastAsia="Times New Roman" w:hAnsi="Times New Roman" w:cs="Times New Roman"/>
          <w:sz w:val="18"/>
        </w:rPr>
        <w:t xml:space="preserve"> Gulisano, 1989; Legarreta and Uliana, 1991). These units are dominantly marine with fluvial and lacustrine deposits within the Tordillo, Rayoso, and Huitrín Formations (Figs. 2 and 3; Howell et al., 2005). Conversely, the upper Cretaceous Neuquén Group in</w:t>
      </w:r>
      <w:r>
        <w:rPr>
          <w:rFonts w:ascii="Times New Roman" w:eastAsia="Times New Roman" w:hAnsi="Times New Roman" w:cs="Times New Roman"/>
          <w:sz w:val="18"/>
        </w:rPr>
        <w:t xml:space="preserve"> the central Neuquén Basin (Leanza and Hugo, 2001; Leanza et al., 2004), and correlative Diamante </w:t>
      </w:r>
    </w:p>
    <w:p w14:paraId="7DDC1CB9" w14:textId="77777777" w:rsidR="00CF37A3" w:rsidRDefault="006C56C7">
      <w:pPr>
        <w:spacing w:after="3" w:line="262" w:lineRule="auto"/>
        <w:ind w:left="12" w:right="120" w:firstLine="10"/>
        <w:jc w:val="both"/>
      </w:pPr>
      <w:r>
        <w:rPr>
          <w:rFonts w:ascii="Times New Roman" w:eastAsia="Times New Roman" w:hAnsi="Times New Roman" w:cs="Times New Roman"/>
          <w:sz w:val="18"/>
        </w:rPr>
        <w:t xml:space="preserve">Formation (Balgord and Carrapa, 2016) in the northern Neuquén Basin, are dominantly fluvial and lacustrine in nature. There are minor marine deposits in the Loncoche and Roca Forma tions of the upper Cretaceous–Paleocene </w:t>
      </w:r>
    </w:p>
    <w:p w14:paraId="0046EB42" w14:textId="77777777" w:rsidR="00CF37A3" w:rsidRDefault="006C56C7">
      <w:pPr>
        <w:spacing w:after="3" w:line="262" w:lineRule="auto"/>
        <w:ind w:left="12" w:right="121" w:firstLine="18"/>
        <w:jc w:val="both"/>
      </w:pPr>
      <w:r>
        <w:rPr>
          <w:rFonts w:ascii="Times New Roman" w:eastAsia="Times New Roman" w:hAnsi="Times New Roman" w:cs="Times New Roman"/>
          <w:sz w:val="18"/>
        </w:rPr>
        <w:t>Malargüe Group (Barrio, 1990a, 199</w:t>
      </w:r>
      <w:r>
        <w:rPr>
          <w:rFonts w:ascii="Times New Roman" w:eastAsia="Times New Roman" w:hAnsi="Times New Roman" w:cs="Times New Roman"/>
          <w:sz w:val="18"/>
        </w:rPr>
        <w:t xml:space="preserve">0b). The upper Malargüe Group (Pircala and Coihueco </w:t>
      </w:r>
      <w:r>
        <w:rPr>
          <w:rFonts w:ascii="Times New Roman" w:eastAsia="Times New Roman" w:hAnsi="Times New Roman" w:cs="Times New Roman"/>
          <w:sz w:val="18"/>
        </w:rPr>
        <w:lastRenderedPageBreak/>
        <w:t>Formations) comprises fluvial deposits (Figs. 2 and 3; Barrio, 1990a, 1990b). The Tristeza Formation is composed of coarse sandstones and conglomerates derived from the uplifted Mesozoic units to the west</w:t>
      </w:r>
      <w:r>
        <w:rPr>
          <w:rFonts w:ascii="Times New Roman" w:eastAsia="Times New Roman" w:hAnsi="Times New Roman" w:cs="Times New Roman"/>
          <w:sz w:val="18"/>
        </w:rPr>
        <w:t xml:space="preserve"> that were deposited during active shortening in the late Miocene (Yrioygen, 1993; Silvestro and Atencio, 2009; Sagripanti et al., 2011). The Arroyo Palao </w:t>
      </w:r>
      <w:r>
        <w:rPr>
          <w:rFonts w:ascii="Times New Roman" w:eastAsia="Times New Roman" w:hAnsi="Times New Roman" w:cs="Times New Roman"/>
          <w:sz w:val="18"/>
        </w:rPr>
        <w:t>Formation is age equivalent, or slightly younger than the Tristeza Formation, but is 100 km south and</w:t>
      </w:r>
      <w:r>
        <w:rPr>
          <w:rFonts w:ascii="Times New Roman" w:eastAsia="Times New Roman" w:hAnsi="Times New Roman" w:cs="Times New Roman"/>
          <w:sz w:val="18"/>
        </w:rPr>
        <w:t xml:space="preserve"> west, within an active zone of Neogene extension and volcanism (Rovere et al., 2000).</w:t>
      </w:r>
    </w:p>
    <w:p w14:paraId="3BBBF4CE" w14:textId="77777777" w:rsidR="00CF37A3" w:rsidRDefault="006C56C7">
      <w:pPr>
        <w:spacing w:after="3" w:line="262" w:lineRule="auto"/>
        <w:ind w:left="12" w:right="120" w:firstLine="236"/>
        <w:jc w:val="both"/>
      </w:pPr>
      <w:r>
        <w:rPr>
          <w:rFonts w:ascii="Times New Roman" w:eastAsia="Times New Roman" w:hAnsi="Times New Roman" w:cs="Times New Roman"/>
          <w:sz w:val="18"/>
        </w:rPr>
        <w:t xml:space="preserve">The transition from extension to compression and therefore backarc basin (thermally controlled subsidence) to foreland </w:t>
      </w:r>
      <w:r>
        <w:rPr>
          <w:rFonts w:ascii="Times New Roman" w:eastAsia="Times New Roman" w:hAnsi="Times New Roman" w:cs="Times New Roman"/>
          <w:sz w:val="18"/>
        </w:rPr>
        <w:t>basin (flexurally controlled subsidence) sedimenta</w:t>
      </w:r>
      <w:r>
        <w:rPr>
          <w:rFonts w:ascii="Times New Roman" w:eastAsia="Times New Roman" w:hAnsi="Times New Roman" w:cs="Times New Roman"/>
          <w:sz w:val="18"/>
        </w:rPr>
        <w:t xml:space="preserve">tion was between 100 and 95 Ma along the length of the Neuquén Basin (Vergani et al., 1995; Howell et al., 2005; Tunik et al., 2010; DiGuilio et al., 2012; Balgord and Carrapa, 2016; Fennell et al., </w:t>
      </w:r>
    </w:p>
    <w:p w14:paraId="34AB54A9" w14:textId="77777777" w:rsidR="00CF37A3" w:rsidRDefault="00CF37A3">
      <w:pPr>
        <w:sectPr w:rsidR="00CF37A3">
          <w:footnotePr>
            <w:numRestart w:val="eachPage"/>
          </w:footnotePr>
          <w:type w:val="continuous"/>
          <w:pgSz w:w="11880" w:h="15660"/>
          <w:pgMar w:top="1258" w:right="558" w:bottom="440" w:left="583" w:header="720" w:footer="720" w:gutter="0"/>
          <w:cols w:num="3" w:space="190"/>
        </w:sectPr>
      </w:pPr>
    </w:p>
    <w:p w14:paraId="2BDBA6BF" w14:textId="77777777" w:rsidR="00CF37A3" w:rsidRDefault="006C56C7">
      <w:pPr>
        <w:spacing w:after="3" w:line="254" w:lineRule="auto"/>
        <w:ind w:left="20" w:right="62" w:hanging="10"/>
        <w:jc w:val="both"/>
      </w:pPr>
      <w:r>
        <w:rPr>
          <w:noProof/>
        </w:rPr>
        <w:lastRenderedPageBreak/>
        <w:drawing>
          <wp:anchor distT="0" distB="0" distL="114300" distR="114300" simplePos="0" relativeHeight="251659264" behindDoc="0" locked="0" layoutInCell="1" allowOverlap="0" wp14:anchorId="0A30B233" wp14:editId="0930F797">
            <wp:simplePos x="0" y="0"/>
            <wp:positionH relativeFrom="margin">
              <wp:posOffset>11595</wp:posOffset>
            </wp:positionH>
            <wp:positionV relativeFrom="paragraph">
              <wp:posOffset>-7175436</wp:posOffset>
            </wp:positionV>
            <wp:extent cx="6708649" cy="7083552"/>
            <wp:effectExtent l="0" t="0" r="0" b="0"/>
            <wp:wrapTopAndBottom/>
            <wp:docPr id="64206" name="Picture 64206"/>
            <wp:cNvGraphicFramePr/>
            <a:graphic xmlns:a="http://schemas.openxmlformats.org/drawingml/2006/main">
              <a:graphicData uri="http://schemas.openxmlformats.org/drawingml/2006/picture">
                <pic:pic xmlns:pic="http://schemas.openxmlformats.org/drawingml/2006/picture">
                  <pic:nvPicPr>
                    <pic:cNvPr id="64206" name="Picture 64206"/>
                    <pic:cNvPicPr/>
                  </pic:nvPicPr>
                  <pic:blipFill>
                    <a:blip r:embed="rId14"/>
                    <a:stretch>
                      <a:fillRect/>
                    </a:stretch>
                  </pic:blipFill>
                  <pic:spPr>
                    <a:xfrm>
                      <a:off x="0" y="0"/>
                      <a:ext cx="6708649" cy="7083552"/>
                    </a:xfrm>
                    <a:prstGeom prst="rect">
                      <a:avLst/>
                    </a:prstGeom>
                  </pic:spPr>
                </pic:pic>
              </a:graphicData>
            </a:graphic>
          </wp:anchor>
        </w:drawing>
      </w:r>
      <w:r>
        <w:rPr>
          <w:b/>
          <w:sz w:val="15"/>
        </w:rPr>
        <w:t>Figure 1. (A) Generalized geologic</w:t>
      </w:r>
      <w:r>
        <w:rPr>
          <w:b/>
          <w:sz w:val="15"/>
        </w:rPr>
        <w:t xml:space="preserve"> map of the research area that shows the location of Permian–Triassic, Jurassic, Cretaceous, and latest Cretaceous to Paleogene igneous units as well as Jurassic–Late Cretaceous and Neogene sedimentary units (modified from Sagripanti et al., 2011). (B) Map</w:t>
      </w:r>
      <w:r>
        <w:rPr>
          <w:b/>
          <w:sz w:val="15"/>
        </w:rPr>
        <w:t xml:space="preserve"> showing the location of the Neuquén Basin and central and southern Andes segments from Haschke et al. (2006) as well as the location of active volcanoes along the southern Andes. Samples were collected from the following locations: 1—Malargüe Group Hf sam</w:t>
      </w:r>
      <w:r>
        <w:rPr>
          <w:b/>
          <w:sz w:val="15"/>
        </w:rPr>
        <w:t>ples, 2—Arroyo Palao Formation and Tordillo Formation, and 3—Pecun Leufu Formation, Las Lajas Formation, and the Lotena Formation detrital and tuff samples.</w:t>
      </w:r>
    </w:p>
    <w:p w14:paraId="2498AE94" w14:textId="77777777" w:rsidR="00CF37A3" w:rsidRDefault="006C56C7">
      <w:pPr>
        <w:spacing w:after="3" w:line="254" w:lineRule="auto"/>
        <w:ind w:left="20" w:right="62" w:hanging="10"/>
        <w:jc w:val="both"/>
      </w:pPr>
      <w:r>
        <w:rPr>
          <w:b/>
          <w:sz w:val="15"/>
        </w:rPr>
        <w:t>Figure 2. Stratigraphic sections from the Neuquén Basin with sampled strata marked with maximum dep</w:t>
      </w:r>
      <w:r>
        <w:rPr>
          <w:b/>
          <w:sz w:val="15"/>
        </w:rPr>
        <w:t>ositional ages (our data and Balgord and Carrapa, 2016). Lithostratigraphy modified from Howell et al. (2005) is based on descriptions from Legarreta and Gulisano (1989) and Legarereta and Uliana (1991). E—Eocene; O—Oligocene; Fm—formation; Gp—group.</w:t>
      </w:r>
    </w:p>
    <w:p w14:paraId="106E184B" w14:textId="77777777" w:rsidR="00CF37A3" w:rsidRDefault="006C56C7">
      <w:pPr>
        <w:numPr>
          <w:ilvl w:val="0"/>
          <w:numId w:val="1"/>
        </w:numPr>
        <w:spacing w:after="0" w:line="265" w:lineRule="auto"/>
        <w:ind w:right="1698" w:hanging="307"/>
      </w:pPr>
      <w:r>
        <w:rPr>
          <w:rFonts w:ascii="Arial" w:eastAsia="Arial" w:hAnsi="Arial" w:cs="Arial"/>
          <w:sz w:val="24"/>
        </w:rPr>
        <w:t xml:space="preserve">Rift </w:t>
      </w:r>
      <w:r>
        <w:rPr>
          <w:rFonts w:ascii="Arial" w:eastAsia="Arial" w:hAnsi="Arial" w:cs="Arial"/>
          <w:sz w:val="24"/>
        </w:rPr>
        <w:t>Phase</w:t>
      </w:r>
    </w:p>
    <w:p w14:paraId="6AA6B562" w14:textId="77777777" w:rsidR="00CF37A3" w:rsidRDefault="006C56C7">
      <w:pPr>
        <w:spacing w:after="2908" w:line="265" w:lineRule="auto"/>
        <w:ind w:left="741" w:right="1698" w:hanging="10"/>
      </w:pPr>
      <w:r>
        <w:rPr>
          <w:rFonts w:ascii="Arial" w:eastAsia="Arial" w:hAnsi="Arial" w:cs="Arial"/>
          <w:sz w:val="24"/>
        </w:rPr>
        <w:lastRenderedPageBreak/>
        <w:t>(230-210 Ma)</w:t>
      </w:r>
    </w:p>
    <w:p w14:paraId="18895D07" w14:textId="77777777" w:rsidR="00CF37A3" w:rsidRDefault="006C56C7">
      <w:pPr>
        <w:numPr>
          <w:ilvl w:val="0"/>
          <w:numId w:val="1"/>
        </w:numPr>
        <w:spacing w:after="535" w:line="265" w:lineRule="auto"/>
        <w:ind w:right="1698" w:hanging="307"/>
      </w:pPr>
      <w:r>
        <w:rPr>
          <w:rFonts w:ascii="Arial" w:eastAsia="Arial" w:hAnsi="Arial" w:cs="Arial"/>
          <w:sz w:val="24"/>
        </w:rPr>
        <w:t xml:space="preserve">Backarc </w:t>
      </w:r>
      <w:proofErr w:type="gramStart"/>
      <w:r>
        <w:rPr>
          <w:rFonts w:ascii="Arial" w:eastAsia="Arial" w:hAnsi="Arial" w:cs="Arial"/>
          <w:sz w:val="24"/>
        </w:rPr>
        <w:t>Phase(</w:t>
      </w:r>
      <w:proofErr w:type="gramEnd"/>
      <w:r>
        <w:rPr>
          <w:rFonts w:ascii="Arial" w:eastAsia="Arial" w:hAnsi="Arial" w:cs="Arial"/>
          <w:sz w:val="24"/>
        </w:rPr>
        <w:t>190-100 Ma)</w:t>
      </w:r>
    </w:p>
    <w:p w14:paraId="68C282A6" w14:textId="77777777" w:rsidR="00CF37A3" w:rsidRDefault="006C56C7">
      <w:pPr>
        <w:numPr>
          <w:ilvl w:val="0"/>
          <w:numId w:val="1"/>
        </w:numPr>
        <w:spacing w:after="0" w:line="265" w:lineRule="auto"/>
        <w:ind w:right="1698" w:hanging="307"/>
      </w:pPr>
      <w:r>
        <w:rPr>
          <w:rFonts w:ascii="Arial" w:eastAsia="Arial" w:hAnsi="Arial" w:cs="Arial"/>
          <w:sz w:val="24"/>
        </w:rPr>
        <w:t>Foreland Phase</w:t>
      </w:r>
    </w:p>
    <w:p w14:paraId="091B017C" w14:textId="77777777" w:rsidR="00CF37A3" w:rsidRDefault="006C56C7">
      <w:pPr>
        <w:spacing w:after="131" w:line="265" w:lineRule="auto"/>
        <w:ind w:left="741" w:right="1698" w:hanging="10"/>
      </w:pPr>
      <w:r>
        <w:rPr>
          <w:rFonts w:ascii="Arial" w:eastAsia="Arial" w:hAnsi="Arial" w:cs="Arial"/>
          <w:sz w:val="24"/>
        </w:rPr>
        <w:t>(100-50 Ma)</w:t>
      </w:r>
    </w:p>
    <w:p w14:paraId="6C14AA17" w14:textId="77777777" w:rsidR="00CF37A3" w:rsidRDefault="006C56C7">
      <w:pPr>
        <w:spacing w:after="84"/>
        <w:ind w:left="10" w:right="232" w:hanging="10"/>
        <w:jc w:val="right"/>
      </w:pPr>
      <w:r>
        <w:rPr>
          <w:rFonts w:ascii="Arial" w:eastAsia="Arial" w:hAnsi="Arial" w:cs="Arial"/>
          <w:sz w:val="5"/>
        </w:rPr>
        <w:t>+</w:t>
      </w:r>
    </w:p>
    <w:p w14:paraId="6FCE2F76" w14:textId="77777777" w:rsidR="00CF37A3" w:rsidRDefault="006C56C7">
      <w:pPr>
        <w:tabs>
          <w:tab w:val="center" w:pos="4176"/>
          <w:tab w:val="center" w:pos="4308"/>
        </w:tabs>
        <w:spacing w:after="132"/>
      </w:pPr>
      <w:r>
        <w:tab/>
      </w:r>
      <w:r>
        <w:rPr>
          <w:rFonts w:ascii="Arial" w:eastAsia="Arial" w:hAnsi="Arial" w:cs="Arial"/>
          <w:sz w:val="5"/>
        </w:rPr>
        <w:t>+</w:t>
      </w:r>
      <w:r>
        <w:rPr>
          <w:rFonts w:ascii="Arial" w:eastAsia="Arial" w:hAnsi="Arial" w:cs="Arial"/>
          <w:sz w:val="5"/>
        </w:rPr>
        <w:tab/>
        <w:t>+</w:t>
      </w:r>
    </w:p>
    <w:p w14:paraId="53FFAC7D" w14:textId="77777777" w:rsidR="00CF37A3" w:rsidRDefault="006C56C7">
      <w:pPr>
        <w:tabs>
          <w:tab w:val="center" w:pos="4052"/>
          <w:tab w:val="center" w:pos="4179"/>
        </w:tabs>
        <w:spacing w:after="132"/>
      </w:pPr>
      <w:r>
        <w:tab/>
      </w:r>
      <w:r>
        <w:rPr>
          <w:rFonts w:ascii="Arial" w:eastAsia="Arial" w:hAnsi="Arial" w:cs="Arial"/>
          <w:sz w:val="5"/>
        </w:rPr>
        <w:t>+</w:t>
      </w:r>
      <w:r>
        <w:rPr>
          <w:rFonts w:ascii="Arial" w:eastAsia="Arial" w:hAnsi="Arial" w:cs="Arial"/>
          <w:sz w:val="5"/>
        </w:rPr>
        <w:tab/>
        <w:t>+</w:t>
      </w:r>
    </w:p>
    <w:p w14:paraId="12892389" w14:textId="77777777" w:rsidR="00CF37A3" w:rsidRDefault="006C56C7">
      <w:pPr>
        <w:tabs>
          <w:tab w:val="center" w:pos="3924"/>
          <w:tab w:val="center" w:pos="4055"/>
        </w:tabs>
        <w:spacing w:after="132"/>
      </w:pPr>
      <w:r>
        <w:tab/>
      </w:r>
      <w:r>
        <w:rPr>
          <w:rFonts w:ascii="Arial" w:eastAsia="Arial" w:hAnsi="Arial" w:cs="Arial"/>
          <w:sz w:val="5"/>
        </w:rPr>
        <w:t>+</w:t>
      </w:r>
      <w:r>
        <w:rPr>
          <w:rFonts w:ascii="Arial" w:eastAsia="Arial" w:hAnsi="Arial" w:cs="Arial"/>
          <w:sz w:val="5"/>
        </w:rPr>
        <w:tab/>
        <w:t>+</w:t>
      </w:r>
    </w:p>
    <w:p w14:paraId="3224F65E" w14:textId="77777777" w:rsidR="00CF37A3" w:rsidRDefault="006C56C7">
      <w:pPr>
        <w:tabs>
          <w:tab w:val="center" w:pos="3799"/>
          <w:tab w:val="center" w:pos="3928"/>
        </w:tabs>
        <w:spacing w:after="132"/>
      </w:pPr>
      <w:r>
        <w:tab/>
      </w:r>
      <w:r>
        <w:rPr>
          <w:rFonts w:ascii="Arial" w:eastAsia="Arial" w:hAnsi="Arial" w:cs="Arial"/>
          <w:sz w:val="5"/>
        </w:rPr>
        <w:t>+</w:t>
      </w:r>
      <w:r>
        <w:rPr>
          <w:rFonts w:ascii="Arial" w:eastAsia="Arial" w:hAnsi="Arial" w:cs="Arial"/>
          <w:sz w:val="5"/>
        </w:rPr>
        <w:tab/>
        <w:t>+</w:t>
      </w:r>
    </w:p>
    <w:p w14:paraId="4F0C4572" w14:textId="77777777" w:rsidR="00CF37A3" w:rsidRDefault="006C56C7">
      <w:pPr>
        <w:tabs>
          <w:tab w:val="center" w:pos="3673"/>
          <w:tab w:val="center" w:pos="3802"/>
        </w:tabs>
        <w:spacing w:after="125" w:line="265" w:lineRule="auto"/>
      </w:pPr>
      <w:r>
        <w:tab/>
      </w:r>
      <w:r>
        <w:rPr>
          <w:rFonts w:ascii="Arial" w:eastAsia="Arial" w:hAnsi="Arial" w:cs="Arial"/>
          <w:sz w:val="5"/>
        </w:rPr>
        <w:t>+</w:t>
      </w:r>
      <w:r>
        <w:rPr>
          <w:rFonts w:ascii="Arial" w:eastAsia="Arial" w:hAnsi="Arial" w:cs="Arial"/>
          <w:sz w:val="5"/>
        </w:rPr>
        <w:tab/>
        <w:t>+</w:t>
      </w:r>
    </w:p>
    <w:p w14:paraId="24D10354" w14:textId="77777777" w:rsidR="00CF37A3" w:rsidRDefault="006C56C7">
      <w:pPr>
        <w:tabs>
          <w:tab w:val="center" w:pos="3530"/>
          <w:tab w:val="center" w:pos="3677"/>
        </w:tabs>
        <w:spacing w:after="152" w:line="265" w:lineRule="auto"/>
      </w:pPr>
      <w:r>
        <w:tab/>
      </w:r>
      <w:r>
        <w:rPr>
          <w:rFonts w:ascii="Arial" w:eastAsia="Arial" w:hAnsi="Arial" w:cs="Arial"/>
          <w:sz w:val="5"/>
        </w:rPr>
        <w:t>+</w:t>
      </w:r>
      <w:r>
        <w:rPr>
          <w:rFonts w:ascii="Arial" w:eastAsia="Arial" w:hAnsi="Arial" w:cs="Arial"/>
          <w:sz w:val="5"/>
        </w:rPr>
        <w:tab/>
        <w:t>+</w:t>
      </w:r>
    </w:p>
    <w:p w14:paraId="017969FD" w14:textId="77777777" w:rsidR="00CF37A3" w:rsidRDefault="006C56C7">
      <w:pPr>
        <w:tabs>
          <w:tab w:val="center" w:pos="3384"/>
          <w:tab w:val="center" w:pos="3534"/>
        </w:tabs>
        <w:spacing w:after="95" w:line="265" w:lineRule="auto"/>
      </w:pPr>
      <w:r>
        <w:tab/>
      </w:r>
      <w:r>
        <w:rPr>
          <w:rFonts w:ascii="Arial" w:eastAsia="Arial" w:hAnsi="Arial" w:cs="Arial"/>
          <w:sz w:val="5"/>
        </w:rPr>
        <w:t>+</w:t>
      </w:r>
      <w:r>
        <w:rPr>
          <w:rFonts w:ascii="Arial" w:eastAsia="Arial" w:hAnsi="Arial" w:cs="Arial"/>
          <w:sz w:val="5"/>
        </w:rPr>
        <w:tab/>
        <w:t>+</w:t>
      </w:r>
    </w:p>
    <w:p w14:paraId="29E3B26E" w14:textId="77777777" w:rsidR="00CF37A3" w:rsidRDefault="006C56C7">
      <w:pPr>
        <w:spacing w:after="7" w:line="265" w:lineRule="auto"/>
        <w:ind w:left="2948" w:hanging="10"/>
        <w:jc w:val="center"/>
      </w:pPr>
      <w:r>
        <w:rPr>
          <w:rFonts w:ascii="Arial" w:eastAsia="Arial" w:hAnsi="Arial" w:cs="Arial"/>
          <w:sz w:val="5"/>
        </w:rPr>
        <w:t>+</w:t>
      </w:r>
    </w:p>
    <w:p w14:paraId="1F40DD30" w14:textId="77777777" w:rsidR="00CF37A3" w:rsidRDefault="006C56C7">
      <w:pPr>
        <w:spacing w:after="49" w:line="265" w:lineRule="auto"/>
        <w:ind w:left="2643" w:right="7" w:hanging="10"/>
        <w:jc w:val="center"/>
      </w:pPr>
      <w:r>
        <w:rPr>
          <w:rFonts w:ascii="Arial" w:eastAsia="Arial" w:hAnsi="Arial" w:cs="Arial"/>
          <w:sz w:val="5"/>
        </w:rPr>
        <w:t>+</w:t>
      </w:r>
    </w:p>
    <w:p w14:paraId="16723466" w14:textId="77777777" w:rsidR="00CF37A3" w:rsidRDefault="006C56C7">
      <w:pPr>
        <w:spacing w:after="7" w:line="265" w:lineRule="auto"/>
        <w:ind w:left="2643" w:hanging="10"/>
        <w:jc w:val="center"/>
      </w:pPr>
      <w:r>
        <w:rPr>
          <w:rFonts w:ascii="Arial" w:eastAsia="Arial" w:hAnsi="Arial" w:cs="Arial"/>
          <w:sz w:val="5"/>
        </w:rPr>
        <w:t>+</w:t>
      </w:r>
    </w:p>
    <w:p w14:paraId="3650E07E" w14:textId="77777777" w:rsidR="00CF37A3" w:rsidRDefault="006C56C7">
      <w:pPr>
        <w:spacing w:after="97" w:line="265" w:lineRule="auto"/>
        <w:ind w:left="2643" w:right="320" w:hanging="10"/>
        <w:jc w:val="center"/>
      </w:pPr>
      <w:r>
        <w:rPr>
          <w:rFonts w:ascii="Arial" w:eastAsia="Arial" w:hAnsi="Arial" w:cs="Arial"/>
          <w:sz w:val="5"/>
        </w:rPr>
        <w:t>+</w:t>
      </w:r>
    </w:p>
    <w:p w14:paraId="57C12324" w14:textId="77777777" w:rsidR="00CF37A3" w:rsidRDefault="006C56C7">
      <w:pPr>
        <w:tabs>
          <w:tab w:val="center" w:pos="2951"/>
          <w:tab w:val="center" w:pos="3079"/>
        </w:tabs>
        <w:spacing w:after="45" w:line="265" w:lineRule="auto"/>
      </w:pPr>
      <w:r>
        <w:tab/>
      </w:r>
      <w:r>
        <w:rPr>
          <w:rFonts w:ascii="Arial" w:eastAsia="Arial" w:hAnsi="Arial" w:cs="Arial"/>
          <w:sz w:val="5"/>
        </w:rPr>
        <w:t>+</w:t>
      </w:r>
      <w:r>
        <w:rPr>
          <w:rFonts w:ascii="Arial" w:eastAsia="Arial" w:hAnsi="Arial" w:cs="Arial"/>
          <w:sz w:val="5"/>
        </w:rPr>
        <w:tab/>
        <w:t>+</w:t>
      </w:r>
    </w:p>
    <w:p w14:paraId="276E0AAD" w14:textId="77777777" w:rsidR="00CF37A3" w:rsidRDefault="006C56C7">
      <w:pPr>
        <w:spacing w:after="19" w:line="265" w:lineRule="auto"/>
        <w:ind w:left="1689" w:hanging="10"/>
      </w:pPr>
      <w:r>
        <w:rPr>
          <w:rFonts w:ascii="Arial" w:eastAsia="Arial" w:hAnsi="Arial" w:cs="Arial"/>
          <w:sz w:val="5"/>
        </w:rPr>
        <w:t>+</w:t>
      </w:r>
    </w:p>
    <w:p w14:paraId="439C4638" w14:textId="77777777" w:rsidR="00CF37A3" w:rsidRDefault="006C56C7">
      <w:pPr>
        <w:tabs>
          <w:tab w:val="center" w:pos="1060"/>
          <w:tab w:val="center" w:pos="2829"/>
          <w:tab w:val="center" w:pos="2957"/>
        </w:tabs>
        <w:spacing w:after="96" w:line="265" w:lineRule="auto"/>
      </w:pPr>
      <w:r>
        <w:tab/>
      </w:r>
      <w:r>
        <w:rPr>
          <w:rFonts w:ascii="Arial" w:eastAsia="Arial" w:hAnsi="Arial" w:cs="Arial"/>
          <w:sz w:val="5"/>
        </w:rPr>
        <w:t>+ +</w:t>
      </w:r>
      <w:r>
        <w:rPr>
          <w:rFonts w:ascii="Arial" w:eastAsia="Arial" w:hAnsi="Arial" w:cs="Arial"/>
          <w:sz w:val="5"/>
        </w:rPr>
        <w:tab/>
        <w:t>+</w:t>
      </w:r>
      <w:r>
        <w:rPr>
          <w:rFonts w:ascii="Arial" w:eastAsia="Arial" w:hAnsi="Arial" w:cs="Arial"/>
          <w:sz w:val="5"/>
        </w:rPr>
        <w:tab/>
        <w:t>+</w:t>
      </w:r>
    </w:p>
    <w:p w14:paraId="5D3EB519" w14:textId="77777777" w:rsidR="00CF37A3" w:rsidRDefault="006C56C7">
      <w:pPr>
        <w:tabs>
          <w:tab w:val="center" w:pos="979"/>
          <w:tab w:val="center" w:pos="1149"/>
          <w:tab w:val="center" w:pos="1292"/>
        </w:tabs>
        <w:spacing w:after="125" w:line="265" w:lineRule="auto"/>
      </w:pPr>
      <w:r>
        <w:tab/>
      </w:r>
      <w:r>
        <w:rPr>
          <w:rFonts w:ascii="Arial" w:eastAsia="Arial" w:hAnsi="Arial" w:cs="Arial"/>
          <w:sz w:val="5"/>
        </w:rPr>
        <w:t>+</w:t>
      </w:r>
      <w:r>
        <w:rPr>
          <w:rFonts w:ascii="Arial" w:eastAsia="Arial" w:hAnsi="Arial" w:cs="Arial"/>
          <w:sz w:val="5"/>
        </w:rPr>
        <w:tab/>
        <w:t>++</w:t>
      </w:r>
      <w:r>
        <w:rPr>
          <w:rFonts w:ascii="Arial" w:eastAsia="Arial" w:hAnsi="Arial" w:cs="Arial"/>
          <w:sz w:val="5"/>
        </w:rPr>
        <w:tab/>
        <w:t>+</w:t>
      </w:r>
    </w:p>
    <w:p w14:paraId="49B6695B" w14:textId="77777777" w:rsidR="00CF37A3" w:rsidRDefault="006C56C7">
      <w:pPr>
        <w:tabs>
          <w:tab w:val="center" w:pos="1236"/>
          <w:tab w:val="center" w:pos="1360"/>
          <w:tab w:val="center" w:pos="1513"/>
          <w:tab w:val="center" w:pos="2702"/>
          <w:tab w:val="center" w:pos="2831"/>
        </w:tabs>
        <w:spacing w:after="125" w:line="265" w:lineRule="auto"/>
      </w:pPr>
      <w:r>
        <w:tab/>
      </w:r>
      <w:r>
        <w:rPr>
          <w:rFonts w:ascii="Arial" w:eastAsia="Arial" w:hAnsi="Arial" w:cs="Arial"/>
          <w:sz w:val="5"/>
        </w:rPr>
        <w:t>+</w:t>
      </w:r>
      <w:r>
        <w:rPr>
          <w:rFonts w:ascii="Arial" w:eastAsia="Arial" w:hAnsi="Arial" w:cs="Arial"/>
          <w:sz w:val="5"/>
        </w:rPr>
        <w:tab/>
        <w:t>+</w:t>
      </w:r>
      <w:r>
        <w:rPr>
          <w:rFonts w:ascii="Arial" w:eastAsia="Arial" w:hAnsi="Arial" w:cs="Arial"/>
          <w:sz w:val="5"/>
        </w:rPr>
        <w:tab/>
        <w:t>+</w:t>
      </w:r>
      <w:r>
        <w:rPr>
          <w:rFonts w:ascii="Arial" w:eastAsia="Arial" w:hAnsi="Arial" w:cs="Arial"/>
          <w:sz w:val="5"/>
        </w:rPr>
        <w:tab/>
        <w:t>+</w:t>
      </w:r>
      <w:r>
        <w:rPr>
          <w:rFonts w:ascii="Arial" w:eastAsia="Arial" w:hAnsi="Arial" w:cs="Arial"/>
          <w:sz w:val="5"/>
        </w:rPr>
        <w:tab/>
        <w:t>+</w:t>
      </w:r>
    </w:p>
    <w:p w14:paraId="75F4A9C3" w14:textId="77777777" w:rsidR="00CF37A3" w:rsidRDefault="006C56C7">
      <w:pPr>
        <w:tabs>
          <w:tab w:val="center" w:pos="1402"/>
          <w:tab w:val="center" w:pos="1571"/>
          <w:tab w:val="center" w:pos="1742"/>
          <w:tab w:val="center" w:pos="2591"/>
          <w:tab w:val="center" w:pos="2703"/>
        </w:tabs>
        <w:spacing w:after="125" w:line="265" w:lineRule="auto"/>
      </w:pPr>
      <w:r>
        <w:tab/>
      </w:r>
      <w:r>
        <w:rPr>
          <w:rFonts w:ascii="Arial" w:eastAsia="Arial" w:hAnsi="Arial" w:cs="Arial"/>
          <w:sz w:val="5"/>
        </w:rPr>
        <w:t>+</w:t>
      </w:r>
      <w:r>
        <w:rPr>
          <w:rFonts w:ascii="Arial" w:eastAsia="Arial" w:hAnsi="Arial" w:cs="Arial"/>
          <w:sz w:val="5"/>
        </w:rPr>
        <w:tab/>
        <w:t>+</w:t>
      </w:r>
      <w:r>
        <w:rPr>
          <w:rFonts w:ascii="Arial" w:eastAsia="Arial" w:hAnsi="Arial" w:cs="Arial"/>
          <w:sz w:val="5"/>
        </w:rPr>
        <w:tab/>
        <w:t>+</w:t>
      </w:r>
      <w:r>
        <w:rPr>
          <w:rFonts w:ascii="Arial" w:eastAsia="Arial" w:hAnsi="Arial" w:cs="Arial"/>
          <w:sz w:val="5"/>
        </w:rPr>
        <w:tab/>
        <w:t>+</w:t>
      </w:r>
      <w:r>
        <w:rPr>
          <w:rFonts w:ascii="Arial" w:eastAsia="Arial" w:hAnsi="Arial" w:cs="Arial"/>
          <w:sz w:val="5"/>
        </w:rPr>
        <w:tab/>
        <w:t>+</w:t>
      </w:r>
    </w:p>
    <w:p w14:paraId="462198A6" w14:textId="77777777" w:rsidR="00CF37A3" w:rsidRDefault="006C56C7">
      <w:pPr>
        <w:tabs>
          <w:tab w:val="center" w:pos="1659"/>
          <w:tab w:val="center" w:pos="1846"/>
          <w:tab w:val="center" w:pos="2033"/>
          <w:tab w:val="center" w:pos="2462"/>
          <w:tab w:val="center" w:pos="2593"/>
        </w:tabs>
        <w:spacing w:after="127" w:line="265" w:lineRule="auto"/>
      </w:pPr>
      <w:r>
        <w:tab/>
      </w:r>
      <w:r>
        <w:rPr>
          <w:rFonts w:ascii="Arial" w:eastAsia="Arial" w:hAnsi="Arial" w:cs="Arial"/>
          <w:sz w:val="5"/>
        </w:rPr>
        <w:t>+</w:t>
      </w:r>
      <w:r>
        <w:rPr>
          <w:rFonts w:ascii="Arial" w:eastAsia="Arial" w:hAnsi="Arial" w:cs="Arial"/>
          <w:sz w:val="5"/>
        </w:rPr>
        <w:tab/>
        <w:t>+</w:t>
      </w:r>
      <w:r>
        <w:rPr>
          <w:rFonts w:ascii="Arial" w:eastAsia="Arial" w:hAnsi="Arial" w:cs="Arial"/>
          <w:sz w:val="5"/>
        </w:rPr>
        <w:tab/>
        <w:t>+</w:t>
      </w:r>
      <w:r>
        <w:rPr>
          <w:rFonts w:ascii="Arial" w:eastAsia="Arial" w:hAnsi="Arial" w:cs="Arial"/>
          <w:sz w:val="5"/>
        </w:rPr>
        <w:tab/>
        <w:t>+</w:t>
      </w:r>
      <w:r>
        <w:rPr>
          <w:rFonts w:ascii="Arial" w:eastAsia="Arial" w:hAnsi="Arial" w:cs="Arial"/>
          <w:sz w:val="5"/>
        </w:rPr>
        <w:tab/>
        <w:t>+</w:t>
      </w:r>
    </w:p>
    <w:p w14:paraId="11E9E70F" w14:textId="77777777" w:rsidR="00CF37A3" w:rsidRDefault="006C56C7">
      <w:pPr>
        <w:tabs>
          <w:tab w:val="center" w:pos="1941"/>
          <w:tab w:val="center" w:pos="2107"/>
          <w:tab w:val="center" w:pos="2409"/>
        </w:tabs>
        <w:spacing w:after="84" w:line="265" w:lineRule="auto"/>
      </w:pPr>
      <w:r>
        <w:tab/>
      </w:r>
      <w:r>
        <w:rPr>
          <w:rFonts w:ascii="Arial" w:eastAsia="Arial" w:hAnsi="Arial" w:cs="Arial"/>
          <w:sz w:val="5"/>
        </w:rPr>
        <w:t>+</w:t>
      </w:r>
      <w:r>
        <w:rPr>
          <w:rFonts w:ascii="Arial" w:eastAsia="Arial" w:hAnsi="Arial" w:cs="Arial"/>
          <w:sz w:val="5"/>
        </w:rPr>
        <w:tab/>
        <w:t>+</w:t>
      </w:r>
      <w:r>
        <w:rPr>
          <w:rFonts w:ascii="Arial" w:eastAsia="Arial" w:hAnsi="Arial" w:cs="Arial"/>
          <w:sz w:val="5"/>
        </w:rPr>
        <w:tab/>
        <w:t>+ +</w:t>
      </w:r>
    </w:p>
    <w:p w14:paraId="5551DA41" w14:textId="77777777" w:rsidR="00CF37A3" w:rsidRDefault="006C56C7">
      <w:pPr>
        <w:spacing w:after="489" w:line="265" w:lineRule="auto"/>
        <w:ind w:left="2643" w:right="2000" w:hanging="10"/>
        <w:jc w:val="center"/>
      </w:pPr>
      <w:r>
        <w:rPr>
          <w:rFonts w:ascii="Arial" w:eastAsia="Arial" w:hAnsi="Arial" w:cs="Arial"/>
          <w:sz w:val="5"/>
        </w:rPr>
        <w:t>+</w:t>
      </w:r>
    </w:p>
    <w:p w14:paraId="402EC51B" w14:textId="77777777" w:rsidR="00CF37A3" w:rsidRDefault="006C56C7">
      <w:pPr>
        <w:spacing w:after="0" w:line="265" w:lineRule="auto"/>
        <w:ind w:left="741" w:right="1698" w:hanging="10"/>
      </w:pPr>
      <w:r>
        <w:rPr>
          <w:rFonts w:ascii="Arial" w:eastAsia="Arial" w:hAnsi="Arial" w:cs="Arial"/>
          <w:sz w:val="24"/>
        </w:rPr>
        <w:t>D. Mixed Phase</w:t>
      </w:r>
    </w:p>
    <w:p w14:paraId="5D4C8050" w14:textId="77777777" w:rsidR="00CF37A3" w:rsidRDefault="006C56C7">
      <w:pPr>
        <w:spacing w:after="1486" w:line="265" w:lineRule="auto"/>
        <w:ind w:left="741" w:right="1698" w:hanging="10"/>
      </w:pPr>
      <w:r>
        <w:rPr>
          <w:rFonts w:ascii="Arial" w:eastAsia="Arial" w:hAnsi="Arial" w:cs="Arial"/>
          <w:sz w:val="24"/>
        </w:rPr>
        <w:t>(20 Ma-present)</w:t>
      </w:r>
    </w:p>
    <w:p w14:paraId="5AE35F4B" w14:textId="77777777" w:rsidR="00CF37A3" w:rsidRDefault="006C56C7">
      <w:pPr>
        <w:spacing w:after="166"/>
        <w:ind w:left="1859" w:hanging="10"/>
      </w:pPr>
      <w:r>
        <w:rPr>
          <w:noProof/>
        </w:rPr>
        <mc:AlternateContent>
          <mc:Choice Requires="wpg">
            <w:drawing>
              <wp:anchor distT="0" distB="0" distL="114300" distR="114300" simplePos="0" relativeHeight="251660288" behindDoc="0" locked="0" layoutInCell="1" allowOverlap="1" wp14:anchorId="36972403" wp14:editId="5F4D5DDB">
                <wp:simplePos x="0" y="0"/>
                <wp:positionH relativeFrom="column">
                  <wp:posOffset>1174318</wp:posOffset>
                </wp:positionH>
                <wp:positionV relativeFrom="paragraph">
                  <wp:posOffset>-18206</wp:posOffset>
                </wp:positionV>
                <wp:extent cx="187528" cy="1694372"/>
                <wp:effectExtent l="0" t="0" r="0" b="0"/>
                <wp:wrapSquare wrapText="bothSides"/>
                <wp:docPr id="61562" name="Group 61562"/>
                <wp:cNvGraphicFramePr/>
                <a:graphic xmlns:a="http://schemas.openxmlformats.org/drawingml/2006/main">
                  <a:graphicData uri="http://schemas.microsoft.com/office/word/2010/wordprocessingGroup">
                    <wpg:wgp>
                      <wpg:cNvGrpSpPr/>
                      <wpg:grpSpPr>
                        <a:xfrm>
                          <a:off x="0" y="0"/>
                          <a:ext cx="187528" cy="1694372"/>
                          <a:chOff x="0" y="0"/>
                          <a:chExt cx="187528" cy="1694372"/>
                        </a:xfrm>
                      </wpg:grpSpPr>
                      <wps:wsp>
                        <wps:cNvPr id="2968" name="Shape 2968"/>
                        <wps:cNvSpPr/>
                        <wps:spPr>
                          <a:xfrm>
                            <a:off x="114534" y="938430"/>
                            <a:ext cx="53289" cy="314896"/>
                          </a:xfrm>
                          <a:custGeom>
                            <a:avLst/>
                            <a:gdLst/>
                            <a:ahLst/>
                            <a:cxnLst/>
                            <a:rect l="0" t="0" r="0" b="0"/>
                            <a:pathLst>
                              <a:path w="53289" h="314896">
                                <a:moveTo>
                                  <a:pt x="0" y="314896"/>
                                </a:moveTo>
                                <a:lnTo>
                                  <a:pt x="2095" y="0"/>
                                </a:lnTo>
                                <a:lnTo>
                                  <a:pt x="1727" y="55600"/>
                                </a:lnTo>
                                <a:lnTo>
                                  <a:pt x="53289" y="54648"/>
                                </a:lnTo>
                              </a:path>
                            </a:pathLst>
                          </a:custGeom>
                          <a:ln w="5956" cap="flat">
                            <a:miter lim="100000"/>
                          </a:ln>
                        </wps:spPr>
                        <wps:style>
                          <a:lnRef idx="1">
                            <a:srgbClr val="000000"/>
                          </a:lnRef>
                          <a:fillRef idx="0">
                            <a:srgbClr val="000000">
                              <a:alpha val="0"/>
                            </a:srgbClr>
                          </a:fillRef>
                          <a:effectRef idx="0">
                            <a:scrgbClr r="0" g="0" b="0"/>
                          </a:effectRef>
                          <a:fontRef idx="none"/>
                        </wps:style>
                        <wps:bodyPr/>
                      </wps:wsp>
                      <wps:wsp>
                        <wps:cNvPr id="2969" name="Shape 2969"/>
                        <wps:cNvSpPr/>
                        <wps:spPr>
                          <a:xfrm>
                            <a:off x="115054" y="1173811"/>
                            <a:ext cx="51245" cy="1079"/>
                          </a:xfrm>
                          <a:custGeom>
                            <a:avLst/>
                            <a:gdLst/>
                            <a:ahLst/>
                            <a:cxnLst/>
                            <a:rect l="0" t="0" r="0" b="0"/>
                            <a:pathLst>
                              <a:path w="51245" h="1079">
                                <a:moveTo>
                                  <a:pt x="0" y="1079"/>
                                </a:moveTo>
                                <a:lnTo>
                                  <a:pt x="51245" y="0"/>
                                </a:lnTo>
                              </a:path>
                            </a:pathLst>
                          </a:custGeom>
                          <a:ln w="5956" cap="flat">
                            <a:miter lim="100000"/>
                          </a:ln>
                        </wps:spPr>
                        <wps:style>
                          <a:lnRef idx="1">
                            <a:srgbClr val="000000"/>
                          </a:lnRef>
                          <a:fillRef idx="0">
                            <a:srgbClr val="000000">
                              <a:alpha val="0"/>
                            </a:srgbClr>
                          </a:fillRef>
                          <a:effectRef idx="0">
                            <a:scrgbClr r="0" g="0" b="0"/>
                          </a:effectRef>
                          <a:fontRef idx="none"/>
                        </wps:style>
                        <wps:bodyPr/>
                      </wps:wsp>
                      <wps:wsp>
                        <wps:cNvPr id="2970" name="Shape 2970"/>
                        <wps:cNvSpPr/>
                        <wps:spPr>
                          <a:xfrm>
                            <a:off x="60287" y="1052893"/>
                            <a:ext cx="54737" cy="61938"/>
                          </a:xfrm>
                          <a:custGeom>
                            <a:avLst/>
                            <a:gdLst/>
                            <a:ahLst/>
                            <a:cxnLst/>
                            <a:rect l="0" t="0" r="0" b="0"/>
                            <a:pathLst>
                              <a:path w="54737" h="61938">
                                <a:moveTo>
                                  <a:pt x="54737" y="0"/>
                                </a:moveTo>
                                <a:lnTo>
                                  <a:pt x="53911" y="61938"/>
                                </a:lnTo>
                                <a:lnTo>
                                  <a:pt x="0" y="32004"/>
                                </a:lnTo>
                                <a:lnTo>
                                  <a:pt x="547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71" name="Shape 2971"/>
                        <wps:cNvSpPr/>
                        <wps:spPr>
                          <a:xfrm>
                            <a:off x="60287" y="1052893"/>
                            <a:ext cx="54737" cy="61938"/>
                          </a:xfrm>
                          <a:custGeom>
                            <a:avLst/>
                            <a:gdLst/>
                            <a:ahLst/>
                            <a:cxnLst/>
                            <a:rect l="0" t="0" r="0" b="0"/>
                            <a:pathLst>
                              <a:path w="54737" h="61938">
                                <a:moveTo>
                                  <a:pt x="53911" y="61938"/>
                                </a:moveTo>
                                <a:lnTo>
                                  <a:pt x="0" y="32004"/>
                                </a:lnTo>
                                <a:lnTo>
                                  <a:pt x="54737" y="0"/>
                                </a:lnTo>
                                <a:lnTo>
                                  <a:pt x="53911" y="61938"/>
                                </a:lnTo>
                                <a:close/>
                              </a:path>
                            </a:pathLst>
                          </a:custGeom>
                          <a:ln w="5956" cap="flat">
                            <a:miter lim="100000"/>
                          </a:ln>
                        </wps:spPr>
                        <wps:style>
                          <a:lnRef idx="1">
                            <a:srgbClr val="000000"/>
                          </a:lnRef>
                          <a:fillRef idx="0">
                            <a:srgbClr val="000000">
                              <a:alpha val="0"/>
                            </a:srgbClr>
                          </a:fillRef>
                          <a:effectRef idx="0">
                            <a:scrgbClr r="0" g="0" b="0"/>
                          </a:effectRef>
                          <a:fontRef idx="none"/>
                        </wps:style>
                        <wps:bodyPr/>
                      </wps:wsp>
                      <wps:wsp>
                        <wps:cNvPr id="64765" name="Shape 64765"/>
                        <wps:cNvSpPr/>
                        <wps:spPr>
                          <a:xfrm>
                            <a:off x="0" y="0"/>
                            <a:ext cx="187528" cy="223241"/>
                          </a:xfrm>
                          <a:custGeom>
                            <a:avLst/>
                            <a:gdLst/>
                            <a:ahLst/>
                            <a:cxnLst/>
                            <a:rect l="0" t="0" r="0" b="0"/>
                            <a:pathLst>
                              <a:path w="187528" h="223241">
                                <a:moveTo>
                                  <a:pt x="0" y="0"/>
                                </a:moveTo>
                                <a:lnTo>
                                  <a:pt x="187528" y="0"/>
                                </a:lnTo>
                                <a:lnTo>
                                  <a:pt x="187528" y="223241"/>
                                </a:lnTo>
                                <a:lnTo>
                                  <a:pt x="0" y="223241"/>
                                </a:lnTo>
                                <a:lnTo>
                                  <a:pt x="0" y="0"/>
                                </a:lnTo>
                              </a:path>
                            </a:pathLst>
                          </a:custGeom>
                          <a:ln w="5956" cap="flat">
                            <a:miter lim="100000"/>
                          </a:ln>
                        </wps:spPr>
                        <wps:style>
                          <a:lnRef idx="1">
                            <a:srgbClr val="000000"/>
                          </a:lnRef>
                          <a:fillRef idx="1">
                            <a:srgbClr val="6C6E70"/>
                          </a:fillRef>
                          <a:effectRef idx="0">
                            <a:scrgbClr r="0" g="0" b="0"/>
                          </a:effectRef>
                          <a:fontRef idx="none"/>
                        </wps:style>
                        <wps:bodyPr/>
                      </wps:wsp>
                      <wps:wsp>
                        <wps:cNvPr id="64766" name="Shape 64766"/>
                        <wps:cNvSpPr/>
                        <wps:spPr>
                          <a:xfrm>
                            <a:off x="0" y="291465"/>
                            <a:ext cx="187528" cy="223253"/>
                          </a:xfrm>
                          <a:custGeom>
                            <a:avLst/>
                            <a:gdLst/>
                            <a:ahLst/>
                            <a:cxnLst/>
                            <a:rect l="0" t="0" r="0" b="0"/>
                            <a:pathLst>
                              <a:path w="187528" h="223253">
                                <a:moveTo>
                                  <a:pt x="0" y="0"/>
                                </a:moveTo>
                                <a:lnTo>
                                  <a:pt x="187528" y="0"/>
                                </a:lnTo>
                                <a:lnTo>
                                  <a:pt x="187528" y="223253"/>
                                </a:lnTo>
                                <a:lnTo>
                                  <a:pt x="0" y="223253"/>
                                </a:lnTo>
                                <a:lnTo>
                                  <a:pt x="0" y="0"/>
                                </a:lnTo>
                              </a:path>
                            </a:pathLst>
                          </a:custGeom>
                          <a:ln w="5956" cap="flat">
                            <a:miter lim="100000"/>
                          </a:ln>
                        </wps:spPr>
                        <wps:style>
                          <a:lnRef idx="1">
                            <a:srgbClr val="000000"/>
                          </a:lnRef>
                          <a:fillRef idx="1">
                            <a:srgbClr val="BBBDBF"/>
                          </a:fillRef>
                          <a:effectRef idx="0">
                            <a:scrgbClr r="0" g="0" b="0"/>
                          </a:effectRef>
                          <a:fontRef idx="none"/>
                        </wps:style>
                        <wps:bodyPr/>
                      </wps:wsp>
                      <wps:wsp>
                        <wps:cNvPr id="64767" name="Shape 64767"/>
                        <wps:cNvSpPr/>
                        <wps:spPr>
                          <a:xfrm>
                            <a:off x="0" y="591503"/>
                            <a:ext cx="187528" cy="223253"/>
                          </a:xfrm>
                          <a:custGeom>
                            <a:avLst/>
                            <a:gdLst/>
                            <a:ahLst/>
                            <a:cxnLst/>
                            <a:rect l="0" t="0" r="0" b="0"/>
                            <a:pathLst>
                              <a:path w="187528" h="223253">
                                <a:moveTo>
                                  <a:pt x="0" y="0"/>
                                </a:moveTo>
                                <a:lnTo>
                                  <a:pt x="187528" y="0"/>
                                </a:lnTo>
                                <a:lnTo>
                                  <a:pt x="187528" y="223253"/>
                                </a:lnTo>
                                <a:lnTo>
                                  <a:pt x="0" y="223253"/>
                                </a:lnTo>
                                <a:lnTo>
                                  <a:pt x="0" y="0"/>
                                </a:lnTo>
                              </a:path>
                            </a:pathLst>
                          </a:custGeom>
                          <a:ln w="5956" cap="flat">
                            <a:miter lim="100000"/>
                          </a:ln>
                        </wps:spPr>
                        <wps:style>
                          <a:lnRef idx="1">
                            <a:srgbClr val="000000"/>
                          </a:lnRef>
                          <a:fillRef idx="1">
                            <a:srgbClr val="403F41"/>
                          </a:fillRef>
                          <a:effectRef idx="0">
                            <a:scrgbClr r="0" g="0" b="0"/>
                          </a:effectRef>
                          <a:fontRef idx="none"/>
                        </wps:style>
                        <wps:bodyPr/>
                      </wps:wsp>
                      <wps:wsp>
                        <wps:cNvPr id="2978" name="Shape 2978"/>
                        <wps:cNvSpPr/>
                        <wps:spPr>
                          <a:xfrm>
                            <a:off x="113864" y="1331520"/>
                            <a:ext cx="2413" cy="362852"/>
                          </a:xfrm>
                          <a:custGeom>
                            <a:avLst/>
                            <a:gdLst/>
                            <a:ahLst/>
                            <a:cxnLst/>
                            <a:rect l="0" t="0" r="0" b="0"/>
                            <a:pathLst>
                              <a:path w="2413" h="362852">
                                <a:moveTo>
                                  <a:pt x="0" y="362852"/>
                                </a:moveTo>
                                <a:lnTo>
                                  <a:pt x="2413" y="0"/>
                                </a:lnTo>
                              </a:path>
                            </a:pathLst>
                          </a:custGeom>
                          <a:ln w="5956" cap="flat">
                            <a:miter lim="100000"/>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51357" y="1358901"/>
                            <a:ext cx="63068" cy="71362"/>
                          </a:xfrm>
                          <a:custGeom>
                            <a:avLst/>
                            <a:gdLst/>
                            <a:ahLst/>
                            <a:cxnLst/>
                            <a:rect l="0" t="0" r="0" b="0"/>
                            <a:pathLst>
                              <a:path w="63068" h="71362">
                                <a:moveTo>
                                  <a:pt x="63068" y="0"/>
                                </a:moveTo>
                                <a:lnTo>
                                  <a:pt x="62116" y="71362"/>
                                </a:lnTo>
                                <a:lnTo>
                                  <a:pt x="0" y="36894"/>
                                </a:lnTo>
                                <a:lnTo>
                                  <a:pt x="630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80" name="Shape 2980"/>
                        <wps:cNvSpPr/>
                        <wps:spPr>
                          <a:xfrm>
                            <a:off x="51357" y="1358901"/>
                            <a:ext cx="63068" cy="71362"/>
                          </a:xfrm>
                          <a:custGeom>
                            <a:avLst/>
                            <a:gdLst/>
                            <a:ahLst/>
                            <a:cxnLst/>
                            <a:rect l="0" t="0" r="0" b="0"/>
                            <a:pathLst>
                              <a:path w="63068" h="71362">
                                <a:moveTo>
                                  <a:pt x="62116" y="71362"/>
                                </a:moveTo>
                                <a:lnTo>
                                  <a:pt x="0" y="36894"/>
                                </a:lnTo>
                                <a:lnTo>
                                  <a:pt x="63068" y="0"/>
                                </a:lnTo>
                                <a:lnTo>
                                  <a:pt x="62116" y="71362"/>
                                </a:lnTo>
                                <a:close/>
                              </a:path>
                            </a:pathLst>
                          </a:custGeom>
                          <a:ln w="5956" cap="flat">
                            <a:miter lim="100000"/>
                          </a:ln>
                        </wps:spPr>
                        <wps:style>
                          <a:lnRef idx="1">
                            <a:srgbClr val="000000"/>
                          </a:lnRef>
                          <a:fillRef idx="0">
                            <a:srgbClr val="000000">
                              <a:alpha val="0"/>
                            </a:srgbClr>
                          </a:fillRef>
                          <a:effectRef idx="0">
                            <a:scrgbClr r="0" g="0" b="0"/>
                          </a:effectRef>
                          <a:fontRef idx="none"/>
                        </wps:style>
                        <wps:bodyPr/>
                      </wps:wsp>
                      <wps:wsp>
                        <wps:cNvPr id="2981" name="Shape 2981"/>
                        <wps:cNvSpPr/>
                        <wps:spPr>
                          <a:xfrm>
                            <a:off x="51357" y="1573708"/>
                            <a:ext cx="63068" cy="71374"/>
                          </a:xfrm>
                          <a:custGeom>
                            <a:avLst/>
                            <a:gdLst/>
                            <a:ahLst/>
                            <a:cxnLst/>
                            <a:rect l="0" t="0" r="0" b="0"/>
                            <a:pathLst>
                              <a:path w="63068" h="71374">
                                <a:moveTo>
                                  <a:pt x="63068" y="0"/>
                                </a:moveTo>
                                <a:lnTo>
                                  <a:pt x="62116" y="71374"/>
                                </a:lnTo>
                                <a:lnTo>
                                  <a:pt x="0" y="36893"/>
                                </a:lnTo>
                                <a:lnTo>
                                  <a:pt x="630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82" name="Shape 2982"/>
                        <wps:cNvSpPr/>
                        <wps:spPr>
                          <a:xfrm>
                            <a:off x="51357" y="1573708"/>
                            <a:ext cx="63068" cy="71374"/>
                          </a:xfrm>
                          <a:custGeom>
                            <a:avLst/>
                            <a:gdLst/>
                            <a:ahLst/>
                            <a:cxnLst/>
                            <a:rect l="0" t="0" r="0" b="0"/>
                            <a:pathLst>
                              <a:path w="63068" h="71374">
                                <a:moveTo>
                                  <a:pt x="62116" y="71374"/>
                                </a:moveTo>
                                <a:lnTo>
                                  <a:pt x="0" y="36893"/>
                                </a:lnTo>
                                <a:lnTo>
                                  <a:pt x="63068" y="0"/>
                                </a:lnTo>
                                <a:lnTo>
                                  <a:pt x="62116" y="71374"/>
                                </a:lnTo>
                                <a:close/>
                              </a:path>
                            </a:pathLst>
                          </a:custGeom>
                          <a:ln w="5956"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562" style="width:14.766pt;height:133.415pt;position:absolute;mso-position-horizontal-relative:text;mso-position-horizontal:absolute;margin-left:92.466pt;mso-position-vertical-relative:text;margin-top:-1.43359pt;" coordsize="1875,16943">
                <v:shape id="Shape 2968" style="position:absolute;width:532;height:3148;left:1145;top:9384;" coordsize="53289,314896" path="m0,314896l2095,0l1727,55600l53289,54648">
                  <v:stroke weight="0.469pt" endcap="flat" joinstyle="miter" miterlimit="2" on="true" color="#000000"/>
                  <v:fill on="false" color="#000000" opacity="0"/>
                </v:shape>
                <v:shape id="Shape 2969" style="position:absolute;width:512;height:10;left:1150;top:11738;" coordsize="51245,1079" path="m0,1079l51245,0">
                  <v:stroke weight="0.469pt" endcap="flat" joinstyle="miter" miterlimit="2" on="true" color="#000000"/>
                  <v:fill on="false" color="#000000" opacity="0"/>
                </v:shape>
                <v:shape id="Shape 2970" style="position:absolute;width:547;height:619;left:602;top:10528;" coordsize="54737,61938" path="m54737,0l53911,61938l0,32004l54737,0x">
                  <v:stroke weight="0pt" endcap="flat" joinstyle="miter" miterlimit="2" on="false" color="#000000" opacity="0"/>
                  <v:fill on="true" color="#000000"/>
                </v:shape>
                <v:shape id="Shape 2971" style="position:absolute;width:547;height:619;left:602;top:10528;" coordsize="54737,61938" path="m53911,61938l0,32004l54737,0l53911,61938x">
                  <v:stroke weight="0.469pt" endcap="flat" joinstyle="miter" miterlimit="2" on="true" color="#000000"/>
                  <v:fill on="false" color="#000000" opacity="0"/>
                </v:shape>
                <v:shape id="Shape 64768" style="position:absolute;width:1875;height:2232;left:0;top:0;" coordsize="187528,223241" path="m0,0l187528,0l187528,223241l0,223241l0,0">
                  <v:stroke weight="0.469pt" endcap="flat" joinstyle="miter" miterlimit="2" on="true" color="#000000"/>
                  <v:fill on="true" color="#6c6e70"/>
                </v:shape>
                <v:shape id="Shape 64769" style="position:absolute;width:1875;height:2232;left:0;top:2914;" coordsize="187528,223253" path="m0,0l187528,0l187528,223253l0,223253l0,0">
                  <v:stroke weight="0.469pt" endcap="flat" joinstyle="miter" miterlimit="2" on="true" color="#000000"/>
                  <v:fill on="true" color="#bbbdbf"/>
                </v:shape>
                <v:shape id="Shape 64770" style="position:absolute;width:1875;height:2232;left:0;top:5915;" coordsize="187528,223253" path="m0,0l187528,0l187528,223253l0,223253l0,0">
                  <v:stroke weight="0.469pt" endcap="flat" joinstyle="miter" miterlimit="2" on="true" color="#000000"/>
                  <v:fill on="true" color="#403f41"/>
                </v:shape>
                <v:shape id="Shape 2978" style="position:absolute;width:24;height:3628;left:1138;top:13315;" coordsize="2413,362852" path="m0,362852l2413,0">
                  <v:stroke weight="0.469pt" endcap="flat" joinstyle="miter" miterlimit="2" on="true" color="#000000"/>
                  <v:fill on="false" color="#000000" opacity="0"/>
                </v:shape>
                <v:shape id="Shape 2979" style="position:absolute;width:630;height:713;left:513;top:13589;" coordsize="63068,71362" path="m63068,0l62116,71362l0,36894l63068,0x">
                  <v:stroke weight="0pt" endcap="flat" joinstyle="miter" miterlimit="2" on="false" color="#000000" opacity="0"/>
                  <v:fill on="true" color="#000000"/>
                </v:shape>
                <v:shape id="Shape 2980" style="position:absolute;width:630;height:713;left:513;top:13589;" coordsize="63068,71362" path="m62116,71362l0,36894l63068,0l62116,71362x">
                  <v:stroke weight="0.469pt" endcap="flat" joinstyle="miter" miterlimit="2" on="true" color="#000000"/>
                  <v:fill on="false" color="#000000" opacity="0"/>
                </v:shape>
                <v:shape id="Shape 2981" style="position:absolute;width:630;height:713;left:513;top:15737;" coordsize="63068,71374" path="m63068,0l62116,71374l0,36893l63068,0x">
                  <v:stroke weight="0pt" endcap="flat" joinstyle="miter" miterlimit="2" on="false" color="#000000" opacity="0"/>
                  <v:fill on="true" color="#000000"/>
                </v:shape>
                <v:shape id="Shape 2982" style="position:absolute;width:630;height:713;left:513;top:15737;" coordsize="63068,71374" path="m62116,71374l0,36893l63068,0l62116,71374x">
                  <v:stroke weight="0.469pt" endcap="flat" joinstyle="miter" miterlimit="2" on="true" color="#000000"/>
                  <v:fill on="false" color="#000000" opacity="0"/>
                </v:shape>
                <w10:wrap type="square"/>
              </v:group>
            </w:pict>
          </mc:Fallback>
        </mc:AlternateContent>
      </w:r>
      <w:r>
        <w:rPr>
          <w:rFonts w:ascii="Arial" w:eastAsia="Arial" w:hAnsi="Arial" w:cs="Arial"/>
          <w:sz w:val="23"/>
        </w:rPr>
        <w:t>Deep marine sedimentation</w:t>
      </w:r>
    </w:p>
    <w:p w14:paraId="5FCB9F1B" w14:textId="77777777" w:rsidR="00CF37A3" w:rsidRDefault="006C56C7">
      <w:pPr>
        <w:spacing w:after="226"/>
        <w:ind w:left="1859" w:hanging="10"/>
      </w:pPr>
      <w:r>
        <w:rPr>
          <w:rFonts w:ascii="Arial" w:eastAsia="Arial" w:hAnsi="Arial" w:cs="Arial"/>
          <w:sz w:val="23"/>
        </w:rPr>
        <w:t>Shallow marine sedimentation</w:t>
      </w:r>
    </w:p>
    <w:p w14:paraId="21A3A700" w14:textId="77777777" w:rsidR="00CF37A3" w:rsidRDefault="006C56C7">
      <w:pPr>
        <w:spacing w:after="83"/>
        <w:ind w:left="1859" w:hanging="10"/>
      </w:pPr>
      <w:r>
        <w:rPr>
          <w:rFonts w:ascii="Arial" w:eastAsia="Arial" w:hAnsi="Arial" w:cs="Arial"/>
          <w:sz w:val="23"/>
        </w:rPr>
        <w:t>Continental sedimentation</w:t>
      </w:r>
    </w:p>
    <w:p w14:paraId="1E4A7CD3" w14:textId="77777777" w:rsidR="00CF37A3" w:rsidRDefault="006C56C7">
      <w:pPr>
        <w:spacing w:after="0"/>
        <w:ind w:left="1859" w:hanging="10"/>
      </w:pPr>
      <w:r>
        <w:rPr>
          <w:rFonts w:ascii="Arial" w:eastAsia="Arial" w:hAnsi="Arial" w:cs="Arial"/>
          <w:sz w:val="23"/>
        </w:rPr>
        <w:t>Oligocene-early Miocene</w:t>
      </w:r>
    </w:p>
    <w:p w14:paraId="2AA36B9E" w14:textId="77777777" w:rsidR="00CF37A3" w:rsidRDefault="006C56C7">
      <w:pPr>
        <w:spacing w:after="116"/>
        <w:ind w:left="1859" w:hanging="10"/>
      </w:pPr>
      <w:r>
        <w:rPr>
          <w:rFonts w:ascii="Arial" w:eastAsia="Arial" w:hAnsi="Arial" w:cs="Arial"/>
          <w:sz w:val="23"/>
        </w:rPr>
        <w:t>Normal fault inverted in the Late Miocene</w:t>
      </w:r>
    </w:p>
    <w:p w14:paraId="5A645261" w14:textId="77777777" w:rsidR="00CF37A3" w:rsidRDefault="006C56C7">
      <w:pPr>
        <w:spacing w:after="0"/>
        <w:ind w:left="1849"/>
        <w:jc w:val="center"/>
      </w:pPr>
      <w:r>
        <w:rPr>
          <w:rFonts w:ascii="Arial" w:eastAsia="Arial" w:hAnsi="Arial" w:cs="Arial"/>
          <w:sz w:val="23"/>
        </w:rPr>
        <w:t>Active thrust fault</w:t>
      </w:r>
    </w:p>
    <w:p w14:paraId="55B9461A" w14:textId="77777777" w:rsidR="00CF37A3" w:rsidRDefault="006C56C7">
      <w:pPr>
        <w:spacing w:after="213" w:line="262" w:lineRule="auto"/>
        <w:ind w:left="12" w:right="24"/>
        <w:jc w:val="both"/>
      </w:pPr>
      <w:r>
        <w:rPr>
          <w:rFonts w:ascii="Times New Roman" w:eastAsia="Times New Roman" w:hAnsi="Times New Roman" w:cs="Times New Roman"/>
          <w:sz w:val="18"/>
        </w:rPr>
        <w:t>2015). The Neogene tectonic history of the Neuquén Basin is complicated by variable exten</w:t>
      </w:r>
      <w:r>
        <w:rPr>
          <w:rFonts w:ascii="Times New Roman" w:eastAsia="Times New Roman" w:hAnsi="Times New Roman" w:cs="Times New Roman"/>
          <w:sz w:val="18"/>
        </w:rPr>
        <w:t>sion and contraction along strike as well as proposed flat-slab subduction north of 38°S between 20 and 5 Ma (Fig. 3; Ramos and Kay, 2006; Litvak et al., 2015).</w:t>
      </w:r>
    </w:p>
    <w:p w14:paraId="3FC33EBE" w14:textId="77777777" w:rsidR="00CF37A3" w:rsidRDefault="006C56C7">
      <w:pPr>
        <w:pStyle w:val="1"/>
        <w:ind w:left="20"/>
      </w:pPr>
      <w:r>
        <w:t>METHODS</w:t>
      </w:r>
    </w:p>
    <w:p w14:paraId="404ADD0F" w14:textId="77777777" w:rsidR="00CF37A3" w:rsidRDefault="006C56C7">
      <w:pPr>
        <w:spacing w:after="0"/>
        <w:ind w:left="10" w:right="70" w:hanging="10"/>
        <w:jc w:val="right"/>
      </w:pPr>
      <w:r>
        <w:rPr>
          <w:rFonts w:ascii="Times New Roman" w:eastAsia="Times New Roman" w:hAnsi="Times New Roman" w:cs="Times New Roman"/>
          <w:sz w:val="18"/>
        </w:rPr>
        <w:t xml:space="preserve">This study presents 419 new U-Pb ages and </w:t>
      </w:r>
    </w:p>
    <w:p w14:paraId="130F60B8" w14:textId="77777777" w:rsidR="00CF37A3" w:rsidRDefault="006C56C7">
      <w:pPr>
        <w:spacing w:after="213" w:line="262" w:lineRule="auto"/>
        <w:ind w:left="12" w:right="24" w:firstLine="4"/>
        <w:jc w:val="both"/>
      </w:pPr>
      <w:r>
        <w:rPr>
          <w:rFonts w:ascii="Times New Roman" w:eastAsia="Times New Roman" w:hAnsi="Times New Roman" w:cs="Times New Roman"/>
          <w:sz w:val="18"/>
        </w:rPr>
        <w:t>207 Hf analyses from detrital zircons in the Neuquén Basin. Samples were taken from a stratigraphic range covering ~160 m.y. from the Middle Jurassic to Miocene (Fig. 2). These new data are combined with published U-Pb detrital zircon data from Balgord and</w:t>
      </w:r>
      <w:r>
        <w:rPr>
          <w:rFonts w:ascii="Times New Roman" w:eastAsia="Times New Roman" w:hAnsi="Times New Roman" w:cs="Times New Roman"/>
          <w:sz w:val="18"/>
        </w:rPr>
        <w:t xml:space="preserve"> Carrapa (2016), Tunik et al. (2010), Di Giulio et al. (2012), Naipauer et al. (2015), Pepper et al. (2016), and Horton and Fuentes (2016) to create the combined probability density curves (Figs. 3–5).</w:t>
      </w:r>
    </w:p>
    <w:p w14:paraId="4FFE2545" w14:textId="77777777" w:rsidR="00CF37A3" w:rsidRDefault="006C56C7">
      <w:pPr>
        <w:pStyle w:val="1"/>
        <w:ind w:left="20"/>
      </w:pPr>
      <w:r>
        <w:t>U-Pb Analytical Methods</w:t>
      </w:r>
    </w:p>
    <w:p w14:paraId="63E8AB45" w14:textId="77777777" w:rsidR="00CF37A3" w:rsidRDefault="006C56C7">
      <w:pPr>
        <w:spacing w:after="447" w:line="262" w:lineRule="auto"/>
        <w:ind w:left="12" w:right="24" w:firstLine="236"/>
        <w:jc w:val="both"/>
      </w:pPr>
      <w:r>
        <w:rPr>
          <w:rFonts w:ascii="Times New Roman" w:eastAsia="Times New Roman" w:hAnsi="Times New Roman" w:cs="Times New Roman"/>
          <w:sz w:val="18"/>
        </w:rPr>
        <w:t>U-Pb geochronologic analysis o</w:t>
      </w:r>
      <w:r>
        <w:rPr>
          <w:rFonts w:ascii="Times New Roman" w:eastAsia="Times New Roman" w:hAnsi="Times New Roman" w:cs="Times New Roman"/>
          <w:sz w:val="18"/>
        </w:rPr>
        <w:t>f detrital zircons was conducted by laser ablation–</w:t>
      </w:r>
      <w:r>
        <w:rPr>
          <w:rFonts w:ascii="Times New Roman" w:eastAsia="Times New Roman" w:hAnsi="Times New Roman" w:cs="Times New Roman"/>
          <w:sz w:val="18"/>
        </w:rPr>
        <w:lastRenderedPageBreak/>
        <w:t>multicollector–inductively coupled plasma–mass spectrometry (LA-MC-ICP-MS) at the Arizona LaserChron Center (www.laserchron.org) using analytical methods described by Gehrels et al. (2006, 2008) and Gehrel</w:t>
      </w:r>
      <w:r>
        <w:rPr>
          <w:rFonts w:ascii="Times New Roman" w:eastAsia="Times New Roman" w:hAnsi="Times New Roman" w:cs="Times New Roman"/>
          <w:sz w:val="18"/>
        </w:rPr>
        <w:t xml:space="preserve">s and Pecha (2014). The analyses involve ablation of zircon </w:t>
      </w:r>
    </w:p>
    <w:p w14:paraId="6FFF62C9" w14:textId="77777777" w:rsidR="00CF37A3" w:rsidRDefault="006C56C7">
      <w:pPr>
        <w:spacing w:after="3" w:line="254" w:lineRule="auto"/>
        <w:ind w:left="20" w:right="62" w:hanging="10"/>
        <w:jc w:val="both"/>
      </w:pPr>
      <w:r>
        <w:rPr>
          <w:noProof/>
        </w:rPr>
        <w:drawing>
          <wp:anchor distT="0" distB="0" distL="114300" distR="114300" simplePos="0" relativeHeight="251661312" behindDoc="1" locked="0" layoutInCell="1" allowOverlap="0" wp14:anchorId="36168170" wp14:editId="1870683A">
            <wp:simplePos x="0" y="0"/>
            <wp:positionH relativeFrom="column">
              <wp:posOffset>-4103894</wp:posOffset>
            </wp:positionH>
            <wp:positionV relativeFrom="paragraph">
              <wp:posOffset>-4565903</wp:posOffset>
            </wp:positionV>
            <wp:extent cx="6242304" cy="6339841"/>
            <wp:effectExtent l="0" t="0" r="0" b="0"/>
            <wp:wrapNone/>
            <wp:docPr id="64208" name="Picture 64208"/>
            <wp:cNvGraphicFramePr/>
            <a:graphic xmlns:a="http://schemas.openxmlformats.org/drawingml/2006/main">
              <a:graphicData uri="http://schemas.openxmlformats.org/drawingml/2006/picture">
                <pic:pic xmlns:pic="http://schemas.openxmlformats.org/drawingml/2006/picture">
                  <pic:nvPicPr>
                    <pic:cNvPr id="64208" name="Picture 64208"/>
                    <pic:cNvPicPr/>
                  </pic:nvPicPr>
                  <pic:blipFill>
                    <a:blip r:embed="rId15"/>
                    <a:stretch>
                      <a:fillRect/>
                    </a:stretch>
                  </pic:blipFill>
                  <pic:spPr>
                    <a:xfrm>
                      <a:off x="0" y="0"/>
                      <a:ext cx="6242304" cy="6339841"/>
                    </a:xfrm>
                    <a:prstGeom prst="rect">
                      <a:avLst/>
                    </a:prstGeom>
                  </pic:spPr>
                </pic:pic>
              </a:graphicData>
            </a:graphic>
          </wp:anchor>
        </w:drawing>
      </w:r>
      <w:r>
        <w:rPr>
          <w:b/>
          <w:sz w:val="15"/>
        </w:rPr>
        <w:t>Figure 3. Generalized diagrams depicting the tectonic setting. (A) During active rifting (220– 200 Ma). (B) During post-rift thermal subsidence (190–100 Ma). (C) During initial shortening and fo</w:t>
      </w:r>
      <w:r>
        <w:rPr>
          <w:b/>
          <w:sz w:val="15"/>
        </w:rPr>
        <w:t xml:space="preserve">reland basin development (100–50 Ma). (D) During mixed extension and contraction (20 Ma–present; Sagripanti et al., 2011; Horton and Fuentes, 2016). Major types of sedimentation are shown in various shades of gray and are general over each time period, so </w:t>
      </w:r>
      <w:r>
        <w:rPr>
          <w:b/>
          <w:sz w:val="15"/>
        </w:rPr>
        <w:t>they will not accurately show all depositional environments (i.e., continental sedimentation during deposition of the Tordillo, Huitrín, and Rayoso Formations during B, 190–100 Ma, and marine deposition during Malargüe Group deposition during C, 100–50 Ma)</w:t>
      </w:r>
      <w:r>
        <w:rPr>
          <w:b/>
          <w:sz w:val="15"/>
        </w:rPr>
        <w:t>. The locations for detrital samples used in the combined probability density curves shown in Figures 4 and 5 are depicted with numbers in the various time slices, and references are as follows: 1a—Pecun Leufu Formation, Las Lajas Formation, and the Lotena</w:t>
      </w:r>
      <w:r>
        <w:rPr>
          <w:b/>
          <w:sz w:val="15"/>
        </w:rPr>
        <w:t xml:space="preserve"> Formation detrital and tuff samples, this study; 1b—Tordillo Forma tion, this study; 2—Tordillo Formation, from Naupauer et al. (2015); 1c—Arroyo Palao Formation, this study; 3—Tristeza Formation, from Horton and Fuentes (2016). Samples between 100 and 50</w:t>
      </w:r>
      <w:r>
        <w:rPr>
          <w:b/>
          <w:sz w:val="15"/>
        </w:rPr>
        <w:t xml:space="preserve"> Ma include samples from this study, Balgord and Carrapa (2016), Tunik et al. (2010), Di Giulio et al. (2012), and Horton and Fuentes (2016) and are distributed throughout the Neuquén Basin, although the majority are from the Malargüe area.</w:t>
      </w:r>
    </w:p>
    <w:p w14:paraId="337DA85D" w14:textId="77777777" w:rsidR="00CF37A3" w:rsidRDefault="006C56C7">
      <w:pPr>
        <w:spacing w:after="3" w:line="262" w:lineRule="auto"/>
        <w:ind w:left="12" w:right="24"/>
        <w:jc w:val="both"/>
      </w:pPr>
      <w:r>
        <w:rPr>
          <w:rFonts w:ascii="Times New Roman" w:eastAsia="Times New Roman" w:hAnsi="Times New Roman" w:cs="Times New Roman"/>
          <w:sz w:val="18"/>
        </w:rPr>
        <w:t>with a Photon M</w:t>
      </w:r>
      <w:r>
        <w:rPr>
          <w:rFonts w:ascii="Times New Roman" w:eastAsia="Times New Roman" w:hAnsi="Times New Roman" w:cs="Times New Roman"/>
          <w:sz w:val="18"/>
        </w:rPr>
        <w:t>achines Analyte G2 excimer laser using a spot diameter of 30 µm. Cathodoluminescence or backscatter electron images, acquired with a Gatan Chroma CL2 system (www.geosemarizona.org), were used to ensure that analyses were conducted on homogeneous portions o</w:t>
      </w:r>
      <w:r>
        <w:rPr>
          <w:rFonts w:ascii="Times New Roman" w:eastAsia="Times New Roman" w:hAnsi="Times New Roman" w:cs="Times New Roman"/>
          <w:sz w:val="18"/>
        </w:rPr>
        <w:t>f zircon grains.</w:t>
      </w:r>
    </w:p>
    <w:p w14:paraId="76B0CEA0" w14:textId="77777777" w:rsidR="00CF37A3" w:rsidRDefault="006C56C7">
      <w:pPr>
        <w:spacing w:after="0"/>
        <w:ind w:left="10" w:right="70" w:hanging="10"/>
        <w:jc w:val="right"/>
      </w:pPr>
      <w:r>
        <w:rPr>
          <w:rFonts w:ascii="Times New Roman" w:eastAsia="Times New Roman" w:hAnsi="Times New Roman" w:cs="Times New Roman"/>
          <w:sz w:val="18"/>
        </w:rPr>
        <w:t xml:space="preserve">U-Pb analytical data are reported in Data </w:t>
      </w:r>
    </w:p>
    <w:p w14:paraId="77F3BDF8" w14:textId="77777777" w:rsidR="00CF37A3" w:rsidRDefault="006C56C7">
      <w:pPr>
        <w:spacing w:after="3" w:line="262" w:lineRule="auto"/>
        <w:ind w:left="16" w:right="24" w:hanging="4"/>
        <w:jc w:val="both"/>
      </w:pPr>
      <w:r>
        <w:rPr>
          <w:rFonts w:ascii="Times New Roman" w:eastAsia="Times New Roman" w:hAnsi="Times New Roman" w:cs="Times New Roman"/>
          <w:sz w:val="18"/>
        </w:rPr>
        <w:t>Repository Tables DR1–DR6</w:t>
      </w:r>
      <w:r>
        <w:rPr>
          <w:rFonts w:ascii="Times New Roman" w:eastAsia="Times New Roman" w:hAnsi="Times New Roman" w:cs="Times New Roman"/>
          <w:sz w:val="16"/>
          <w:vertAlign w:val="superscript"/>
        </w:rPr>
        <w:t>1</w:t>
      </w:r>
      <w:r>
        <w:rPr>
          <w:rFonts w:ascii="Times New Roman" w:eastAsia="Times New Roman" w:hAnsi="Times New Roman" w:cs="Times New Roman"/>
          <w:sz w:val="18"/>
        </w:rPr>
        <w:t xml:space="preserve">. These tables present the isotopic ratios, concentrations, calculated ages, and uncertainties for each analysis. For each analysis, the errors in determining </w:t>
      </w:r>
    </w:p>
    <w:p w14:paraId="5CCBB805" w14:textId="77777777" w:rsidR="00CF37A3" w:rsidRDefault="006C56C7">
      <w:pPr>
        <w:spacing w:after="3" w:line="262" w:lineRule="auto"/>
        <w:ind w:left="12" w:right="24" w:firstLine="11"/>
        <w:jc w:val="both"/>
      </w:pP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8"/>
        </w:rPr>
        <w:t xml:space="preserve">U and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204</w:t>
      </w:r>
      <w:r>
        <w:rPr>
          <w:rFonts w:ascii="Times New Roman" w:eastAsia="Times New Roman" w:hAnsi="Times New Roman" w:cs="Times New Roman"/>
          <w:sz w:val="18"/>
        </w:rPr>
        <w:t>Pb result in a measurement error of ~1%–2% (2</w:t>
      </w:r>
      <w:r>
        <w:rPr>
          <w:rFonts w:ascii="Segoe UI Symbol" w:eastAsia="Segoe UI Symbol" w:hAnsi="Segoe UI Symbol" w:cs="Segoe UI Symbol"/>
          <w:b/>
          <w:sz w:val="18"/>
        </w:rPr>
        <w:t>σ</w:t>
      </w:r>
      <w:r>
        <w:rPr>
          <w:rFonts w:ascii="Times New Roman" w:eastAsia="Times New Roman" w:hAnsi="Times New Roman" w:cs="Times New Roman"/>
          <w:sz w:val="18"/>
        </w:rPr>
        <w:t xml:space="preserve">) in the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8"/>
        </w:rPr>
        <w:t xml:space="preserve">U age. The errors in measurement of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207</w:t>
      </w:r>
      <w:r>
        <w:rPr>
          <w:rFonts w:ascii="Times New Roman" w:eastAsia="Times New Roman" w:hAnsi="Times New Roman" w:cs="Times New Roman"/>
          <w:sz w:val="18"/>
        </w:rPr>
        <w:t xml:space="preserve">Pb and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204</w:t>
      </w:r>
      <w:r>
        <w:rPr>
          <w:rFonts w:ascii="Times New Roman" w:eastAsia="Times New Roman" w:hAnsi="Times New Roman" w:cs="Times New Roman"/>
          <w:sz w:val="18"/>
        </w:rPr>
        <w:t>Pb also result in ~1%–2% (2</w:t>
      </w:r>
      <w:r>
        <w:rPr>
          <w:rFonts w:ascii="Segoe UI Symbol" w:eastAsia="Segoe UI Symbol" w:hAnsi="Segoe UI Symbol" w:cs="Segoe UI Symbol"/>
          <w:b/>
          <w:sz w:val="18"/>
        </w:rPr>
        <w:t>σ</w:t>
      </w:r>
      <w:r>
        <w:rPr>
          <w:rFonts w:ascii="Times New Roman" w:eastAsia="Times New Roman" w:hAnsi="Times New Roman" w:cs="Times New Roman"/>
          <w:sz w:val="18"/>
        </w:rPr>
        <w:t>) uncertainty in age for grains that are older than 1.0 Ga, but are substantially lar</w:t>
      </w:r>
      <w:r>
        <w:rPr>
          <w:rFonts w:ascii="Times New Roman" w:eastAsia="Times New Roman" w:hAnsi="Times New Roman" w:cs="Times New Roman"/>
          <w:sz w:val="18"/>
        </w:rPr>
        <w:t xml:space="preserve">ger for younger grains because of the low intensity of the </w:t>
      </w:r>
      <w:r>
        <w:rPr>
          <w:rFonts w:ascii="Times New Roman" w:eastAsia="Times New Roman" w:hAnsi="Times New Roman" w:cs="Times New Roman"/>
          <w:sz w:val="16"/>
          <w:vertAlign w:val="superscript"/>
        </w:rPr>
        <w:t>207</w:t>
      </w:r>
      <w:r>
        <w:rPr>
          <w:rFonts w:ascii="Times New Roman" w:eastAsia="Times New Roman" w:hAnsi="Times New Roman" w:cs="Times New Roman"/>
          <w:sz w:val="18"/>
        </w:rPr>
        <w:t xml:space="preserve">Pb signal. For most analyses, the crossover in precision of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8"/>
        </w:rPr>
        <w:t xml:space="preserve">U and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207</w:t>
      </w:r>
      <w:r>
        <w:rPr>
          <w:rFonts w:ascii="Times New Roman" w:eastAsia="Times New Roman" w:hAnsi="Times New Roman" w:cs="Times New Roman"/>
          <w:sz w:val="18"/>
        </w:rPr>
        <w:t xml:space="preserve">Pb ages occurs ca. 1.0 Ga. Reported for each analysis is the best age, which is based on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8"/>
        </w:rPr>
        <w:t>U for grain</w:t>
      </w:r>
      <w:r>
        <w:rPr>
          <w:rFonts w:ascii="Times New Roman" w:eastAsia="Times New Roman" w:hAnsi="Times New Roman" w:cs="Times New Roman"/>
          <w:sz w:val="18"/>
        </w:rPr>
        <w:t xml:space="preserve">s younger than 900 Ma and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207</w:t>
      </w:r>
      <w:r>
        <w:rPr>
          <w:rFonts w:ascii="Times New Roman" w:eastAsia="Times New Roman" w:hAnsi="Times New Roman" w:cs="Times New Roman"/>
          <w:sz w:val="18"/>
        </w:rPr>
        <w:t>Pb* for grains older than 900 Ma.</w:t>
      </w:r>
    </w:p>
    <w:p w14:paraId="0E5F8B6F" w14:textId="77777777" w:rsidR="00CF37A3" w:rsidRDefault="006C56C7">
      <w:pPr>
        <w:spacing w:after="213" w:line="262" w:lineRule="auto"/>
        <w:ind w:left="12" w:right="24" w:firstLine="236"/>
        <w:jc w:val="both"/>
      </w:pPr>
      <w:r>
        <w:rPr>
          <w:rFonts w:ascii="Times New Roman" w:eastAsia="Times New Roman" w:hAnsi="Times New Roman" w:cs="Times New Roman"/>
          <w:sz w:val="18"/>
        </w:rPr>
        <w:t xml:space="preserve">The Data Repository tables do not include analyses that are highly (&gt;20%) discordant or highly (&gt;10%) reverse discordant, and analyses with &gt;10% uncertainty. These filters are not applied to grains with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207</w:t>
      </w:r>
      <w:r>
        <w:rPr>
          <w:rFonts w:ascii="Times New Roman" w:eastAsia="Times New Roman" w:hAnsi="Times New Roman" w:cs="Times New Roman"/>
          <w:sz w:val="18"/>
        </w:rPr>
        <w:t xml:space="preserve">Pb* ages younger than 600 Ma and </w:t>
      </w:r>
      <w:r>
        <w:rPr>
          <w:rFonts w:ascii="Times New Roman" w:eastAsia="Times New Roman" w:hAnsi="Times New Roman" w:cs="Times New Roman"/>
          <w:sz w:val="16"/>
          <w:vertAlign w:val="superscript"/>
        </w:rPr>
        <w:t>206</w:t>
      </w:r>
      <w:r>
        <w:rPr>
          <w:rFonts w:ascii="Times New Roman" w:eastAsia="Times New Roman" w:hAnsi="Times New Roman" w:cs="Times New Roman"/>
          <w:sz w:val="18"/>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8"/>
        </w:rPr>
        <w:t>U ages younger than 100 Ma.</w:t>
      </w:r>
    </w:p>
    <w:p w14:paraId="0274DF38" w14:textId="77777777" w:rsidR="00CF37A3" w:rsidRDefault="006C56C7">
      <w:pPr>
        <w:spacing w:after="52"/>
        <w:ind w:left="25"/>
      </w:pPr>
      <w:r>
        <w:rPr>
          <w:noProof/>
        </w:rPr>
        <mc:AlternateContent>
          <mc:Choice Requires="wpg">
            <w:drawing>
              <wp:inline distT="0" distB="0" distL="0" distR="0" wp14:anchorId="2B5B37F0" wp14:editId="657DB4DF">
                <wp:extent cx="533400" cy="7620"/>
                <wp:effectExtent l="0" t="0" r="0" b="0"/>
                <wp:docPr id="63521" name="Group 63521"/>
                <wp:cNvGraphicFramePr/>
                <a:graphic xmlns:a="http://schemas.openxmlformats.org/drawingml/2006/main">
                  <a:graphicData uri="http://schemas.microsoft.com/office/word/2010/wordprocessingGroup">
                    <wpg:wgp>
                      <wpg:cNvGrpSpPr/>
                      <wpg:grpSpPr>
                        <a:xfrm>
                          <a:off x="0" y="0"/>
                          <a:ext cx="533400" cy="7620"/>
                          <a:chOff x="0" y="0"/>
                          <a:chExt cx="533400" cy="7620"/>
                        </a:xfrm>
                      </wpg:grpSpPr>
                      <wps:wsp>
                        <wps:cNvPr id="3188" name="Shape 3188"/>
                        <wps:cNvSpPr/>
                        <wps:spPr>
                          <a:xfrm>
                            <a:off x="0" y="0"/>
                            <a:ext cx="533400" cy="0"/>
                          </a:xfrm>
                          <a:custGeom>
                            <a:avLst/>
                            <a:gdLst/>
                            <a:ahLst/>
                            <a:cxnLst/>
                            <a:rect l="0" t="0" r="0" b="0"/>
                            <a:pathLst>
                              <a:path w="533400">
                                <a:moveTo>
                                  <a:pt x="0" y="0"/>
                                </a:moveTo>
                                <a:lnTo>
                                  <a:pt x="533400" y="0"/>
                                </a:lnTo>
                              </a:path>
                            </a:pathLst>
                          </a:custGeom>
                          <a:ln w="762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521" style="width:42pt;height:0.6pt;mso-position-horizontal-relative:char;mso-position-vertical-relative:line" coordsize="5334,76">
                <v:shape id="Shape 3188" style="position:absolute;width:5334;height:0;left:0;top:0;" coordsize="533400,0" path="m0,0l533400,0">
                  <v:stroke weight="0.6pt" endcap="flat" joinstyle="miter" miterlimit="10" on="true" color="#000000"/>
                  <v:fill on="false" color="#000000" opacity="0"/>
                </v:shape>
              </v:group>
            </w:pict>
          </mc:Fallback>
        </mc:AlternateContent>
      </w:r>
    </w:p>
    <w:p w14:paraId="58A41C2B" w14:textId="77777777" w:rsidR="00CF37A3" w:rsidRDefault="006C56C7">
      <w:pPr>
        <w:spacing w:after="596" w:line="225" w:lineRule="auto"/>
        <w:ind w:right="59" w:firstLine="208"/>
        <w:jc w:val="both"/>
      </w:pPr>
      <w:hyperlink r:id="rId16">
        <w:r>
          <w:rPr>
            <w:sz w:val="14"/>
            <w:vertAlign w:val="superscript"/>
          </w:rPr>
          <w:t xml:space="preserve">1 </w:t>
        </w:r>
      </w:hyperlink>
      <w:hyperlink r:id="rId17">
        <w:r>
          <w:rPr>
            <w:sz w:val="16"/>
          </w:rPr>
          <w:t>GSA Data Repository Item 2017170, which contains Tables DR1–DR6: Detrital zircon U-Pb data t</w:t>
        </w:r>
        <w:r>
          <w:rPr>
            <w:sz w:val="16"/>
          </w:rPr>
          <w:t>ables for all new samples analyzed in this study, and Table DR7: Hf data, is available at http://www.geosociety .org /datarepository /2017, or on request from editing@ geosociety.org.</w:t>
        </w:r>
      </w:hyperlink>
    </w:p>
    <w:p w14:paraId="2AD979A3" w14:textId="77777777" w:rsidR="00CF37A3" w:rsidRDefault="006C56C7">
      <w:pPr>
        <w:spacing w:after="3" w:line="254" w:lineRule="auto"/>
        <w:ind w:left="20" w:right="62" w:hanging="10"/>
        <w:jc w:val="both"/>
      </w:pPr>
      <w:r>
        <w:rPr>
          <w:b/>
          <w:sz w:val="15"/>
        </w:rPr>
        <w:t>Figure 5. Hf values and U-Pb probability density function for all sample</w:t>
      </w:r>
      <w:r>
        <w:rPr>
          <w:b/>
          <w:sz w:val="15"/>
        </w:rPr>
        <w:t xml:space="preserve">s combined from 250 Ma to present. Reference lines on the Hf plot are as follows: depleted mantle (DM), calculated using </w:t>
      </w:r>
    </w:p>
    <w:p w14:paraId="741C2ECA" w14:textId="77777777" w:rsidR="00CF37A3" w:rsidRDefault="006C56C7">
      <w:pPr>
        <w:spacing w:after="48" w:line="254" w:lineRule="auto"/>
        <w:ind w:left="20" w:right="62" w:hanging="10"/>
        <w:jc w:val="both"/>
      </w:pPr>
      <w:r>
        <w:rPr>
          <w:b/>
          <w:sz w:val="13"/>
          <w:vertAlign w:val="superscript"/>
        </w:rPr>
        <w:t>176</w:t>
      </w:r>
      <w:r>
        <w:rPr>
          <w:b/>
          <w:sz w:val="15"/>
        </w:rPr>
        <w:t>Hf/</w:t>
      </w:r>
      <w:r>
        <w:rPr>
          <w:b/>
          <w:sz w:val="13"/>
          <w:vertAlign w:val="superscript"/>
        </w:rPr>
        <w:t>177</w:t>
      </w:r>
      <w:r>
        <w:rPr>
          <w:b/>
          <w:sz w:val="15"/>
        </w:rPr>
        <w:t>Hf</w:t>
      </w:r>
      <w:r>
        <w:rPr>
          <w:b/>
          <w:sz w:val="13"/>
          <w:vertAlign w:val="subscript"/>
        </w:rPr>
        <w:t>0</w:t>
      </w:r>
      <w:r>
        <w:rPr>
          <w:b/>
          <w:sz w:val="15"/>
        </w:rPr>
        <w:t xml:space="preserve"> = 0.283225 and </w:t>
      </w:r>
      <w:r>
        <w:rPr>
          <w:b/>
          <w:sz w:val="13"/>
          <w:vertAlign w:val="superscript"/>
        </w:rPr>
        <w:t>176</w:t>
      </w:r>
      <w:r>
        <w:rPr>
          <w:b/>
          <w:sz w:val="15"/>
        </w:rPr>
        <w:t>Lu/</w:t>
      </w:r>
      <w:r>
        <w:rPr>
          <w:b/>
          <w:sz w:val="13"/>
          <w:vertAlign w:val="superscript"/>
        </w:rPr>
        <w:t>177</w:t>
      </w:r>
      <w:r>
        <w:rPr>
          <w:b/>
          <w:sz w:val="15"/>
        </w:rPr>
        <w:t>Hf</w:t>
      </w:r>
      <w:r>
        <w:rPr>
          <w:b/>
          <w:sz w:val="13"/>
          <w:vertAlign w:val="subscript"/>
        </w:rPr>
        <w:t>0</w:t>
      </w:r>
      <w:r>
        <w:rPr>
          <w:b/>
          <w:sz w:val="15"/>
        </w:rPr>
        <w:t xml:space="preserve"> = 0.038512 </w:t>
      </w:r>
    </w:p>
    <w:p w14:paraId="783BEDA5" w14:textId="77777777" w:rsidR="00CF37A3" w:rsidRDefault="006C56C7">
      <w:pPr>
        <w:spacing w:after="3" w:line="254" w:lineRule="auto"/>
        <w:ind w:left="20" w:right="62" w:hanging="10"/>
        <w:jc w:val="both"/>
      </w:pPr>
      <w:r>
        <w:rPr>
          <w:noProof/>
        </w:rPr>
        <w:drawing>
          <wp:anchor distT="0" distB="0" distL="114300" distR="114300" simplePos="0" relativeHeight="251662336" behindDoc="1" locked="0" layoutInCell="1" allowOverlap="0" wp14:anchorId="2290C22E" wp14:editId="26761928">
            <wp:simplePos x="0" y="0"/>
            <wp:positionH relativeFrom="column">
              <wp:posOffset>11595</wp:posOffset>
            </wp:positionH>
            <wp:positionV relativeFrom="paragraph">
              <wp:posOffset>-2276030</wp:posOffset>
            </wp:positionV>
            <wp:extent cx="6601969" cy="3928873"/>
            <wp:effectExtent l="0" t="0" r="0" b="0"/>
            <wp:wrapNone/>
            <wp:docPr id="64212" name="Picture 64212"/>
            <wp:cNvGraphicFramePr/>
            <a:graphic xmlns:a="http://schemas.openxmlformats.org/drawingml/2006/main">
              <a:graphicData uri="http://schemas.openxmlformats.org/drawingml/2006/picture">
                <pic:pic xmlns:pic="http://schemas.openxmlformats.org/drawingml/2006/picture">
                  <pic:nvPicPr>
                    <pic:cNvPr id="64212" name="Picture 64212"/>
                    <pic:cNvPicPr/>
                  </pic:nvPicPr>
                  <pic:blipFill>
                    <a:blip r:embed="rId18"/>
                    <a:stretch>
                      <a:fillRect/>
                    </a:stretch>
                  </pic:blipFill>
                  <pic:spPr>
                    <a:xfrm>
                      <a:off x="0" y="0"/>
                      <a:ext cx="6601969" cy="3928873"/>
                    </a:xfrm>
                    <a:prstGeom prst="rect">
                      <a:avLst/>
                    </a:prstGeom>
                  </pic:spPr>
                </pic:pic>
              </a:graphicData>
            </a:graphic>
          </wp:anchor>
        </w:drawing>
      </w:r>
      <w:r>
        <w:rPr>
          <w:b/>
          <w:sz w:val="15"/>
        </w:rPr>
        <w:t xml:space="preserve">(Vervoort and Blichert-Toft, 1999); CHUR— chondritic uniform reservoir, calculated using </w:t>
      </w:r>
      <w:r>
        <w:rPr>
          <w:b/>
          <w:sz w:val="13"/>
          <w:vertAlign w:val="superscript"/>
        </w:rPr>
        <w:t>176</w:t>
      </w:r>
      <w:r>
        <w:rPr>
          <w:b/>
          <w:sz w:val="15"/>
        </w:rPr>
        <w:t>Hf/</w:t>
      </w:r>
      <w:r>
        <w:rPr>
          <w:b/>
          <w:sz w:val="13"/>
          <w:vertAlign w:val="superscript"/>
        </w:rPr>
        <w:t>177</w:t>
      </w:r>
      <w:r>
        <w:rPr>
          <w:b/>
          <w:sz w:val="15"/>
        </w:rPr>
        <w:t xml:space="preserve">Hf = 0.282785 and </w:t>
      </w:r>
      <w:r>
        <w:rPr>
          <w:b/>
          <w:sz w:val="13"/>
          <w:vertAlign w:val="superscript"/>
        </w:rPr>
        <w:t>176</w:t>
      </w:r>
      <w:r>
        <w:rPr>
          <w:b/>
          <w:sz w:val="15"/>
        </w:rPr>
        <w:t>Lu/</w:t>
      </w:r>
      <w:r>
        <w:rPr>
          <w:b/>
          <w:sz w:val="13"/>
          <w:vertAlign w:val="superscript"/>
        </w:rPr>
        <w:t>177</w:t>
      </w:r>
      <w:r>
        <w:rPr>
          <w:b/>
          <w:sz w:val="15"/>
        </w:rPr>
        <w:t xml:space="preserve">Hf = 0.0336 (Bouvier et al., 2008). Labeled arrow shows interpreted crustal evolution trajectories assuming present-day </w:t>
      </w:r>
      <w:r>
        <w:rPr>
          <w:b/>
          <w:sz w:val="13"/>
          <w:vertAlign w:val="superscript"/>
        </w:rPr>
        <w:t>176</w:t>
      </w:r>
      <w:r>
        <w:rPr>
          <w:b/>
          <w:sz w:val="15"/>
        </w:rPr>
        <w:t>Lu/</w:t>
      </w:r>
      <w:r>
        <w:rPr>
          <w:b/>
          <w:sz w:val="13"/>
          <w:vertAlign w:val="superscript"/>
        </w:rPr>
        <w:t>177</w:t>
      </w:r>
      <w:r>
        <w:rPr>
          <w:b/>
          <w:sz w:val="15"/>
        </w:rPr>
        <w:t>Hf</w:t>
      </w:r>
      <w:r>
        <w:rPr>
          <w:b/>
          <w:sz w:val="15"/>
        </w:rPr>
        <w:t xml:space="preserve"> = 0.0093 (Vervoort and Patchett, 1996; Vervoort et al., 1999; Bahlburg et al., 2011). Normalized probability density plots are vertically overlaid on the various Hf populations to show their distributions, which are then used to create arrows in Fig. 6. D</w:t>
      </w:r>
      <w:r>
        <w:rPr>
          <w:b/>
          <w:sz w:val="15"/>
        </w:rPr>
        <w:t>ark gray lines show the timing of various tectonic events in the Neuquén Basin. U-Pb probability density plot has a vertical access that goes from 0 to 1; magmatic lulls are indicated during periods of time when the curve is below 0.2. FTB—fold-thrust belt</w:t>
      </w:r>
      <w:r>
        <w:rPr>
          <w:b/>
          <w:sz w:val="15"/>
        </w:rPr>
        <w:t>.</w:t>
      </w:r>
    </w:p>
    <w:p w14:paraId="2E18D34C" w14:textId="77777777" w:rsidR="00CF37A3" w:rsidRDefault="006C56C7">
      <w:pPr>
        <w:spacing w:after="109"/>
        <w:ind w:left="116"/>
      </w:pPr>
      <w:r>
        <w:rPr>
          <w:noProof/>
        </w:rPr>
        <w:drawing>
          <wp:inline distT="0" distB="0" distL="0" distR="0" wp14:anchorId="1BAFE116" wp14:editId="455ABC65">
            <wp:extent cx="3947160" cy="3261360"/>
            <wp:effectExtent l="0" t="0" r="0" b="0"/>
            <wp:docPr id="64210" name="Picture 64210"/>
            <wp:cNvGraphicFramePr/>
            <a:graphic xmlns:a="http://schemas.openxmlformats.org/drawingml/2006/main">
              <a:graphicData uri="http://schemas.openxmlformats.org/drawingml/2006/picture">
                <pic:pic xmlns:pic="http://schemas.openxmlformats.org/drawingml/2006/picture">
                  <pic:nvPicPr>
                    <pic:cNvPr id="64210" name="Picture 64210"/>
                    <pic:cNvPicPr/>
                  </pic:nvPicPr>
                  <pic:blipFill>
                    <a:blip r:embed="rId19"/>
                    <a:stretch>
                      <a:fillRect/>
                    </a:stretch>
                  </pic:blipFill>
                  <pic:spPr>
                    <a:xfrm>
                      <a:off x="0" y="0"/>
                      <a:ext cx="3947160" cy="3261360"/>
                    </a:xfrm>
                    <a:prstGeom prst="rect">
                      <a:avLst/>
                    </a:prstGeom>
                  </pic:spPr>
                </pic:pic>
              </a:graphicData>
            </a:graphic>
          </wp:inline>
        </w:drawing>
      </w:r>
    </w:p>
    <w:p w14:paraId="096EC3EF" w14:textId="77777777" w:rsidR="00CF37A3" w:rsidRDefault="006C56C7">
      <w:pPr>
        <w:spacing w:after="568" w:line="254" w:lineRule="auto"/>
        <w:ind w:left="106" w:right="360" w:hanging="10"/>
        <w:jc w:val="both"/>
      </w:pPr>
      <w:r>
        <w:rPr>
          <w:b/>
          <w:sz w:val="15"/>
        </w:rPr>
        <w:t>Figure 4. Combined probability density functions for all samples (top) retroarc foreland (middle) and backarc (bottom) basin samples. Samples are only shown from 500 Ma to present because there is a lack of older grains in all samples (&lt;15% of total gr</w:t>
      </w:r>
      <w:r>
        <w:rPr>
          <w:b/>
          <w:sz w:val="15"/>
        </w:rPr>
        <w:t>ains).</w:t>
      </w:r>
    </w:p>
    <w:p w14:paraId="795F5993" w14:textId="77777777" w:rsidR="00CF37A3" w:rsidRDefault="006C56C7">
      <w:pPr>
        <w:tabs>
          <w:tab w:val="center" w:pos="1625"/>
          <w:tab w:val="center" w:pos="3823"/>
          <w:tab w:val="center" w:pos="5684"/>
        </w:tabs>
        <w:spacing w:after="187"/>
      </w:pPr>
      <w:r>
        <w:tab/>
      </w:r>
      <w:r>
        <w:rPr>
          <w:rFonts w:ascii="Arial" w:eastAsia="Arial" w:hAnsi="Arial" w:cs="Arial"/>
          <w:sz w:val="15"/>
        </w:rPr>
        <w:t>Shortening in Neuquén backarc</w:t>
      </w:r>
      <w:r>
        <w:rPr>
          <w:rFonts w:ascii="Arial" w:eastAsia="Arial" w:hAnsi="Arial" w:cs="Arial"/>
          <w:sz w:val="15"/>
        </w:rPr>
        <w:tab/>
        <w:t>Extension in Andean Arc</w:t>
      </w:r>
      <w:r>
        <w:rPr>
          <w:rFonts w:ascii="Arial" w:eastAsia="Arial" w:hAnsi="Arial" w:cs="Arial"/>
          <w:sz w:val="15"/>
        </w:rPr>
        <w:tab/>
        <w:t>Initiation of Andean Arc</w:t>
      </w:r>
    </w:p>
    <w:p w14:paraId="59FC4D9E" w14:textId="77777777" w:rsidR="00CF37A3" w:rsidRDefault="006C56C7">
      <w:pPr>
        <w:tabs>
          <w:tab w:val="center" w:pos="3467"/>
          <w:tab w:val="center" w:pos="6234"/>
        </w:tabs>
        <w:spacing w:after="0"/>
      </w:pPr>
      <w:r>
        <w:rPr>
          <w:rFonts w:ascii="Arial" w:eastAsia="Arial" w:hAnsi="Arial" w:cs="Arial"/>
          <w:sz w:val="19"/>
        </w:rPr>
        <w:t>20</w:t>
      </w:r>
      <w:r>
        <w:rPr>
          <w:rFonts w:ascii="Arial" w:eastAsia="Arial" w:hAnsi="Arial" w:cs="Arial"/>
          <w:sz w:val="19"/>
        </w:rPr>
        <w:tab/>
      </w:r>
      <w:r>
        <w:rPr>
          <w:rFonts w:ascii="Arial" w:eastAsia="Arial" w:hAnsi="Arial" w:cs="Arial"/>
          <w:sz w:val="15"/>
        </w:rPr>
        <w:t xml:space="preserve">Initiation of shortening </w:t>
      </w:r>
      <w:r>
        <w:rPr>
          <w:rFonts w:ascii="Arial" w:eastAsia="Arial" w:hAnsi="Arial" w:cs="Arial"/>
          <w:sz w:val="15"/>
        </w:rPr>
        <w:tab/>
      </w:r>
      <w:r>
        <w:rPr>
          <w:rFonts w:ascii="Arial" w:eastAsia="Arial" w:hAnsi="Arial" w:cs="Arial"/>
          <w:sz w:val="13"/>
        </w:rPr>
        <w:t>Neuquén</w:t>
      </w:r>
    </w:p>
    <w:p w14:paraId="3F3A91EC" w14:textId="77777777" w:rsidR="00CF37A3" w:rsidRDefault="006C56C7">
      <w:pPr>
        <w:spacing w:after="0"/>
        <w:ind w:left="888" w:right="65" w:hanging="10"/>
      </w:pPr>
      <w:r>
        <w:rPr>
          <w:rFonts w:ascii="Arial" w:eastAsia="Arial" w:hAnsi="Arial" w:cs="Arial"/>
          <w:sz w:val="15"/>
        </w:rPr>
        <w:t>Extension in Neuquén</w:t>
      </w:r>
    </w:p>
    <w:p w14:paraId="44FCD750" w14:textId="77777777" w:rsidR="00CF37A3" w:rsidRDefault="006C56C7">
      <w:pPr>
        <w:spacing w:after="0"/>
        <w:ind w:left="2138" w:right="65" w:hanging="1260"/>
      </w:pPr>
      <w:r>
        <w:rPr>
          <w:rFonts w:ascii="Arial" w:eastAsia="Arial" w:hAnsi="Arial" w:cs="Arial"/>
          <w:sz w:val="15"/>
        </w:rPr>
        <w:t>back arc</w:t>
      </w:r>
      <w:r>
        <w:rPr>
          <w:rFonts w:ascii="Arial" w:eastAsia="Arial" w:hAnsi="Arial" w:cs="Arial"/>
          <w:sz w:val="15"/>
        </w:rPr>
        <w:tab/>
        <w:t xml:space="preserve">in Malargüe and Agrio </w:t>
      </w:r>
      <w:r>
        <w:rPr>
          <w:rFonts w:ascii="Arial" w:eastAsia="Arial" w:hAnsi="Arial" w:cs="Arial"/>
          <w:sz w:val="15"/>
        </w:rPr>
        <w:tab/>
      </w:r>
      <w:r>
        <w:rPr>
          <w:rFonts w:ascii="Arial" w:eastAsia="Arial" w:hAnsi="Arial" w:cs="Arial"/>
          <w:sz w:val="13"/>
        </w:rPr>
        <w:t xml:space="preserve">Rifting </w:t>
      </w:r>
      <w:r>
        <w:rPr>
          <w:rFonts w:ascii="Arial" w:eastAsia="Arial" w:hAnsi="Arial" w:cs="Arial"/>
          <w:b/>
          <w:sz w:val="19"/>
        </w:rPr>
        <w:t>DM</w:t>
      </w:r>
      <w:r>
        <w:rPr>
          <w:rFonts w:ascii="Arial" w:eastAsia="Arial" w:hAnsi="Arial" w:cs="Arial"/>
          <w:b/>
          <w:sz w:val="19"/>
        </w:rPr>
        <w:tab/>
      </w:r>
      <w:r>
        <w:rPr>
          <w:rFonts w:ascii="Arial" w:eastAsia="Arial" w:hAnsi="Arial" w:cs="Arial"/>
          <w:sz w:val="15"/>
        </w:rPr>
        <w:t>FTBs</w:t>
      </w:r>
    </w:p>
    <w:p w14:paraId="32DCE3F7" w14:textId="77777777" w:rsidR="00CF37A3" w:rsidRDefault="006C56C7">
      <w:pPr>
        <w:spacing w:after="343" w:line="265" w:lineRule="auto"/>
        <w:ind w:left="46" w:hanging="10"/>
      </w:pPr>
      <w:r>
        <w:rPr>
          <w:rFonts w:ascii="Arial" w:eastAsia="Arial" w:hAnsi="Arial" w:cs="Arial"/>
          <w:sz w:val="19"/>
        </w:rPr>
        <w:t>15</w:t>
      </w:r>
    </w:p>
    <w:p w14:paraId="5F2254A5" w14:textId="77777777" w:rsidR="00CF37A3" w:rsidRDefault="006C56C7">
      <w:pPr>
        <w:spacing w:after="343" w:line="265" w:lineRule="auto"/>
        <w:ind w:left="46" w:hanging="10"/>
      </w:pPr>
      <w:r>
        <w:rPr>
          <w:rFonts w:ascii="Arial" w:eastAsia="Arial" w:hAnsi="Arial" w:cs="Arial"/>
          <w:sz w:val="19"/>
        </w:rPr>
        <w:t>10</w:t>
      </w:r>
    </w:p>
    <w:p w14:paraId="43161695" w14:textId="77777777" w:rsidR="00CF37A3" w:rsidRDefault="006C56C7">
      <w:pPr>
        <w:spacing w:after="343" w:line="265" w:lineRule="auto"/>
        <w:ind w:left="145" w:hanging="10"/>
      </w:pPr>
      <w:r>
        <w:rPr>
          <w:rFonts w:ascii="Arial" w:eastAsia="Arial" w:hAnsi="Arial" w:cs="Arial"/>
          <w:sz w:val="19"/>
        </w:rPr>
        <w:t>5</w:t>
      </w:r>
    </w:p>
    <w:p w14:paraId="416D2766" w14:textId="77777777" w:rsidR="00CF37A3" w:rsidRDefault="006C56C7">
      <w:pPr>
        <w:tabs>
          <w:tab w:val="center" w:pos="1123"/>
        </w:tabs>
        <w:spacing w:after="453"/>
      </w:pPr>
      <w:r>
        <w:rPr>
          <w:rFonts w:ascii="Arial" w:eastAsia="Arial" w:hAnsi="Arial" w:cs="Arial"/>
          <w:sz w:val="19"/>
        </w:rPr>
        <w:t>0</w:t>
      </w:r>
      <w:r>
        <w:rPr>
          <w:rFonts w:ascii="Arial" w:eastAsia="Arial" w:hAnsi="Arial" w:cs="Arial"/>
          <w:sz w:val="19"/>
        </w:rPr>
        <w:tab/>
      </w:r>
      <w:r>
        <w:rPr>
          <w:rFonts w:ascii="Arial" w:eastAsia="Arial" w:hAnsi="Arial" w:cs="Arial"/>
          <w:b/>
          <w:sz w:val="17"/>
        </w:rPr>
        <w:t>CHUR</w:t>
      </w:r>
    </w:p>
    <w:p w14:paraId="138D42A8" w14:textId="77777777" w:rsidR="00CF37A3" w:rsidRDefault="006C56C7">
      <w:pPr>
        <w:spacing w:after="0" w:line="265" w:lineRule="auto"/>
        <w:ind w:left="46" w:hanging="10"/>
      </w:pPr>
      <w:r>
        <w:rPr>
          <w:rFonts w:ascii="Arial" w:eastAsia="Arial" w:hAnsi="Arial" w:cs="Arial"/>
          <w:sz w:val="19"/>
        </w:rPr>
        <w:t>-5</w:t>
      </w:r>
    </w:p>
    <w:p w14:paraId="2D42EF43" w14:textId="77777777" w:rsidR="00CF37A3" w:rsidRDefault="006C56C7">
      <w:pPr>
        <w:spacing w:after="0"/>
        <w:ind w:left="948" w:hanging="10"/>
      </w:pPr>
      <w:r>
        <w:rPr>
          <w:rFonts w:ascii="Arial" w:eastAsia="Arial" w:hAnsi="Arial" w:cs="Arial"/>
          <w:i/>
          <w:sz w:val="19"/>
        </w:rPr>
        <w:t>Neuqu</w:t>
      </w:r>
      <w:r>
        <w:rPr>
          <w:rFonts w:ascii="Arial" w:eastAsia="Arial" w:hAnsi="Arial" w:cs="Arial"/>
          <w:i/>
          <w:strike/>
          <w:sz w:val="19"/>
        </w:rPr>
        <w:t>e</w:t>
      </w:r>
      <w:r>
        <w:rPr>
          <w:rFonts w:ascii="Arial" w:eastAsia="Arial" w:hAnsi="Arial" w:cs="Arial"/>
          <w:i/>
          <w:sz w:val="19"/>
        </w:rPr>
        <w:t>n Basin</w:t>
      </w:r>
    </w:p>
    <w:p w14:paraId="7BE1BB12" w14:textId="77777777" w:rsidR="00CF37A3" w:rsidRDefault="006C56C7">
      <w:pPr>
        <w:spacing w:after="0"/>
        <w:ind w:left="948" w:hanging="10"/>
      </w:pPr>
      <w:r>
        <w:rPr>
          <w:rFonts w:ascii="Arial" w:eastAsia="Arial" w:hAnsi="Arial" w:cs="Arial"/>
          <w:i/>
          <w:sz w:val="19"/>
        </w:rPr>
        <w:t>Hf, n=207</w:t>
      </w:r>
    </w:p>
    <w:p w14:paraId="1DD2AAA9" w14:textId="77777777" w:rsidR="00CF37A3" w:rsidRDefault="006C56C7">
      <w:pPr>
        <w:spacing w:after="528" w:line="265" w:lineRule="auto"/>
        <w:ind w:left="46" w:hanging="10"/>
      </w:pPr>
      <w:r>
        <w:rPr>
          <w:rFonts w:ascii="Arial" w:eastAsia="Arial" w:hAnsi="Arial" w:cs="Arial"/>
          <w:sz w:val="19"/>
        </w:rPr>
        <w:t>-10</w:t>
      </w:r>
    </w:p>
    <w:p w14:paraId="35E9D875" w14:textId="77777777" w:rsidR="00CF37A3" w:rsidRDefault="006C56C7">
      <w:pPr>
        <w:tabs>
          <w:tab w:val="center" w:pos="1271"/>
          <w:tab w:val="center" w:pos="2361"/>
          <w:tab w:val="center" w:pos="5445"/>
        </w:tabs>
        <w:spacing w:after="295" w:line="265" w:lineRule="auto"/>
      </w:pPr>
      <w:r>
        <w:lastRenderedPageBreak/>
        <w:tab/>
      </w:r>
      <w:r>
        <w:rPr>
          <w:rFonts w:ascii="Arial" w:eastAsia="Arial" w:hAnsi="Arial" w:cs="Arial"/>
          <w:sz w:val="19"/>
        </w:rPr>
        <w:t>52 Ma</w:t>
      </w:r>
      <w:r>
        <w:rPr>
          <w:rFonts w:ascii="Arial" w:eastAsia="Arial" w:hAnsi="Arial" w:cs="Arial"/>
          <w:sz w:val="19"/>
        </w:rPr>
        <w:tab/>
        <w:t>Magmatic Lulls</w:t>
      </w:r>
      <w:r>
        <w:rPr>
          <w:rFonts w:ascii="Arial" w:eastAsia="Arial" w:hAnsi="Arial" w:cs="Arial"/>
          <w:sz w:val="19"/>
        </w:rPr>
        <w:tab/>
      </w:r>
      <w:r>
        <w:rPr>
          <w:rFonts w:ascii="Arial" w:eastAsia="Arial" w:hAnsi="Arial" w:cs="Arial"/>
          <w:i/>
          <w:sz w:val="19"/>
        </w:rPr>
        <w:t>Neuqu</w:t>
      </w:r>
      <w:r>
        <w:rPr>
          <w:rFonts w:ascii="Arial" w:eastAsia="Arial" w:hAnsi="Arial" w:cs="Arial"/>
          <w:i/>
          <w:strike/>
          <w:sz w:val="19"/>
        </w:rPr>
        <w:t>e</w:t>
      </w:r>
      <w:r>
        <w:rPr>
          <w:rFonts w:ascii="Arial" w:eastAsia="Arial" w:hAnsi="Arial" w:cs="Arial"/>
          <w:i/>
          <w:sz w:val="19"/>
        </w:rPr>
        <w:t xml:space="preserve">n Basin </w:t>
      </w:r>
    </w:p>
    <w:p w14:paraId="6721C9C8" w14:textId="77777777" w:rsidR="00CF37A3" w:rsidRDefault="006C56C7">
      <w:pPr>
        <w:tabs>
          <w:tab w:val="center" w:pos="827"/>
          <w:tab w:val="center" w:pos="2109"/>
          <w:tab w:val="center" w:pos="3704"/>
          <w:tab w:val="center" w:pos="5445"/>
        </w:tabs>
        <w:spacing w:after="582"/>
      </w:pPr>
      <w:r>
        <w:tab/>
      </w:r>
      <w:r>
        <w:rPr>
          <w:rFonts w:ascii="Arial" w:eastAsia="Arial" w:hAnsi="Arial" w:cs="Arial"/>
          <w:sz w:val="19"/>
        </w:rPr>
        <w:t>7 Ma16 Ma</w:t>
      </w:r>
      <w:r>
        <w:rPr>
          <w:rFonts w:ascii="Arial" w:eastAsia="Arial" w:hAnsi="Arial" w:cs="Arial"/>
          <w:sz w:val="19"/>
        </w:rPr>
        <w:tab/>
        <w:t>67 Ma</w:t>
      </w:r>
      <w:r>
        <w:rPr>
          <w:rFonts w:ascii="Arial" w:eastAsia="Arial" w:hAnsi="Arial" w:cs="Arial"/>
          <w:sz w:val="19"/>
        </w:rPr>
        <w:tab/>
        <w:t>129 Ma</w:t>
      </w:r>
      <w:r>
        <w:rPr>
          <w:rFonts w:ascii="Arial" w:eastAsia="Arial" w:hAnsi="Arial" w:cs="Arial"/>
          <w:sz w:val="19"/>
        </w:rPr>
        <w:tab/>
      </w:r>
      <w:r>
        <w:rPr>
          <w:rFonts w:ascii="Arial" w:eastAsia="Arial" w:hAnsi="Arial" w:cs="Arial"/>
          <w:i/>
          <w:sz w:val="19"/>
        </w:rPr>
        <w:t>combined detrital zircon U-Pb, n=1549</w:t>
      </w:r>
    </w:p>
    <w:p w14:paraId="1646F039" w14:textId="77777777" w:rsidR="00CF37A3" w:rsidRDefault="006C56C7">
      <w:pPr>
        <w:spacing w:after="460" w:line="265" w:lineRule="auto"/>
        <w:ind w:left="4818" w:hanging="10"/>
      </w:pPr>
      <w:r>
        <w:rPr>
          <w:rFonts w:ascii="Arial" w:eastAsia="Arial" w:hAnsi="Arial" w:cs="Arial"/>
          <w:sz w:val="19"/>
        </w:rPr>
        <w:t>185 Ma</w:t>
      </w:r>
    </w:p>
    <w:p w14:paraId="3A7A8A22" w14:textId="77777777" w:rsidR="00CF37A3" w:rsidRDefault="006C56C7">
      <w:pPr>
        <w:tabs>
          <w:tab w:val="center" w:pos="3233"/>
          <w:tab w:val="center" w:pos="4404"/>
          <w:tab w:val="center" w:pos="6012"/>
        </w:tabs>
        <w:spacing w:after="139"/>
      </w:pPr>
      <w:r>
        <w:tab/>
      </w:r>
      <w:r>
        <w:rPr>
          <w:rFonts w:ascii="Arial" w:eastAsia="Arial" w:hAnsi="Arial" w:cs="Arial"/>
          <w:sz w:val="19"/>
        </w:rPr>
        <w:t>110 Ma</w:t>
      </w:r>
      <w:r>
        <w:rPr>
          <w:rFonts w:ascii="Arial" w:eastAsia="Arial" w:hAnsi="Arial" w:cs="Arial"/>
          <w:sz w:val="19"/>
        </w:rPr>
        <w:tab/>
        <w:t>166 Ma</w:t>
      </w:r>
      <w:r>
        <w:rPr>
          <w:rFonts w:ascii="Arial" w:eastAsia="Arial" w:hAnsi="Arial" w:cs="Arial"/>
          <w:sz w:val="19"/>
        </w:rPr>
        <w:tab/>
        <w:t>220 Ma</w:t>
      </w:r>
    </w:p>
    <w:p w14:paraId="0A120283" w14:textId="77777777" w:rsidR="00CF37A3" w:rsidRDefault="006C56C7">
      <w:pPr>
        <w:tabs>
          <w:tab w:val="center" w:pos="338"/>
          <w:tab w:val="center" w:pos="1577"/>
          <w:tab w:val="center" w:pos="2828"/>
          <w:tab w:val="center" w:pos="4064"/>
          <w:tab w:val="center" w:pos="5302"/>
          <w:tab w:val="right" w:pos="6696"/>
        </w:tabs>
        <w:spacing w:after="0"/>
        <w:ind w:right="-15"/>
      </w:pPr>
      <w:r>
        <w:tab/>
      </w:r>
      <w:r>
        <w:rPr>
          <w:rFonts w:ascii="Arial" w:eastAsia="Arial" w:hAnsi="Arial" w:cs="Arial"/>
          <w:sz w:val="19"/>
        </w:rPr>
        <w:t>0</w:t>
      </w:r>
      <w:r>
        <w:rPr>
          <w:rFonts w:ascii="Arial" w:eastAsia="Arial" w:hAnsi="Arial" w:cs="Arial"/>
          <w:sz w:val="19"/>
        </w:rPr>
        <w:tab/>
        <w:t>50</w:t>
      </w:r>
      <w:r>
        <w:rPr>
          <w:rFonts w:ascii="Arial" w:eastAsia="Arial" w:hAnsi="Arial" w:cs="Arial"/>
          <w:sz w:val="19"/>
        </w:rPr>
        <w:tab/>
        <w:t>100</w:t>
      </w:r>
      <w:r>
        <w:rPr>
          <w:rFonts w:ascii="Arial" w:eastAsia="Arial" w:hAnsi="Arial" w:cs="Arial"/>
          <w:sz w:val="19"/>
        </w:rPr>
        <w:tab/>
        <w:t>150</w:t>
      </w:r>
      <w:r>
        <w:rPr>
          <w:rFonts w:ascii="Arial" w:eastAsia="Arial" w:hAnsi="Arial" w:cs="Arial"/>
          <w:sz w:val="19"/>
        </w:rPr>
        <w:tab/>
        <w:t>200</w:t>
      </w:r>
      <w:r>
        <w:rPr>
          <w:rFonts w:ascii="Arial" w:eastAsia="Arial" w:hAnsi="Arial" w:cs="Arial"/>
          <w:sz w:val="19"/>
        </w:rPr>
        <w:tab/>
        <w:t>250</w:t>
      </w:r>
    </w:p>
    <w:p w14:paraId="6FF70BFE" w14:textId="77777777" w:rsidR="00CF37A3" w:rsidRDefault="006C56C7">
      <w:pPr>
        <w:spacing w:after="0"/>
        <w:ind w:left="468"/>
        <w:jc w:val="center"/>
      </w:pPr>
      <w:r>
        <w:rPr>
          <w:rFonts w:ascii="Arial" w:eastAsia="Arial" w:hAnsi="Arial" w:cs="Arial"/>
          <w:b/>
          <w:sz w:val="19"/>
        </w:rPr>
        <w:t>Age (Ma)</w:t>
      </w:r>
    </w:p>
    <w:p w14:paraId="7393F626" w14:textId="77777777" w:rsidR="00CF37A3" w:rsidRDefault="00CF37A3">
      <w:pPr>
        <w:sectPr w:rsidR="00CF37A3">
          <w:footnotePr>
            <w:numRestart w:val="eachPage"/>
          </w:footnotePr>
          <w:type w:val="continuous"/>
          <w:pgSz w:w="11880" w:h="15660"/>
          <w:pgMar w:top="1258" w:right="600" w:bottom="1173" w:left="695" w:header="720" w:footer="720" w:gutter="0"/>
          <w:cols w:num="2" w:space="720" w:equalWidth="0">
            <w:col w:w="6995" w:space="189"/>
            <w:col w:w="3400"/>
          </w:cols>
        </w:sectPr>
      </w:pPr>
    </w:p>
    <w:p w14:paraId="0E56F8C8" w14:textId="77777777" w:rsidR="00CF37A3" w:rsidRDefault="006C56C7">
      <w:pPr>
        <w:spacing w:after="213" w:line="262" w:lineRule="auto"/>
        <w:ind w:left="12" w:right="24" w:firstLine="236"/>
        <w:jc w:val="both"/>
      </w:pPr>
      <w:r>
        <w:rPr>
          <w:rFonts w:ascii="Times New Roman" w:eastAsia="Times New Roman" w:hAnsi="Times New Roman" w:cs="Times New Roman"/>
          <w:sz w:val="18"/>
        </w:rPr>
        <w:t>Probability density plots were created using the diagrams and routines in Isoplot (Ludwig, 2008). Composite age probability plots are made from an in-house Excel program (see Analysis Tools at www.laserchron.org) that normalizes each curve according to the</w:t>
      </w:r>
      <w:r>
        <w:rPr>
          <w:rFonts w:ascii="Times New Roman" w:eastAsia="Times New Roman" w:hAnsi="Times New Roman" w:cs="Times New Roman"/>
          <w:sz w:val="18"/>
        </w:rPr>
        <w:t xml:space="preserve"> number of constituent analyses, such that each curve contains the same area, and then stacks the probability curves (Figs. 4 and 5). Maximum depositional ages were calculated by taking the youngest age components, generally three or more grains, that over</w:t>
      </w:r>
      <w:r>
        <w:rPr>
          <w:rFonts w:ascii="Times New Roman" w:eastAsia="Times New Roman" w:hAnsi="Times New Roman" w:cs="Times New Roman"/>
          <w:sz w:val="18"/>
        </w:rPr>
        <w:t xml:space="preserve">lap in age within error and calculating a mean and standard deviation </w:t>
      </w:r>
      <w:proofErr w:type="gramStart"/>
      <w:r>
        <w:rPr>
          <w:rFonts w:ascii="Times New Roman" w:eastAsia="Times New Roman" w:hAnsi="Times New Roman" w:cs="Times New Roman"/>
          <w:sz w:val="18"/>
        </w:rPr>
        <w:t>taking into account</w:t>
      </w:r>
      <w:proofErr w:type="gramEnd"/>
      <w:r>
        <w:rPr>
          <w:rFonts w:ascii="Times New Roman" w:eastAsia="Times New Roman" w:hAnsi="Times New Roman" w:cs="Times New Roman"/>
          <w:sz w:val="18"/>
        </w:rPr>
        <w:t xml:space="preserve"> the original uncertainty based on recommendations from Dickinson and Gehrels (2009). Total error was calculated by quadratic addition of random error and systematic e</w:t>
      </w:r>
      <w:r>
        <w:rPr>
          <w:rFonts w:ascii="Times New Roman" w:eastAsia="Times New Roman" w:hAnsi="Times New Roman" w:cs="Times New Roman"/>
          <w:sz w:val="18"/>
        </w:rPr>
        <w:t>rror contributions (reported in Fig. 2). Age peaks shown in Figures 4 and 5 and reported in the Results discussion are meant to represent the average age of highflux magmatic events, which may have long durations and do not necessarily have normal distribu</w:t>
      </w:r>
      <w:r>
        <w:rPr>
          <w:rFonts w:ascii="Times New Roman" w:eastAsia="Times New Roman" w:hAnsi="Times New Roman" w:cs="Times New Roman"/>
          <w:sz w:val="18"/>
        </w:rPr>
        <w:t>tions, even though they are listed using averages and standard deviations.</w:t>
      </w:r>
    </w:p>
    <w:p w14:paraId="3992D691" w14:textId="77777777" w:rsidR="00CF37A3" w:rsidRDefault="006C56C7">
      <w:pPr>
        <w:pStyle w:val="1"/>
        <w:ind w:left="20"/>
      </w:pPr>
      <w:r>
        <w:t>Hf Analytical Methods</w:t>
      </w:r>
    </w:p>
    <w:p w14:paraId="513E3E35" w14:textId="77777777" w:rsidR="00CF37A3" w:rsidRDefault="006C56C7">
      <w:pPr>
        <w:spacing w:after="0"/>
        <w:ind w:left="10" w:right="70" w:hanging="10"/>
        <w:jc w:val="right"/>
      </w:pPr>
      <w:r>
        <w:rPr>
          <w:rFonts w:ascii="Times New Roman" w:eastAsia="Times New Roman" w:hAnsi="Times New Roman" w:cs="Times New Roman"/>
          <w:sz w:val="18"/>
        </w:rPr>
        <w:t xml:space="preserve">Hf isotopic analyses were also conducted by </w:t>
      </w:r>
    </w:p>
    <w:p w14:paraId="5BE566AC" w14:textId="77777777" w:rsidR="00CF37A3" w:rsidRDefault="006C56C7">
      <w:pPr>
        <w:spacing w:after="3" w:line="262" w:lineRule="auto"/>
        <w:ind w:left="12" w:right="24" w:firstLine="6"/>
        <w:jc w:val="both"/>
      </w:pPr>
      <w:r>
        <w:rPr>
          <w:rFonts w:ascii="Times New Roman" w:eastAsia="Times New Roman" w:hAnsi="Times New Roman" w:cs="Times New Roman"/>
          <w:sz w:val="18"/>
        </w:rPr>
        <w:t>LA-MC-ICP-MS (Arizona LaserChron Center) connected to a Photon Machines Analyte G2 excimer laser, using methods de</w:t>
      </w:r>
      <w:r>
        <w:rPr>
          <w:rFonts w:ascii="Times New Roman" w:eastAsia="Times New Roman" w:hAnsi="Times New Roman" w:cs="Times New Roman"/>
          <w:sz w:val="18"/>
        </w:rPr>
        <w:t>scribed by Cecil et al. (2011) and Gehrels and Pecha (2014), and are reported in Table DR7. Laser ablation analyses were conducted with a laser beam diameter of 40 µm, with ablation pits located on top of or immediately adjacent to the U-Pb analysis pits t</w:t>
      </w:r>
      <w:r>
        <w:rPr>
          <w:rFonts w:ascii="Times New Roman" w:eastAsia="Times New Roman" w:hAnsi="Times New Roman" w:cs="Times New Roman"/>
          <w:sz w:val="18"/>
        </w:rPr>
        <w:t>o ensure that at least initial Hf isotopic data were obtained from the same domain as the U-Pb data. Each acquisition consisted of one 40 s integration on backgrounds (on peaks with no laser firing) followed by 60 integrations of 1 s with the laser firing.</w:t>
      </w:r>
      <w:r>
        <w:rPr>
          <w:rFonts w:ascii="Times New Roman" w:eastAsia="Times New Roman" w:hAnsi="Times New Roman" w:cs="Times New Roman"/>
          <w:sz w:val="18"/>
        </w:rPr>
        <w:t xml:space="preserve"> Each </w:t>
      </w:r>
      <w:r>
        <w:rPr>
          <w:rFonts w:ascii="Times New Roman" w:eastAsia="Times New Roman" w:hAnsi="Times New Roman" w:cs="Times New Roman"/>
          <w:sz w:val="18"/>
        </w:rPr>
        <w:t>standard is analyzed once for every ~20 unknowns.</w:t>
      </w:r>
    </w:p>
    <w:p w14:paraId="0AA0B226" w14:textId="77777777" w:rsidR="00CF37A3" w:rsidRDefault="006C56C7">
      <w:pPr>
        <w:spacing w:after="3" w:line="262" w:lineRule="auto"/>
        <w:ind w:left="12" w:right="24" w:firstLine="236"/>
        <w:jc w:val="both"/>
      </w:pPr>
      <w:r>
        <w:rPr>
          <w:rFonts w:ascii="Times New Roman" w:eastAsia="Times New Roman" w:hAnsi="Times New Roman" w:cs="Times New Roman"/>
          <w:sz w:val="18"/>
        </w:rPr>
        <w:t xml:space="preserve">Isotope fractionation is accounted for using the method of Woodhead et al. (2004): </w:t>
      </w:r>
      <w:r>
        <w:rPr>
          <w:rFonts w:ascii="Segoe UI Symbol" w:eastAsia="Segoe UI Symbol" w:hAnsi="Segoe UI Symbol" w:cs="Segoe UI Symbol"/>
          <w:b/>
          <w:sz w:val="18"/>
        </w:rPr>
        <w:t>β</w:t>
      </w:r>
      <w:r>
        <w:rPr>
          <w:rFonts w:ascii="Times New Roman" w:eastAsia="Times New Roman" w:hAnsi="Times New Roman" w:cs="Times New Roman"/>
          <w:sz w:val="18"/>
        </w:rPr>
        <w:t xml:space="preserve">Hf is determined from the measured </w:t>
      </w:r>
      <w:r>
        <w:rPr>
          <w:rFonts w:ascii="Times New Roman" w:eastAsia="Times New Roman" w:hAnsi="Times New Roman" w:cs="Times New Roman"/>
          <w:sz w:val="16"/>
          <w:vertAlign w:val="superscript"/>
        </w:rPr>
        <w:t>179</w:t>
      </w:r>
      <w:r>
        <w:rPr>
          <w:rFonts w:ascii="Times New Roman" w:eastAsia="Times New Roman" w:hAnsi="Times New Roman" w:cs="Times New Roman"/>
          <w:sz w:val="18"/>
        </w:rPr>
        <w:t>Hf/</w:t>
      </w:r>
      <w:r>
        <w:rPr>
          <w:rFonts w:ascii="Times New Roman" w:eastAsia="Times New Roman" w:hAnsi="Times New Roman" w:cs="Times New Roman"/>
          <w:sz w:val="16"/>
          <w:vertAlign w:val="superscript"/>
        </w:rPr>
        <w:t>177</w:t>
      </w:r>
      <w:r>
        <w:rPr>
          <w:rFonts w:ascii="Times New Roman" w:eastAsia="Times New Roman" w:hAnsi="Times New Roman" w:cs="Times New Roman"/>
          <w:sz w:val="18"/>
        </w:rPr>
        <w:t xml:space="preserve">Hf; </w:t>
      </w:r>
      <w:r>
        <w:rPr>
          <w:rFonts w:ascii="Segoe UI Symbol" w:eastAsia="Segoe UI Symbol" w:hAnsi="Segoe UI Symbol" w:cs="Segoe UI Symbol"/>
          <w:b/>
          <w:sz w:val="18"/>
        </w:rPr>
        <w:t>β</w:t>
      </w:r>
      <w:r>
        <w:rPr>
          <w:rFonts w:ascii="Times New Roman" w:eastAsia="Times New Roman" w:hAnsi="Times New Roman" w:cs="Times New Roman"/>
          <w:sz w:val="18"/>
        </w:rPr>
        <w:t xml:space="preserve">Yb is determined from the measured </w:t>
      </w:r>
      <w:r>
        <w:rPr>
          <w:rFonts w:ascii="Times New Roman" w:eastAsia="Times New Roman" w:hAnsi="Times New Roman" w:cs="Times New Roman"/>
          <w:sz w:val="16"/>
          <w:vertAlign w:val="superscript"/>
        </w:rPr>
        <w:t>173</w:t>
      </w:r>
      <w:r>
        <w:rPr>
          <w:rFonts w:ascii="Times New Roman" w:eastAsia="Times New Roman" w:hAnsi="Times New Roman" w:cs="Times New Roman"/>
          <w:sz w:val="18"/>
        </w:rPr>
        <w:t>Yb/</w:t>
      </w:r>
      <w:r>
        <w:rPr>
          <w:rFonts w:ascii="Times New Roman" w:eastAsia="Times New Roman" w:hAnsi="Times New Roman" w:cs="Times New Roman"/>
          <w:sz w:val="16"/>
          <w:vertAlign w:val="superscript"/>
        </w:rPr>
        <w:t>171</w:t>
      </w:r>
      <w:r>
        <w:rPr>
          <w:rFonts w:ascii="Times New Roman" w:eastAsia="Times New Roman" w:hAnsi="Times New Roman" w:cs="Times New Roman"/>
          <w:sz w:val="18"/>
        </w:rPr>
        <w:t>Yb (except for very low</w:t>
      </w:r>
      <w:r>
        <w:rPr>
          <w:rFonts w:ascii="Times New Roman" w:eastAsia="Times New Roman" w:hAnsi="Times New Roman" w:cs="Times New Roman"/>
          <w:sz w:val="18"/>
        </w:rPr>
        <w:t xml:space="preserve"> Yb signals); </w:t>
      </w:r>
      <w:r>
        <w:rPr>
          <w:rFonts w:ascii="Segoe UI Symbol" w:eastAsia="Segoe UI Symbol" w:hAnsi="Segoe UI Symbol" w:cs="Segoe UI Symbol"/>
          <w:b/>
          <w:sz w:val="18"/>
        </w:rPr>
        <w:t>β</w:t>
      </w:r>
      <w:r>
        <w:rPr>
          <w:rFonts w:ascii="Times New Roman" w:eastAsia="Times New Roman" w:hAnsi="Times New Roman" w:cs="Times New Roman"/>
          <w:sz w:val="18"/>
        </w:rPr>
        <w:t xml:space="preserve">Lu is assumed to be the same as </w:t>
      </w:r>
      <w:r>
        <w:rPr>
          <w:rFonts w:ascii="Segoe UI Symbol" w:eastAsia="Segoe UI Symbol" w:hAnsi="Segoe UI Symbol" w:cs="Segoe UI Symbol"/>
          <w:b/>
          <w:sz w:val="18"/>
        </w:rPr>
        <w:t>β</w:t>
      </w:r>
      <w:r>
        <w:rPr>
          <w:rFonts w:ascii="Times New Roman" w:eastAsia="Times New Roman" w:hAnsi="Times New Roman" w:cs="Times New Roman"/>
          <w:sz w:val="18"/>
        </w:rPr>
        <w:t xml:space="preserve">Yb; and an exponential formula is used for fractionation correction (Gehrels and Pecha, 2014). Yb and Lu interferences are corrected by measurement of </w:t>
      </w:r>
      <w:r>
        <w:rPr>
          <w:rFonts w:ascii="Times New Roman" w:eastAsia="Times New Roman" w:hAnsi="Times New Roman" w:cs="Times New Roman"/>
          <w:sz w:val="16"/>
          <w:vertAlign w:val="superscript"/>
        </w:rPr>
        <w:footnoteReference w:id="1"/>
      </w:r>
      <w:r>
        <w:rPr>
          <w:rFonts w:ascii="Times New Roman" w:eastAsia="Times New Roman" w:hAnsi="Times New Roman" w:cs="Times New Roman"/>
          <w:sz w:val="18"/>
        </w:rPr>
        <w:t>Yb/</w:t>
      </w:r>
      <w:r>
        <w:rPr>
          <w:rFonts w:ascii="Times New Roman" w:eastAsia="Times New Roman" w:hAnsi="Times New Roman" w:cs="Times New Roman"/>
          <w:sz w:val="16"/>
          <w:vertAlign w:val="superscript"/>
        </w:rPr>
        <w:t>171</w:t>
      </w:r>
      <w:r>
        <w:rPr>
          <w:rFonts w:ascii="Times New Roman" w:eastAsia="Times New Roman" w:hAnsi="Times New Roman" w:cs="Times New Roman"/>
          <w:sz w:val="18"/>
        </w:rPr>
        <w:t xml:space="preserve">Yb and </w:t>
      </w:r>
      <w:r>
        <w:rPr>
          <w:rFonts w:ascii="Times New Roman" w:eastAsia="Times New Roman" w:hAnsi="Times New Roman" w:cs="Times New Roman"/>
          <w:sz w:val="16"/>
          <w:vertAlign w:val="superscript"/>
        </w:rPr>
        <w:t>176</w:t>
      </w:r>
      <w:r>
        <w:rPr>
          <w:rFonts w:ascii="Times New Roman" w:eastAsia="Times New Roman" w:hAnsi="Times New Roman" w:cs="Times New Roman"/>
          <w:sz w:val="18"/>
        </w:rPr>
        <w:t>Lu/</w:t>
      </w:r>
      <w:r>
        <w:rPr>
          <w:rFonts w:ascii="Times New Roman" w:eastAsia="Times New Roman" w:hAnsi="Times New Roman" w:cs="Times New Roman"/>
          <w:sz w:val="16"/>
          <w:vertAlign w:val="superscript"/>
        </w:rPr>
        <w:t>175</w:t>
      </w:r>
      <w:r>
        <w:rPr>
          <w:rFonts w:ascii="Times New Roman" w:eastAsia="Times New Roman" w:hAnsi="Times New Roman" w:cs="Times New Roman"/>
          <w:sz w:val="18"/>
        </w:rPr>
        <w:t xml:space="preserve">Lu, respectively, based on methodology from Woodhead et al. (2004). Critical isotope ratios used in data reduction are </w:t>
      </w:r>
      <w:r>
        <w:rPr>
          <w:rFonts w:ascii="Times New Roman" w:eastAsia="Times New Roman" w:hAnsi="Times New Roman" w:cs="Times New Roman"/>
          <w:sz w:val="16"/>
          <w:vertAlign w:val="superscript"/>
        </w:rPr>
        <w:t>179</w:t>
      </w:r>
      <w:r>
        <w:rPr>
          <w:rFonts w:ascii="Times New Roman" w:eastAsia="Times New Roman" w:hAnsi="Times New Roman" w:cs="Times New Roman"/>
          <w:sz w:val="18"/>
        </w:rPr>
        <w:t>Hf/</w:t>
      </w:r>
      <w:r>
        <w:rPr>
          <w:rFonts w:ascii="Times New Roman" w:eastAsia="Times New Roman" w:hAnsi="Times New Roman" w:cs="Times New Roman"/>
          <w:sz w:val="16"/>
          <w:vertAlign w:val="superscript"/>
        </w:rPr>
        <w:t>177</w:t>
      </w:r>
      <w:r>
        <w:rPr>
          <w:rFonts w:ascii="Times New Roman" w:eastAsia="Times New Roman" w:hAnsi="Times New Roman" w:cs="Times New Roman"/>
          <w:sz w:val="18"/>
        </w:rPr>
        <w:t xml:space="preserve">Hf </w:t>
      </w:r>
    </w:p>
    <w:p w14:paraId="51DF113A" w14:textId="77777777" w:rsidR="00CF37A3" w:rsidRDefault="006C56C7">
      <w:pPr>
        <w:spacing w:after="3" w:line="262" w:lineRule="auto"/>
        <w:ind w:left="15" w:right="24" w:hanging="3"/>
        <w:jc w:val="both"/>
      </w:pPr>
      <w:r>
        <w:rPr>
          <w:rFonts w:ascii="Times New Roman" w:eastAsia="Times New Roman" w:hAnsi="Times New Roman" w:cs="Times New Roman"/>
          <w:sz w:val="18"/>
        </w:rPr>
        <w:t xml:space="preserve">= 0.73250 (Patchett and Tatsumoto, 1980); </w:t>
      </w:r>
      <w:r>
        <w:rPr>
          <w:rFonts w:ascii="Times New Roman" w:eastAsia="Times New Roman" w:hAnsi="Times New Roman" w:cs="Times New Roman"/>
          <w:sz w:val="16"/>
          <w:vertAlign w:val="superscript"/>
        </w:rPr>
        <w:t>173</w:t>
      </w:r>
      <w:r>
        <w:rPr>
          <w:rFonts w:ascii="Times New Roman" w:eastAsia="Times New Roman" w:hAnsi="Times New Roman" w:cs="Times New Roman"/>
          <w:sz w:val="18"/>
        </w:rPr>
        <w:t>Yb/</w:t>
      </w:r>
      <w:r>
        <w:rPr>
          <w:rFonts w:ascii="Times New Roman" w:eastAsia="Times New Roman" w:hAnsi="Times New Roman" w:cs="Times New Roman"/>
          <w:sz w:val="16"/>
          <w:vertAlign w:val="superscript"/>
        </w:rPr>
        <w:t>171</w:t>
      </w:r>
      <w:r>
        <w:rPr>
          <w:rFonts w:ascii="Times New Roman" w:eastAsia="Times New Roman" w:hAnsi="Times New Roman" w:cs="Times New Roman"/>
          <w:sz w:val="18"/>
        </w:rPr>
        <w:t>Yb = 1.132338 (Vervoort et al., 2004); al., 2001; Söderlund et al., 2004)</w:t>
      </w:r>
      <w:r>
        <w:rPr>
          <w:rFonts w:ascii="Times New Roman" w:eastAsia="Times New Roman" w:hAnsi="Times New Roman" w:cs="Times New Roman"/>
          <w:sz w:val="18"/>
        </w:rPr>
        <w:t xml:space="preserve">. For very low Yb signals, </w:t>
      </w:r>
      <w:r>
        <w:rPr>
          <w:rFonts w:ascii="Segoe UI Symbol" w:eastAsia="Segoe UI Symbol" w:hAnsi="Segoe UI Symbol" w:cs="Segoe UI Symbol"/>
          <w:b/>
          <w:sz w:val="18"/>
        </w:rPr>
        <w:t>β</w:t>
      </w:r>
      <w:r>
        <w:rPr>
          <w:rFonts w:ascii="Times New Roman" w:eastAsia="Times New Roman" w:hAnsi="Times New Roman" w:cs="Times New Roman"/>
          <w:sz w:val="18"/>
        </w:rPr>
        <w:t xml:space="preserve">Hf is used for fractionation of Yb isotopes (Gehrels and Pecha, 2014). The corrected </w:t>
      </w:r>
      <w:r>
        <w:rPr>
          <w:rFonts w:ascii="Times New Roman" w:eastAsia="Times New Roman" w:hAnsi="Times New Roman" w:cs="Times New Roman"/>
          <w:sz w:val="16"/>
          <w:vertAlign w:val="superscript"/>
        </w:rPr>
        <w:t>176</w:t>
      </w:r>
      <w:r>
        <w:rPr>
          <w:rFonts w:ascii="Times New Roman" w:eastAsia="Times New Roman" w:hAnsi="Times New Roman" w:cs="Times New Roman"/>
          <w:sz w:val="18"/>
        </w:rPr>
        <w:t>Hf/</w:t>
      </w:r>
      <w:r>
        <w:rPr>
          <w:rFonts w:ascii="Times New Roman" w:eastAsia="Times New Roman" w:hAnsi="Times New Roman" w:cs="Times New Roman"/>
          <w:sz w:val="16"/>
          <w:vertAlign w:val="superscript"/>
        </w:rPr>
        <w:t>177</w:t>
      </w:r>
      <w:r>
        <w:rPr>
          <w:rFonts w:ascii="Times New Roman" w:eastAsia="Times New Roman" w:hAnsi="Times New Roman" w:cs="Times New Roman"/>
          <w:sz w:val="18"/>
        </w:rPr>
        <w:t>Hf values are filtered for outliers (2</w:t>
      </w:r>
      <w:r>
        <w:rPr>
          <w:rFonts w:ascii="Segoe UI Symbol" w:eastAsia="Segoe UI Symbol" w:hAnsi="Segoe UI Symbol" w:cs="Segoe UI Symbol"/>
          <w:b/>
          <w:sz w:val="18"/>
        </w:rPr>
        <w:t>σ</w:t>
      </w:r>
      <w:r>
        <w:rPr>
          <w:rFonts w:ascii="Times New Roman" w:eastAsia="Times New Roman" w:hAnsi="Times New Roman" w:cs="Times New Roman"/>
          <w:sz w:val="18"/>
        </w:rPr>
        <w:t xml:space="preserve"> filter), and the average and standard error are calculated from the resulting ~58 integrations</w:t>
      </w:r>
      <w:r>
        <w:rPr>
          <w:rFonts w:ascii="Times New Roman" w:eastAsia="Times New Roman" w:hAnsi="Times New Roman" w:cs="Times New Roman"/>
          <w:sz w:val="18"/>
        </w:rPr>
        <w:t>.</w:t>
      </w:r>
    </w:p>
    <w:p w14:paraId="75A4CB76" w14:textId="77777777" w:rsidR="00CF37A3" w:rsidRDefault="006C56C7">
      <w:pPr>
        <w:spacing w:after="213" w:line="262" w:lineRule="auto"/>
        <w:ind w:left="12" w:right="24" w:firstLine="236"/>
        <w:jc w:val="both"/>
      </w:pPr>
      <w:r>
        <w:rPr>
          <w:rFonts w:ascii="Times New Roman" w:eastAsia="Times New Roman" w:hAnsi="Times New Roman" w:cs="Times New Roman"/>
          <w:sz w:val="18"/>
        </w:rPr>
        <w:t>Hf data were plotted using the in-house Excel program (see Analysis Tools at www.laserchron .org) that normalizes each curve according to the number of constituent analyses, such that each curve contains the same area, and then stacks the probability curve</w:t>
      </w:r>
      <w:r>
        <w:rPr>
          <w:rFonts w:ascii="Times New Roman" w:eastAsia="Times New Roman" w:hAnsi="Times New Roman" w:cs="Times New Roman"/>
          <w:sz w:val="18"/>
        </w:rPr>
        <w:t>s (Fig. 5) in order to visualize the range of Hf values within various age populations.</w:t>
      </w:r>
    </w:p>
    <w:p w14:paraId="4E1E7590" w14:textId="77777777" w:rsidR="00CF37A3" w:rsidRDefault="006C56C7">
      <w:pPr>
        <w:spacing w:after="214" w:line="263" w:lineRule="auto"/>
        <w:ind w:left="20" w:hanging="10"/>
      </w:pPr>
      <w:r>
        <w:rPr>
          <w:b/>
          <w:sz w:val="17"/>
        </w:rPr>
        <w:t>RESULTS</w:t>
      </w:r>
    </w:p>
    <w:p w14:paraId="0190ED5B" w14:textId="77777777" w:rsidR="00CF37A3" w:rsidRDefault="006C56C7">
      <w:pPr>
        <w:pStyle w:val="1"/>
        <w:ind w:left="20"/>
      </w:pPr>
      <w:r>
        <w:t>U-Pb Age Distributions</w:t>
      </w:r>
    </w:p>
    <w:p w14:paraId="2FEE7FF2" w14:textId="77777777" w:rsidR="00CF37A3" w:rsidRDefault="006C56C7">
      <w:pPr>
        <w:spacing w:after="3" w:line="262" w:lineRule="auto"/>
        <w:ind w:left="12" w:right="24" w:firstLine="236"/>
        <w:jc w:val="both"/>
      </w:pPr>
      <w:r>
        <w:rPr>
          <w:rFonts w:ascii="Times New Roman" w:eastAsia="Times New Roman" w:hAnsi="Times New Roman" w:cs="Times New Roman"/>
          <w:sz w:val="18"/>
        </w:rPr>
        <w:t>The dominant pre-arc (older than 190 Ma) detrital zircon U-Pb populations in the backarc stratigraphy (strata between 190 and 100 Ma) hav</w:t>
      </w:r>
      <w:r>
        <w:rPr>
          <w:rFonts w:ascii="Times New Roman" w:eastAsia="Times New Roman" w:hAnsi="Times New Roman" w:cs="Times New Roman"/>
          <w:sz w:val="18"/>
        </w:rPr>
        <w:t xml:space="preserve">e age peaks between 260 and 250 Ma and 220 ± 11.3 Ma with smaller populations at 313 </w:t>
      </w:r>
      <w:r>
        <w:rPr>
          <w:rFonts w:ascii="Times New Roman" w:eastAsia="Times New Roman" w:hAnsi="Times New Roman" w:cs="Times New Roman"/>
          <w:sz w:val="18"/>
        </w:rPr>
        <w:t>Ma and 283 Ma (Fig. 4). The pre-arc populations in the foreland basin stratigraphy are similar, with notably larger 290 Ma and 310 Ma populations and very few grains ca. 2</w:t>
      </w:r>
      <w:r>
        <w:rPr>
          <w:rFonts w:ascii="Times New Roman" w:eastAsia="Times New Roman" w:hAnsi="Times New Roman" w:cs="Times New Roman"/>
          <w:sz w:val="18"/>
        </w:rPr>
        <w:t>20 Ma (Fig. 4).</w:t>
      </w:r>
    </w:p>
    <w:p w14:paraId="6BAF301E" w14:textId="77777777" w:rsidR="00CF37A3" w:rsidRDefault="006C56C7">
      <w:pPr>
        <w:spacing w:after="213" w:line="262" w:lineRule="auto"/>
        <w:ind w:left="12" w:right="24" w:firstLine="236"/>
        <w:jc w:val="both"/>
      </w:pPr>
      <w:r>
        <w:rPr>
          <w:rFonts w:ascii="Times New Roman" w:eastAsia="Times New Roman" w:hAnsi="Times New Roman" w:cs="Times New Roman"/>
          <w:sz w:val="18"/>
        </w:rPr>
        <w:t xml:space="preserve">The combined probability density plots show </w:t>
      </w:r>
      <w:proofErr w:type="gramStart"/>
      <w:r>
        <w:rPr>
          <w:rFonts w:ascii="Times New Roman" w:eastAsia="Times New Roman" w:hAnsi="Times New Roman" w:cs="Times New Roman"/>
          <w:sz w:val="18"/>
        </w:rPr>
        <w:t>more or less continuous</w:t>
      </w:r>
      <w:proofErr w:type="gramEnd"/>
      <w:r>
        <w:rPr>
          <w:rFonts w:ascii="Times New Roman" w:eastAsia="Times New Roman" w:hAnsi="Times New Roman" w:cs="Times New Roman"/>
          <w:sz w:val="18"/>
        </w:rPr>
        <w:t xml:space="preserve"> volcanism from 190 to 140 Ma, followed by major age populations at 128 ± 7 Ma, 108 ± 8.3 Ma, 67 ± 5 Ma, 52 ± 3.8 Ma, and two closely spaced populations with age-distributio</w:t>
      </w:r>
      <w:r>
        <w:rPr>
          <w:rFonts w:ascii="Times New Roman" w:eastAsia="Times New Roman" w:hAnsi="Times New Roman" w:cs="Times New Roman"/>
          <w:sz w:val="18"/>
        </w:rPr>
        <w:t>n peaks at 16 ± 3.5 and 7 ± 1 Ma (Figs. 4 and 5). During the lifetime of the volcanic arc, the 6 main populations exhibit corresponding relative lulls in volcanic activity ranging in duration from 20 to 40 m.y. (Fig. 5). Volcanic hiatuses during backarc de</w:t>
      </w:r>
      <w:r>
        <w:rPr>
          <w:rFonts w:ascii="Times New Roman" w:eastAsia="Times New Roman" w:hAnsi="Times New Roman" w:cs="Times New Roman"/>
          <w:sz w:val="18"/>
        </w:rPr>
        <w:t>position range between 10 and 20 m.y., whereas lulls are much longer during the retroarc foreland basin deposition, with a 40 m.y. hiatus between 110 Ma and the first high-flux event after initial shortening at 70 Ma, and another 30 m.y. lull between 50 an</w:t>
      </w:r>
      <w:r>
        <w:rPr>
          <w:rFonts w:ascii="Times New Roman" w:eastAsia="Times New Roman" w:hAnsi="Times New Roman" w:cs="Times New Roman"/>
          <w:sz w:val="18"/>
        </w:rPr>
        <w:t>d 20 Ma (Fig. 5). Overall, fewer than 15% of the grains reviewed in this study are older than 500 Ma (see Tables DR1–DR6 for data).</w:t>
      </w:r>
    </w:p>
    <w:p w14:paraId="3AD5E5FF" w14:textId="77777777" w:rsidR="00CF37A3" w:rsidRDefault="006C56C7">
      <w:pPr>
        <w:pStyle w:val="1"/>
        <w:ind w:left="20"/>
      </w:pPr>
      <w:r>
        <w:t>Hf Analysis</w:t>
      </w:r>
    </w:p>
    <w:p w14:paraId="3AE549DE" w14:textId="77777777" w:rsidR="00CF37A3" w:rsidRDefault="006C56C7">
      <w:pPr>
        <w:spacing w:after="3" w:line="262" w:lineRule="auto"/>
        <w:ind w:left="12" w:right="24" w:firstLine="236"/>
        <w:jc w:val="both"/>
      </w:pPr>
      <w:proofErr w:type="gramStart"/>
      <w:r>
        <w:rPr>
          <w:rFonts w:ascii="Times New Roman" w:eastAsia="Times New Roman" w:hAnsi="Times New Roman" w:cs="Times New Roman"/>
          <w:sz w:val="18"/>
        </w:rPr>
        <w:t>Overall</w:t>
      </w:r>
      <w:proofErr w:type="gramEnd"/>
      <w:r>
        <w:rPr>
          <w:rFonts w:ascii="Times New Roman" w:eastAsia="Times New Roman" w:hAnsi="Times New Roman" w:cs="Times New Roman"/>
          <w:sz w:val="18"/>
        </w:rPr>
        <w:t xml:space="preserve"> the Hf isotopic values derived from the detrital zircons out of Neuquén Basin stratigraphy are relativel</w:t>
      </w:r>
      <w:r>
        <w:rPr>
          <w:rFonts w:ascii="Times New Roman" w:eastAsia="Times New Roman" w:hAnsi="Times New Roman" w:cs="Times New Roman"/>
          <w:sz w:val="18"/>
        </w:rPr>
        <w:t>y juvenile in composition with very few (6 of 207) analyses greater than 20 epsilon units away from depleted mantle values.</w:t>
      </w:r>
    </w:p>
    <w:p w14:paraId="094FA883" w14:textId="77777777" w:rsidR="00CF37A3" w:rsidRDefault="006C56C7">
      <w:pPr>
        <w:spacing w:after="3" w:line="262" w:lineRule="auto"/>
        <w:ind w:left="12" w:right="24" w:firstLine="236"/>
        <w:jc w:val="both"/>
      </w:pPr>
      <w:r>
        <w:rPr>
          <w:rFonts w:ascii="Times New Roman" w:eastAsia="Times New Roman" w:hAnsi="Times New Roman" w:cs="Times New Roman"/>
          <w:sz w:val="18"/>
        </w:rPr>
        <w:t>Grains that crystallized in association with the upper Choiyoi igneous complex (250–240 Ma, n = 12) and Neuquén rifting (ca. 239–190</w:t>
      </w:r>
      <w:r>
        <w:rPr>
          <w:rFonts w:ascii="Times New Roman" w:eastAsia="Times New Roman" w:hAnsi="Times New Roman" w:cs="Times New Roman"/>
          <w:sz w:val="18"/>
        </w:rPr>
        <w:t xml:space="preserve"> </w:t>
      </w:r>
    </w:p>
    <w:p w14:paraId="50005B6B" w14:textId="77777777" w:rsidR="00CF37A3" w:rsidRDefault="006C56C7">
      <w:pPr>
        <w:spacing w:after="213" w:line="262" w:lineRule="auto"/>
        <w:ind w:left="12" w:right="24" w:firstLine="46"/>
        <w:jc w:val="both"/>
      </w:pPr>
      <w:r>
        <w:rPr>
          <w:rFonts w:ascii="Times New Roman" w:eastAsia="Times New Roman" w:hAnsi="Times New Roman" w:cs="Times New Roman"/>
          <w:sz w:val="18"/>
        </w:rPr>
        <w:t xml:space="preserve">Ma, n = 56) have Hf values between +5 and −10, relatively evolved compared to most, with an average of 3.5. Grains derived from early arc magmatism (ca. 190–165 Ma) were the most evolved of those studied, with an average </w:t>
      </w:r>
      <w:r>
        <w:rPr>
          <w:rFonts w:ascii="Segoe UI Symbol" w:eastAsia="Segoe UI Symbol" w:hAnsi="Segoe UI Symbol" w:cs="Segoe UI Symbol"/>
          <w:b/>
          <w:sz w:val="18"/>
        </w:rPr>
        <w:t>ε</w:t>
      </w:r>
      <w:r>
        <w:rPr>
          <w:rFonts w:ascii="Times New Roman" w:eastAsia="Times New Roman" w:hAnsi="Times New Roman" w:cs="Times New Roman"/>
          <w:sz w:val="18"/>
        </w:rPr>
        <w:t xml:space="preserve">Hf </w:t>
      </w:r>
      <w:r>
        <w:rPr>
          <w:rFonts w:ascii="Times New Roman" w:eastAsia="Times New Roman" w:hAnsi="Times New Roman" w:cs="Times New Roman"/>
          <w:sz w:val="18"/>
        </w:rPr>
        <w:lastRenderedPageBreak/>
        <w:t xml:space="preserve">value of −3. An abrupt shift </w:t>
      </w:r>
      <w:r>
        <w:rPr>
          <w:rFonts w:ascii="Times New Roman" w:eastAsia="Times New Roman" w:hAnsi="Times New Roman" w:cs="Times New Roman"/>
          <w:sz w:val="18"/>
        </w:rPr>
        <w:t>of +10 epsilon units toward more juvenile values occurred ca. 160 Ma. Between 100 and 68 Ma there was a general transition toward more evolved Hf values with samples plotting between 1.5 and 8 (31 of 33 grains). The youngest grains analyzed are much more j</w:t>
      </w:r>
      <w:r>
        <w:rPr>
          <w:rFonts w:ascii="Times New Roman" w:eastAsia="Times New Roman" w:hAnsi="Times New Roman" w:cs="Times New Roman"/>
          <w:sz w:val="18"/>
        </w:rPr>
        <w:t>uvenile with most grains (95%, 40 of 42) displaying values within 10 epsilon units of the depleted mantle.</w:t>
      </w:r>
    </w:p>
    <w:p w14:paraId="38BFE9B2" w14:textId="77777777" w:rsidR="00CF37A3" w:rsidRDefault="006C56C7">
      <w:pPr>
        <w:spacing w:after="214" w:line="263" w:lineRule="auto"/>
        <w:ind w:left="20" w:hanging="10"/>
      </w:pPr>
      <w:r>
        <w:rPr>
          <w:b/>
          <w:sz w:val="17"/>
        </w:rPr>
        <w:t>SUMMARY AND DISCUSSION</w:t>
      </w:r>
    </w:p>
    <w:p w14:paraId="357512A1" w14:textId="77777777" w:rsidR="00CF37A3" w:rsidRDefault="006C56C7">
      <w:pPr>
        <w:pStyle w:val="1"/>
        <w:ind w:left="20"/>
      </w:pPr>
      <w:r>
        <w:t>Magmatic Evolution Recorded by Zircons from Retroarc Basin Strata</w:t>
      </w:r>
    </w:p>
    <w:p w14:paraId="67587078" w14:textId="77777777" w:rsidR="00CF37A3" w:rsidRDefault="006C56C7">
      <w:pPr>
        <w:spacing w:after="3" w:line="262" w:lineRule="auto"/>
        <w:ind w:left="12" w:right="120" w:firstLine="236"/>
        <w:jc w:val="both"/>
      </w:pPr>
      <w:r>
        <w:rPr>
          <w:rFonts w:ascii="Times New Roman" w:eastAsia="Times New Roman" w:hAnsi="Times New Roman" w:cs="Times New Roman"/>
          <w:sz w:val="18"/>
        </w:rPr>
        <w:t>The new data set presented exhibits three major pulses of ma</w:t>
      </w:r>
      <w:r>
        <w:rPr>
          <w:rFonts w:ascii="Times New Roman" w:eastAsia="Times New Roman" w:hAnsi="Times New Roman" w:cs="Times New Roman"/>
          <w:sz w:val="18"/>
        </w:rPr>
        <w:t>gmatic activity preceding the Jurassic to modern Andean magmatic arc (Fig. 4): (1) Carboniferous grains related to the pre-Andean subduction margin; (2) grains from the Choiyoi igneous complex, 285 Ma and 265– 250 Ma; and (3) 230 and 220 Ma volcanic and pl</w:t>
      </w:r>
      <w:r>
        <w:rPr>
          <w:rFonts w:ascii="Times New Roman" w:eastAsia="Times New Roman" w:hAnsi="Times New Roman" w:cs="Times New Roman"/>
          <w:sz w:val="18"/>
        </w:rPr>
        <w:t xml:space="preserve">utonic signals associated with rifting of the Neuquén Basin (Fig. 4). Zircons derived from the upper Choiyoi igneous complex and Neuquén rift-related zircons have relatively evolved signatures consistent with the assimilation of older continental crust at </w:t>
      </w:r>
      <w:r>
        <w:rPr>
          <w:rFonts w:ascii="Times New Roman" w:eastAsia="Times New Roman" w:hAnsi="Times New Roman" w:cs="Times New Roman"/>
          <w:sz w:val="18"/>
        </w:rPr>
        <w:t xml:space="preserve">that time (Fig. 5). The </w:t>
      </w:r>
      <w:r>
        <w:rPr>
          <w:rFonts w:ascii="Segoe UI Symbol" w:eastAsia="Segoe UI Symbol" w:hAnsi="Segoe UI Symbol" w:cs="Segoe UI Symbol"/>
          <w:b/>
          <w:sz w:val="18"/>
        </w:rPr>
        <w:t>ε</w:t>
      </w:r>
      <w:r>
        <w:rPr>
          <w:rFonts w:ascii="Times New Roman" w:eastAsia="Times New Roman" w:hAnsi="Times New Roman" w:cs="Times New Roman"/>
          <w:sz w:val="18"/>
        </w:rPr>
        <w:t>Hf values increase between 250 and 230 Ma, consistent with addition of juvenile material from continental rifting during initial Neuquén Basin extension (Fig. 5; Franzese et al., 2006; Franzese and Spalletti, 2001). Between the end</w:t>
      </w:r>
      <w:r>
        <w:rPr>
          <w:rFonts w:ascii="Times New Roman" w:eastAsia="Times New Roman" w:hAnsi="Times New Roman" w:cs="Times New Roman"/>
          <w:sz w:val="18"/>
        </w:rPr>
        <w:t xml:space="preserve"> of Neuquén rifting and the initiation of the Jurassic to modern Andean volcanic arc (ca. 190 Ma) the Hf signature became 5–10 epsilon units more evolved, suggesting progressive melting and reworking of older crust during early subduction (e.g., Hildreth a</w:t>
      </w:r>
      <w:r>
        <w:rPr>
          <w:rFonts w:ascii="Times New Roman" w:eastAsia="Times New Roman" w:hAnsi="Times New Roman" w:cs="Times New Roman"/>
          <w:sz w:val="18"/>
        </w:rPr>
        <w:t xml:space="preserve">nd Moorbath 1988). The </w:t>
      </w:r>
      <w:r>
        <w:rPr>
          <w:rFonts w:ascii="Segoe UI Symbol" w:eastAsia="Segoe UI Symbol" w:hAnsi="Segoe UI Symbol" w:cs="Segoe UI Symbol"/>
          <w:b/>
          <w:sz w:val="18"/>
        </w:rPr>
        <w:t>ε</w:t>
      </w:r>
      <w:r>
        <w:rPr>
          <w:rFonts w:ascii="Times New Roman" w:eastAsia="Times New Roman" w:hAnsi="Times New Roman" w:cs="Times New Roman"/>
          <w:sz w:val="18"/>
        </w:rPr>
        <w:t>Hf values increased by 15–20 epsilon units between 160 and 150 Ma. This shift toward more juvenile values coincided with a high-flux magmatic event at 165 Ma (Fig. 5). The high magmatic output and large influence of juvenile materia</w:t>
      </w:r>
      <w:r>
        <w:rPr>
          <w:rFonts w:ascii="Times New Roman" w:eastAsia="Times New Roman" w:hAnsi="Times New Roman" w:cs="Times New Roman"/>
          <w:sz w:val="18"/>
        </w:rPr>
        <w:t>l coincide with extensional tectonism in the volcanic arc (Charrier et al., 2002), which may have also been influenced by a reduction in convergence velocity (Maloney et al., 2013).</w:t>
      </w:r>
    </w:p>
    <w:p w14:paraId="46DF9E75" w14:textId="77777777" w:rsidR="00CF37A3" w:rsidRDefault="006C56C7">
      <w:pPr>
        <w:spacing w:after="3" w:line="262" w:lineRule="auto"/>
        <w:ind w:left="12" w:right="121" w:firstLine="236"/>
        <w:jc w:val="both"/>
      </w:pPr>
      <w:r>
        <w:rPr>
          <w:rFonts w:ascii="Times New Roman" w:eastAsia="Times New Roman" w:hAnsi="Times New Roman" w:cs="Times New Roman"/>
          <w:sz w:val="18"/>
        </w:rPr>
        <w:t>There was a change in the length of hiatuses from 10 to 20 m.y. during bac</w:t>
      </w:r>
      <w:r>
        <w:rPr>
          <w:rFonts w:ascii="Times New Roman" w:eastAsia="Times New Roman" w:hAnsi="Times New Roman" w:cs="Times New Roman"/>
          <w:sz w:val="18"/>
        </w:rPr>
        <w:t>karc deposition (190 to 100 Ma) to 40 m.y. or more during retroarc foreland basin deposition (Fig. 5). The initiation of shortening in the Neuquén Basin corresponds to a lull in volcanic activity between 100 and 70 Ma that correlates with two proposed ridg</w:t>
      </w:r>
      <w:r>
        <w:rPr>
          <w:rFonts w:ascii="Times New Roman" w:eastAsia="Times New Roman" w:hAnsi="Times New Roman" w:cs="Times New Roman"/>
          <w:sz w:val="18"/>
        </w:rPr>
        <w:t xml:space="preserve">e subduction events </w:t>
      </w:r>
      <w:r>
        <w:rPr>
          <w:rFonts w:ascii="Times New Roman" w:eastAsia="Times New Roman" w:hAnsi="Times New Roman" w:cs="Times New Roman"/>
          <w:sz w:val="18"/>
        </w:rPr>
        <w:t>(Maloney et al., 2013), which probably would have caused a prolonged period of flat-slab subduction (Ramos, 2005; Folguera and Ramos, 2011; Spagnuolo et al., 2012; Fennell et al., 2015) and may therefore explain the lack of zircons of t</w:t>
      </w:r>
      <w:r>
        <w:rPr>
          <w:rFonts w:ascii="Times New Roman" w:eastAsia="Times New Roman" w:hAnsi="Times New Roman" w:cs="Times New Roman"/>
          <w:sz w:val="18"/>
        </w:rPr>
        <w:t>his age preserved within the sampled strata. The second and more pronounced hiatus between 50 and 20 Ma does not seem to correlate with the timing of a proposed flat-slab event, which is thought to have occurred ca. 7 Ma based on volcanism 500 km inboard f</w:t>
      </w:r>
      <w:r>
        <w:rPr>
          <w:rFonts w:ascii="Times New Roman" w:eastAsia="Times New Roman" w:hAnsi="Times New Roman" w:cs="Times New Roman"/>
          <w:sz w:val="18"/>
        </w:rPr>
        <w:t xml:space="preserve">rom the subduction zone during the Miocene north of 38°S (Kay et al., 2006). The ca. 50 to 20 Ma time period correlates with low accumulation rates in the retroarc and either neutral (60–40 Ma) to extensional (40–20 Ma) tectonic regimes at these latitudes </w:t>
      </w:r>
      <w:r>
        <w:rPr>
          <w:rFonts w:ascii="Times New Roman" w:eastAsia="Times New Roman" w:hAnsi="Times New Roman" w:cs="Times New Roman"/>
          <w:sz w:val="18"/>
        </w:rPr>
        <w:t>(Horton and Fuentes, 2016). It is possible that the magmatic pulse from 70 to 50 Ma corresponds with the end of flat-slab subduction at these latitudes and was followed by relative quiescence due to low convergence velocities (Maloney et al., 2013) and a p</w:t>
      </w:r>
      <w:r>
        <w:rPr>
          <w:rFonts w:ascii="Times New Roman" w:eastAsia="Times New Roman" w:hAnsi="Times New Roman" w:cs="Times New Roman"/>
          <w:sz w:val="18"/>
        </w:rPr>
        <w:t xml:space="preserve">eriod of magmatic recharge. Along with magmatic recharge processes, a change to a strike-slip boundary for </w:t>
      </w:r>
      <w:proofErr w:type="gramStart"/>
      <w:r>
        <w:rPr>
          <w:rFonts w:ascii="Times New Roman" w:eastAsia="Times New Roman" w:hAnsi="Times New Roman" w:cs="Times New Roman"/>
          <w:sz w:val="18"/>
        </w:rPr>
        <w:t>a period of time</w:t>
      </w:r>
      <w:proofErr w:type="gramEnd"/>
      <w:r>
        <w:rPr>
          <w:rFonts w:ascii="Times New Roman" w:eastAsia="Times New Roman" w:hAnsi="Times New Roman" w:cs="Times New Roman"/>
          <w:sz w:val="18"/>
        </w:rPr>
        <w:t xml:space="preserve"> can also cause a period of no magmatic activity (Ducea et al., 2015); however, there is no strong evidence for strike-slip movement </w:t>
      </w:r>
      <w:r>
        <w:rPr>
          <w:rFonts w:ascii="Times New Roman" w:eastAsia="Times New Roman" w:hAnsi="Times New Roman" w:cs="Times New Roman"/>
          <w:sz w:val="18"/>
        </w:rPr>
        <w:t>at that time.</w:t>
      </w:r>
    </w:p>
    <w:p w14:paraId="0BCED9CE" w14:textId="77777777" w:rsidR="00CF37A3" w:rsidRDefault="006C56C7">
      <w:pPr>
        <w:spacing w:after="213" w:line="262" w:lineRule="auto"/>
        <w:ind w:left="144" w:right="24" w:firstLine="236"/>
        <w:jc w:val="both"/>
      </w:pPr>
      <w:r>
        <w:rPr>
          <w:rFonts w:ascii="Times New Roman" w:eastAsia="Times New Roman" w:hAnsi="Times New Roman" w:cs="Times New Roman"/>
          <w:sz w:val="18"/>
        </w:rPr>
        <w:t>Between 250 Ma and the present, there are three times when Hf values shifted toward more juvenile compositions: 220–230 Ma, ca. 165 Ma, and 20 Ma (Fig. 5); the first two correspond to large-scale extensional events and the third is associated with localize</w:t>
      </w:r>
      <w:r>
        <w:rPr>
          <w:rFonts w:ascii="Times New Roman" w:eastAsia="Times New Roman" w:hAnsi="Times New Roman" w:cs="Times New Roman"/>
          <w:sz w:val="18"/>
        </w:rPr>
        <w:t>d extension in the backarc region. There are two episodes when Hf isotopic values became more evolved, 190 Ma and 110–60 Ma, both of which are associated with compression (Fig. 5).</w:t>
      </w:r>
    </w:p>
    <w:p w14:paraId="19866B83" w14:textId="77777777" w:rsidR="00CF37A3" w:rsidRDefault="006C56C7">
      <w:pPr>
        <w:pStyle w:val="1"/>
        <w:ind w:left="20"/>
      </w:pPr>
      <w:r>
        <w:t>Comparison Between the Central and Southern Andean Arc</w:t>
      </w:r>
    </w:p>
    <w:p w14:paraId="54D7327E" w14:textId="77777777" w:rsidR="00CF37A3" w:rsidRDefault="006C56C7">
      <w:pPr>
        <w:spacing w:after="0"/>
        <w:ind w:left="10" w:right="70" w:hanging="10"/>
        <w:jc w:val="right"/>
      </w:pPr>
      <w:r>
        <w:rPr>
          <w:rFonts w:ascii="Times New Roman" w:eastAsia="Times New Roman" w:hAnsi="Times New Roman" w:cs="Times New Roman"/>
          <w:sz w:val="18"/>
        </w:rPr>
        <w:t xml:space="preserve">The volcanic arc in </w:t>
      </w:r>
      <w:r>
        <w:rPr>
          <w:rFonts w:ascii="Times New Roman" w:eastAsia="Times New Roman" w:hAnsi="Times New Roman" w:cs="Times New Roman"/>
          <w:sz w:val="18"/>
        </w:rPr>
        <w:t xml:space="preserve">the central Andes </w:t>
      </w:r>
    </w:p>
    <w:p w14:paraId="5EB8E490" w14:textId="77777777" w:rsidR="00CF37A3" w:rsidRDefault="006C56C7">
      <w:pPr>
        <w:spacing w:after="3" w:line="262" w:lineRule="auto"/>
        <w:ind w:left="12" w:right="24"/>
        <w:jc w:val="both"/>
      </w:pPr>
      <w:r>
        <w:rPr>
          <w:rFonts w:ascii="Times New Roman" w:eastAsia="Times New Roman" w:hAnsi="Times New Roman" w:cs="Times New Roman"/>
          <w:sz w:val="18"/>
        </w:rPr>
        <w:t>(21°S–26°S) underwent four eastward shifts between 200 Ma and the present (Haschke et al., 2002; Fig. 5). Each step was characterized by a repeating sequence of magmatism for 30–40 m.y. with increasing crust-like (evolved) isotopic value</w:t>
      </w:r>
      <w:r>
        <w:rPr>
          <w:rFonts w:ascii="Times New Roman" w:eastAsia="Times New Roman" w:hAnsi="Times New Roman" w:cs="Times New Roman"/>
          <w:sz w:val="18"/>
        </w:rPr>
        <w:t>s, followed by magmatic quiescence for 5–12 m.y. (Fig. 6; Haschke et al., 2002). Episodes of magmatic quiescence are interpreted to reflect episodes of flat-slab subduction (Haschke et al., 2006) or magmatic recharge events (DeCelles et al., 2015).</w:t>
      </w:r>
    </w:p>
    <w:p w14:paraId="76254B84" w14:textId="77777777" w:rsidR="00CF37A3" w:rsidRDefault="006C56C7">
      <w:pPr>
        <w:spacing w:after="3" w:line="262" w:lineRule="auto"/>
        <w:ind w:left="12" w:right="24" w:firstLine="236"/>
        <w:jc w:val="both"/>
      </w:pPr>
      <w:r>
        <w:rPr>
          <w:rFonts w:ascii="Times New Roman" w:eastAsia="Times New Roman" w:hAnsi="Times New Roman" w:cs="Times New Roman"/>
          <w:sz w:val="18"/>
        </w:rPr>
        <w:t>There w</w:t>
      </w:r>
      <w:r>
        <w:rPr>
          <w:rFonts w:ascii="Times New Roman" w:eastAsia="Times New Roman" w:hAnsi="Times New Roman" w:cs="Times New Roman"/>
          <w:sz w:val="18"/>
        </w:rPr>
        <w:t xml:space="preserve">ere only two main phases of shortening at the latitudes of the Neuquén Basin in the Late Cretaceous and Miocene (Yrigoyen, </w:t>
      </w:r>
    </w:p>
    <w:p w14:paraId="0FCEF3AD" w14:textId="77777777" w:rsidR="00CF37A3" w:rsidRDefault="006C56C7">
      <w:pPr>
        <w:spacing w:after="3" w:line="262" w:lineRule="auto"/>
        <w:ind w:left="12" w:right="24"/>
        <w:jc w:val="both"/>
      </w:pPr>
      <w:r>
        <w:rPr>
          <w:rFonts w:ascii="Times New Roman" w:eastAsia="Times New Roman" w:hAnsi="Times New Roman" w:cs="Times New Roman"/>
          <w:sz w:val="18"/>
        </w:rPr>
        <w:t>1993; Manceda and Figueroa, 1995; Silvestro et al., 2005; Zamora Valcarce et al., 2006; Giambiagi et al., 2005, 2008); they correlat</w:t>
      </w:r>
      <w:r>
        <w:rPr>
          <w:rFonts w:ascii="Times New Roman" w:eastAsia="Times New Roman" w:hAnsi="Times New Roman" w:cs="Times New Roman"/>
          <w:sz w:val="18"/>
        </w:rPr>
        <w:t>e directly with the two main magmatic pulses (ca. 70 and 7 Ma; Figs. 3 and 5) during retroarc foreland basin deposition. Zircons between 70 and 60 Ma record more evolved isotopic values, whereas the younger (20–7 Ma) magmatism preserved a significantly mor</w:t>
      </w:r>
      <w:r>
        <w:rPr>
          <w:rFonts w:ascii="Times New Roman" w:eastAsia="Times New Roman" w:hAnsi="Times New Roman" w:cs="Times New Roman"/>
          <w:sz w:val="18"/>
        </w:rPr>
        <w:t xml:space="preserve">e juvenile isotopic signature (Fig. 6). The latter shift toward more juvenile compositions was caused by variable extension from Oligocene to Pliocene that was broken by only a short phase of compression from 11 to 6 Ma. It is difficult to assess isotopic </w:t>
      </w:r>
      <w:r>
        <w:rPr>
          <w:rFonts w:ascii="Times New Roman" w:eastAsia="Times New Roman" w:hAnsi="Times New Roman" w:cs="Times New Roman"/>
          <w:sz w:val="18"/>
        </w:rPr>
        <w:t xml:space="preserve">variability at these latitudes during initial shortening (95 Ma) because of the lack of zircons of that age within the foreland strata (Figs. 4 and 5); however, the general trend seems to be toward more negative </w:t>
      </w:r>
      <w:r>
        <w:rPr>
          <w:rFonts w:ascii="Segoe UI Symbol" w:eastAsia="Segoe UI Symbol" w:hAnsi="Segoe UI Symbol" w:cs="Segoe UI Symbol"/>
          <w:b/>
          <w:sz w:val="18"/>
        </w:rPr>
        <w:t>ε</w:t>
      </w:r>
      <w:r>
        <w:rPr>
          <w:rFonts w:ascii="Times New Roman" w:eastAsia="Times New Roman" w:hAnsi="Times New Roman" w:cs="Times New Roman"/>
          <w:sz w:val="18"/>
        </w:rPr>
        <w:t>Hf values between 100 and 70 Ma, consistent</w:t>
      </w:r>
      <w:r>
        <w:rPr>
          <w:rFonts w:ascii="Times New Roman" w:eastAsia="Times New Roman" w:hAnsi="Times New Roman" w:cs="Times New Roman"/>
          <w:sz w:val="18"/>
        </w:rPr>
        <w:t xml:space="preserve"> with shortening and underthrusting leading to more evolved isotopic values in the volcanic arc.</w:t>
      </w:r>
    </w:p>
    <w:p w14:paraId="1166FCE8" w14:textId="77777777" w:rsidR="00CF37A3" w:rsidRDefault="006C56C7">
      <w:pPr>
        <w:spacing w:after="0"/>
        <w:ind w:left="10" w:right="70" w:hanging="10"/>
        <w:jc w:val="right"/>
      </w:pPr>
      <w:r>
        <w:rPr>
          <w:rFonts w:ascii="Times New Roman" w:eastAsia="Times New Roman" w:hAnsi="Times New Roman" w:cs="Times New Roman"/>
          <w:sz w:val="18"/>
        </w:rPr>
        <w:t xml:space="preserve">The geochemical evolution of the southern </w:t>
      </w:r>
    </w:p>
    <w:tbl>
      <w:tblPr>
        <w:tblStyle w:val="TableGrid"/>
        <w:tblpPr w:vertAnchor="text" w:horzAnchor="margin" w:tblpY="3806"/>
        <w:tblOverlap w:val="never"/>
        <w:tblW w:w="10634" w:type="dxa"/>
        <w:tblInd w:w="0" w:type="dxa"/>
        <w:tblCellMar>
          <w:top w:w="0" w:type="dxa"/>
          <w:left w:w="141" w:type="dxa"/>
          <w:bottom w:w="0" w:type="dxa"/>
          <w:right w:w="0" w:type="dxa"/>
        </w:tblCellMar>
        <w:tblLook w:val="04A0" w:firstRow="1" w:lastRow="0" w:firstColumn="1" w:lastColumn="0" w:noHBand="0" w:noVBand="1"/>
      </w:tblPr>
      <w:tblGrid>
        <w:gridCol w:w="10634"/>
      </w:tblGrid>
      <w:tr w:rsidR="00CF37A3" w14:paraId="144DCD67" w14:textId="77777777">
        <w:trPr>
          <w:trHeight w:val="3028"/>
        </w:trPr>
        <w:tc>
          <w:tcPr>
            <w:tcW w:w="2443" w:type="dxa"/>
            <w:tcBorders>
              <w:top w:val="nil"/>
              <w:left w:val="nil"/>
              <w:bottom w:val="nil"/>
              <w:right w:val="nil"/>
            </w:tcBorders>
            <w:vAlign w:val="center"/>
          </w:tcPr>
          <w:tbl>
            <w:tblPr>
              <w:tblStyle w:val="TableGrid"/>
              <w:tblpPr w:vertAnchor="text" w:tblpX="141" w:tblpY="-1674"/>
              <w:tblOverlap w:val="never"/>
              <w:tblW w:w="7920" w:type="dxa"/>
              <w:tblInd w:w="0" w:type="dxa"/>
              <w:tblCellMar>
                <w:top w:w="108" w:type="dxa"/>
                <w:left w:w="292" w:type="dxa"/>
                <w:bottom w:w="0" w:type="dxa"/>
                <w:right w:w="115" w:type="dxa"/>
              </w:tblCellMar>
              <w:tblLook w:val="04A0" w:firstRow="1" w:lastRow="0" w:firstColumn="1" w:lastColumn="0" w:noHBand="0" w:noVBand="1"/>
            </w:tblPr>
            <w:tblGrid>
              <w:gridCol w:w="7920"/>
            </w:tblGrid>
            <w:tr w:rsidR="00CF37A3" w14:paraId="3D8C948E" w14:textId="77777777">
              <w:trPr>
                <w:trHeight w:val="4983"/>
              </w:trPr>
              <w:tc>
                <w:tcPr>
                  <w:tcW w:w="7920" w:type="dxa"/>
                  <w:tcBorders>
                    <w:top w:val="single" w:sz="4" w:space="0" w:color="000000"/>
                    <w:left w:val="single" w:sz="4" w:space="0" w:color="000000"/>
                    <w:bottom w:val="single" w:sz="4" w:space="0" w:color="000000"/>
                    <w:right w:val="single" w:sz="4" w:space="0" w:color="000000"/>
                  </w:tcBorders>
                </w:tcPr>
                <w:p w14:paraId="37010794" w14:textId="77777777" w:rsidR="00CF37A3" w:rsidRDefault="006C56C7">
                  <w:pPr>
                    <w:spacing w:after="0"/>
                    <w:ind w:left="56"/>
                  </w:pPr>
                  <w:r>
                    <w:rPr>
                      <w:noProof/>
                    </w:rPr>
                    <w:lastRenderedPageBreak/>
                    <w:drawing>
                      <wp:inline distT="0" distB="0" distL="0" distR="0" wp14:anchorId="44FA3965" wp14:editId="4E78B534">
                        <wp:extent cx="4709160" cy="2880360"/>
                        <wp:effectExtent l="0" t="0" r="0" b="0"/>
                        <wp:docPr id="64214" name="Picture 64214"/>
                        <wp:cNvGraphicFramePr/>
                        <a:graphic xmlns:a="http://schemas.openxmlformats.org/drawingml/2006/main">
                          <a:graphicData uri="http://schemas.openxmlformats.org/drawingml/2006/picture">
                            <pic:pic xmlns:pic="http://schemas.openxmlformats.org/drawingml/2006/picture">
                              <pic:nvPicPr>
                                <pic:cNvPr id="64214" name="Picture 64214"/>
                                <pic:cNvPicPr/>
                              </pic:nvPicPr>
                              <pic:blipFill>
                                <a:blip r:embed="rId20"/>
                                <a:stretch>
                                  <a:fillRect/>
                                </a:stretch>
                              </pic:blipFill>
                              <pic:spPr>
                                <a:xfrm>
                                  <a:off x="0" y="0"/>
                                  <a:ext cx="4709160" cy="2880360"/>
                                </a:xfrm>
                                <a:prstGeom prst="rect">
                                  <a:avLst/>
                                </a:prstGeom>
                              </pic:spPr>
                            </pic:pic>
                          </a:graphicData>
                        </a:graphic>
                      </wp:inline>
                    </w:drawing>
                  </w:r>
                </w:p>
              </w:tc>
            </w:tr>
            <w:tr w:rsidR="00CF37A3" w14:paraId="444A3BD6" w14:textId="77777777">
              <w:trPr>
                <w:trHeight w:val="1401"/>
              </w:trPr>
              <w:tc>
                <w:tcPr>
                  <w:tcW w:w="7920" w:type="dxa"/>
                  <w:tcBorders>
                    <w:top w:val="single" w:sz="4" w:space="0" w:color="000000"/>
                    <w:left w:val="single" w:sz="4" w:space="0" w:color="000000"/>
                    <w:bottom w:val="single" w:sz="5" w:space="0" w:color="000000"/>
                    <w:right w:val="single" w:sz="4" w:space="0" w:color="000000"/>
                  </w:tcBorders>
                  <w:vAlign w:val="center"/>
                </w:tcPr>
                <w:p w14:paraId="552BD29E" w14:textId="77777777" w:rsidR="00CF37A3" w:rsidRDefault="006C56C7">
                  <w:pPr>
                    <w:spacing w:after="264" w:line="269" w:lineRule="auto"/>
                    <w:ind w:left="245" w:hanging="53"/>
                  </w:pPr>
                  <w:r>
                    <w:rPr>
                      <w:noProof/>
                    </w:rPr>
                    <mc:AlternateContent>
                      <mc:Choice Requires="wpg">
                        <w:drawing>
                          <wp:anchor distT="0" distB="0" distL="114300" distR="114300" simplePos="0" relativeHeight="251663360" behindDoc="0" locked="0" layoutInCell="1" allowOverlap="1" wp14:anchorId="07CC59BF" wp14:editId="459B9D4C">
                            <wp:simplePos x="0" y="0"/>
                            <wp:positionH relativeFrom="column">
                              <wp:posOffset>3555708</wp:posOffset>
                            </wp:positionH>
                            <wp:positionV relativeFrom="paragraph">
                              <wp:posOffset>7055</wp:posOffset>
                            </wp:positionV>
                            <wp:extent cx="114211" cy="738454"/>
                            <wp:effectExtent l="0" t="0" r="0" b="0"/>
                            <wp:wrapSquare wrapText="bothSides"/>
                            <wp:docPr id="63156" name="Group 63156"/>
                            <wp:cNvGraphicFramePr/>
                            <a:graphic xmlns:a="http://schemas.openxmlformats.org/drawingml/2006/main">
                              <a:graphicData uri="http://schemas.microsoft.com/office/word/2010/wordprocessingGroup">
                                <wpg:wgp>
                                  <wpg:cNvGrpSpPr/>
                                  <wpg:grpSpPr>
                                    <a:xfrm>
                                      <a:off x="0" y="0"/>
                                      <a:ext cx="114211" cy="738454"/>
                                      <a:chOff x="0" y="0"/>
                                      <a:chExt cx="114211" cy="738454"/>
                                    </a:xfrm>
                                  </wpg:grpSpPr>
                                  <wps:wsp>
                                    <wps:cNvPr id="64771" name="Shape 64771"/>
                                    <wps:cNvSpPr/>
                                    <wps:spPr>
                                      <a:xfrm>
                                        <a:off x="55436" y="655955"/>
                                        <a:ext cx="16497" cy="82500"/>
                                      </a:xfrm>
                                      <a:custGeom>
                                        <a:avLst/>
                                        <a:gdLst/>
                                        <a:ahLst/>
                                        <a:cxnLst/>
                                        <a:rect l="0" t="0" r="0" b="0"/>
                                        <a:pathLst>
                                          <a:path w="16497" h="82500">
                                            <a:moveTo>
                                              <a:pt x="0" y="0"/>
                                            </a:moveTo>
                                            <a:lnTo>
                                              <a:pt x="16497" y="0"/>
                                            </a:lnTo>
                                            <a:lnTo>
                                              <a:pt x="16497" y="82500"/>
                                            </a:lnTo>
                                            <a:lnTo>
                                              <a:pt x="0" y="82500"/>
                                            </a:lnTo>
                                            <a:lnTo>
                                              <a:pt x="0" y="0"/>
                                            </a:lnTo>
                                          </a:path>
                                        </a:pathLst>
                                      </a:custGeom>
                                      <a:ln w="0" cap="flat">
                                        <a:miter lim="100000"/>
                                      </a:ln>
                                    </wps:spPr>
                                    <wps:style>
                                      <a:lnRef idx="0">
                                        <a:srgbClr val="000000">
                                          <a:alpha val="0"/>
                                        </a:srgbClr>
                                      </a:lnRef>
                                      <a:fillRef idx="1">
                                        <a:srgbClr val="4EA391"/>
                                      </a:fillRef>
                                      <a:effectRef idx="0">
                                        <a:scrgbClr r="0" g="0" b="0"/>
                                      </a:effectRef>
                                      <a:fontRef idx="none"/>
                                    </wps:style>
                                    <wps:bodyPr/>
                                  </wps:wsp>
                                  <wps:wsp>
                                    <wps:cNvPr id="64772" name="Shape 64772"/>
                                    <wps:cNvSpPr/>
                                    <wps:spPr>
                                      <a:xfrm>
                                        <a:off x="55436" y="556958"/>
                                        <a:ext cx="16497" cy="82499"/>
                                      </a:xfrm>
                                      <a:custGeom>
                                        <a:avLst/>
                                        <a:gdLst/>
                                        <a:ahLst/>
                                        <a:cxnLst/>
                                        <a:rect l="0" t="0" r="0" b="0"/>
                                        <a:pathLst>
                                          <a:path w="16497" h="82499">
                                            <a:moveTo>
                                              <a:pt x="0" y="0"/>
                                            </a:moveTo>
                                            <a:lnTo>
                                              <a:pt x="16497" y="0"/>
                                            </a:lnTo>
                                            <a:lnTo>
                                              <a:pt x="16497" y="82499"/>
                                            </a:lnTo>
                                            <a:lnTo>
                                              <a:pt x="0" y="82499"/>
                                            </a:lnTo>
                                            <a:lnTo>
                                              <a:pt x="0" y="0"/>
                                            </a:lnTo>
                                          </a:path>
                                        </a:pathLst>
                                      </a:custGeom>
                                      <a:ln w="0" cap="flat">
                                        <a:miter lim="100000"/>
                                      </a:ln>
                                    </wps:spPr>
                                    <wps:style>
                                      <a:lnRef idx="0">
                                        <a:srgbClr val="000000">
                                          <a:alpha val="0"/>
                                        </a:srgbClr>
                                      </a:lnRef>
                                      <a:fillRef idx="1">
                                        <a:srgbClr val="4EA391"/>
                                      </a:fillRef>
                                      <a:effectRef idx="0">
                                        <a:scrgbClr r="0" g="0" b="0"/>
                                      </a:effectRef>
                                      <a:fontRef idx="none"/>
                                    </wps:style>
                                    <wps:bodyPr/>
                                  </wps:wsp>
                                  <wps:wsp>
                                    <wps:cNvPr id="10226" name="Shape 10226"/>
                                    <wps:cNvSpPr/>
                                    <wps:spPr>
                                      <a:xfrm>
                                        <a:off x="13195" y="377189"/>
                                        <a:ext cx="101016" cy="163259"/>
                                      </a:xfrm>
                                      <a:custGeom>
                                        <a:avLst/>
                                        <a:gdLst/>
                                        <a:ahLst/>
                                        <a:cxnLst/>
                                        <a:rect l="0" t="0" r="0" b="0"/>
                                        <a:pathLst>
                                          <a:path w="101016" h="163259">
                                            <a:moveTo>
                                              <a:pt x="50483" y="0"/>
                                            </a:moveTo>
                                            <a:lnTo>
                                              <a:pt x="101016" y="101003"/>
                                            </a:lnTo>
                                            <a:lnTo>
                                              <a:pt x="58738" y="101003"/>
                                            </a:lnTo>
                                            <a:lnTo>
                                              <a:pt x="58738" y="163259"/>
                                            </a:lnTo>
                                            <a:lnTo>
                                              <a:pt x="42240" y="163259"/>
                                            </a:lnTo>
                                            <a:lnTo>
                                              <a:pt x="42240" y="101003"/>
                                            </a:lnTo>
                                            <a:lnTo>
                                              <a:pt x="0" y="101003"/>
                                            </a:lnTo>
                                            <a:lnTo>
                                              <a:pt x="50483" y="0"/>
                                            </a:lnTo>
                                            <a:close/>
                                          </a:path>
                                        </a:pathLst>
                                      </a:custGeom>
                                      <a:ln w="0" cap="flat">
                                        <a:miter lim="100000"/>
                                      </a:ln>
                                    </wps:spPr>
                                    <wps:style>
                                      <a:lnRef idx="0">
                                        <a:srgbClr val="000000">
                                          <a:alpha val="0"/>
                                        </a:srgbClr>
                                      </a:lnRef>
                                      <a:fillRef idx="1">
                                        <a:srgbClr val="4EA391"/>
                                      </a:fillRef>
                                      <a:effectRef idx="0">
                                        <a:scrgbClr r="0" g="0" b="0"/>
                                      </a:effectRef>
                                      <a:fontRef idx="none"/>
                                    </wps:style>
                                    <wps:bodyPr/>
                                  </wps:wsp>
                                  <wps:wsp>
                                    <wps:cNvPr id="64773" name="Shape 64773"/>
                                    <wps:cNvSpPr/>
                                    <wps:spPr>
                                      <a:xfrm>
                                        <a:off x="0" y="0"/>
                                        <a:ext cx="114021" cy="277444"/>
                                      </a:xfrm>
                                      <a:custGeom>
                                        <a:avLst/>
                                        <a:gdLst/>
                                        <a:ahLst/>
                                        <a:cxnLst/>
                                        <a:rect l="0" t="0" r="0" b="0"/>
                                        <a:pathLst>
                                          <a:path w="114021" h="277444">
                                            <a:moveTo>
                                              <a:pt x="0" y="0"/>
                                            </a:moveTo>
                                            <a:lnTo>
                                              <a:pt x="114021" y="0"/>
                                            </a:lnTo>
                                            <a:lnTo>
                                              <a:pt x="114021" y="277444"/>
                                            </a:lnTo>
                                            <a:lnTo>
                                              <a:pt x="0" y="277444"/>
                                            </a:lnTo>
                                            <a:lnTo>
                                              <a:pt x="0" y="0"/>
                                            </a:lnTo>
                                          </a:path>
                                        </a:pathLst>
                                      </a:custGeom>
                                      <a:ln w="16497" cap="flat">
                                        <a:custDash>
                                          <a:ds d="649900" sp="130200"/>
                                        </a:custDash>
                                        <a:miter lim="100000"/>
                                      </a:ln>
                                    </wps:spPr>
                                    <wps:style>
                                      <a:lnRef idx="1">
                                        <a:srgbClr val="000000"/>
                                      </a:lnRef>
                                      <a:fillRef idx="1">
                                        <a:srgbClr val="4EA391"/>
                                      </a:fillRef>
                                      <a:effectRef idx="0">
                                        <a:scrgbClr r="0" g="0" b="0"/>
                                      </a:effectRef>
                                      <a:fontRef idx="none"/>
                                    </wps:style>
                                    <wps:bodyPr/>
                                  </wps:wsp>
                                </wpg:wgp>
                              </a:graphicData>
                            </a:graphic>
                          </wp:anchor>
                        </w:drawing>
                      </mc:Choice>
                      <mc:Fallback xmlns:a="http://schemas.openxmlformats.org/drawingml/2006/main">
                        <w:pict>
                          <v:group id="Group 63156" style="width:8.99301pt;height:58.146pt;position:absolute;mso-position-horizontal-relative:text;mso-position-horizontal:absolute;margin-left:279.977pt;mso-position-vertical-relative:text;margin-top:0.555481pt;" coordsize="1142,7384">
                            <v:shape id="Shape 64774" style="position:absolute;width:164;height:825;left:554;top:6559;" coordsize="16497,82500" path="m0,0l16497,0l16497,82500l0,82500l0,0">
                              <v:stroke weight="0pt" endcap="flat" joinstyle="miter" miterlimit="2" on="false" color="#000000" opacity="0"/>
                              <v:fill on="true" color="#4ea391"/>
                            </v:shape>
                            <v:shape id="Shape 64775" style="position:absolute;width:164;height:824;left:554;top:5569;" coordsize="16497,82499" path="m0,0l16497,0l16497,82499l0,82499l0,0">
                              <v:stroke weight="0pt" endcap="flat" joinstyle="miter" miterlimit="2" on="false" color="#000000" opacity="0"/>
                              <v:fill on="true" color="#4ea391"/>
                            </v:shape>
                            <v:shape id="Shape 10226" style="position:absolute;width:1010;height:1632;left:131;top:3771;" coordsize="101016,163259" path="m50483,0l101016,101003l58738,101003l58738,163259l42240,163259l42240,101003l0,101003l50483,0x">
                              <v:stroke weight="0pt" endcap="flat" joinstyle="miter" miterlimit="2" on="false" color="#000000" opacity="0"/>
                              <v:fill on="true" color="#4ea391"/>
                            </v:shape>
                            <v:shape id="Shape 64776" style="position:absolute;width:1140;height:2774;left:0;top:0;" coordsize="114021,277444" path="m0,0l114021,0l114021,277444l0,277444l0,0">
                              <v:stroke weight="1.299pt" endcap="flat" dashstyle="5.00308 1.00231" joinstyle="miter" miterlimit="2" on="true" color="#000000"/>
                              <v:fill on="true" color="#4ea391"/>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7DEE4D30" wp14:editId="3A142FCF">
                            <wp:simplePos x="0" y="0"/>
                            <wp:positionH relativeFrom="column">
                              <wp:posOffset>307160</wp:posOffset>
                            </wp:positionH>
                            <wp:positionV relativeFrom="paragraph">
                              <wp:posOffset>7055</wp:posOffset>
                            </wp:positionV>
                            <wp:extent cx="147701" cy="738619"/>
                            <wp:effectExtent l="0" t="0" r="0" b="0"/>
                            <wp:wrapSquare wrapText="bothSides"/>
                            <wp:docPr id="63157" name="Group 63157"/>
                            <wp:cNvGraphicFramePr/>
                            <a:graphic xmlns:a="http://schemas.openxmlformats.org/drawingml/2006/main">
                              <a:graphicData uri="http://schemas.microsoft.com/office/word/2010/wordprocessingGroup">
                                <wpg:wgp>
                                  <wpg:cNvGrpSpPr/>
                                  <wpg:grpSpPr>
                                    <a:xfrm>
                                      <a:off x="0" y="0"/>
                                      <a:ext cx="147701" cy="738619"/>
                                      <a:chOff x="0" y="0"/>
                                      <a:chExt cx="147701" cy="738619"/>
                                    </a:xfrm>
                                  </wpg:grpSpPr>
                                  <wps:wsp>
                                    <wps:cNvPr id="64777" name="Shape 64777"/>
                                    <wps:cNvSpPr/>
                                    <wps:spPr>
                                      <a:xfrm>
                                        <a:off x="14836" y="0"/>
                                        <a:ext cx="114033" cy="277444"/>
                                      </a:xfrm>
                                      <a:custGeom>
                                        <a:avLst/>
                                        <a:gdLst/>
                                        <a:ahLst/>
                                        <a:cxnLst/>
                                        <a:rect l="0" t="0" r="0" b="0"/>
                                        <a:pathLst>
                                          <a:path w="114033" h="277444">
                                            <a:moveTo>
                                              <a:pt x="0" y="0"/>
                                            </a:moveTo>
                                            <a:lnTo>
                                              <a:pt x="114033" y="0"/>
                                            </a:lnTo>
                                            <a:lnTo>
                                              <a:pt x="114033" y="277444"/>
                                            </a:lnTo>
                                            <a:lnTo>
                                              <a:pt x="0" y="277444"/>
                                            </a:lnTo>
                                            <a:lnTo>
                                              <a:pt x="0" y="0"/>
                                            </a:lnTo>
                                          </a:path>
                                        </a:pathLst>
                                      </a:custGeom>
                                      <a:ln w="16497" cap="flat">
                                        <a:miter lim="100000"/>
                                      </a:ln>
                                    </wps:spPr>
                                    <wps:style>
                                      <a:lnRef idx="1">
                                        <a:srgbClr val="000000"/>
                                      </a:lnRef>
                                      <a:fillRef idx="1">
                                        <a:srgbClr val="FBDFEB"/>
                                      </a:fillRef>
                                      <a:effectRef idx="0">
                                        <a:scrgbClr r="0" g="0" b="0"/>
                                      </a:effectRef>
                                      <a:fontRef idx="none"/>
                                    </wps:style>
                                    <wps:bodyPr/>
                                  </wps:wsp>
                                  <wps:wsp>
                                    <wps:cNvPr id="10237" name="Shape 10237"/>
                                    <wps:cNvSpPr/>
                                    <wps:spPr>
                                      <a:xfrm>
                                        <a:off x="0" y="377025"/>
                                        <a:ext cx="147701" cy="361594"/>
                                      </a:xfrm>
                                      <a:custGeom>
                                        <a:avLst/>
                                        <a:gdLst/>
                                        <a:ahLst/>
                                        <a:cxnLst/>
                                        <a:rect l="0" t="0" r="0" b="0"/>
                                        <a:pathLst>
                                          <a:path w="147701" h="361594">
                                            <a:moveTo>
                                              <a:pt x="73850" y="0"/>
                                            </a:moveTo>
                                            <a:cubicBezTo>
                                              <a:pt x="114630" y="0"/>
                                              <a:pt x="147701" y="80950"/>
                                              <a:pt x="147701" y="180797"/>
                                            </a:cubicBezTo>
                                            <a:cubicBezTo>
                                              <a:pt x="147701" y="280657"/>
                                              <a:pt x="114630" y="361594"/>
                                              <a:pt x="73850" y="361594"/>
                                            </a:cubicBezTo>
                                            <a:cubicBezTo>
                                              <a:pt x="33071" y="361594"/>
                                              <a:pt x="0" y="280657"/>
                                              <a:pt x="0" y="180797"/>
                                            </a:cubicBezTo>
                                            <a:cubicBezTo>
                                              <a:pt x="0" y="80950"/>
                                              <a:pt x="33071" y="0"/>
                                              <a:pt x="73850" y="0"/>
                                            </a:cubicBezTo>
                                            <a:close/>
                                          </a:path>
                                        </a:pathLst>
                                      </a:custGeom>
                                      <a:ln w="0" cap="flat">
                                        <a:miter lim="127000"/>
                                      </a:ln>
                                    </wps:spPr>
                                    <wps:style>
                                      <a:lnRef idx="0">
                                        <a:srgbClr val="000000">
                                          <a:alpha val="0"/>
                                        </a:srgbClr>
                                      </a:lnRef>
                                      <a:fillRef idx="1">
                                        <a:srgbClr val="FAD5E5"/>
                                      </a:fillRef>
                                      <a:effectRef idx="0">
                                        <a:scrgbClr r="0" g="0" b="0"/>
                                      </a:effectRef>
                                      <a:fontRef idx="none"/>
                                    </wps:style>
                                    <wps:bodyPr/>
                                  </wps:wsp>
                                  <wps:wsp>
                                    <wps:cNvPr id="10238" name="Shape 10238"/>
                                    <wps:cNvSpPr/>
                                    <wps:spPr>
                                      <a:xfrm>
                                        <a:off x="24717" y="371666"/>
                                        <a:ext cx="98285" cy="366954"/>
                                      </a:xfrm>
                                      <a:custGeom>
                                        <a:avLst/>
                                        <a:gdLst/>
                                        <a:ahLst/>
                                        <a:cxnLst/>
                                        <a:rect l="0" t="0" r="0" b="0"/>
                                        <a:pathLst>
                                          <a:path w="98285" h="366954">
                                            <a:moveTo>
                                              <a:pt x="49124" y="0"/>
                                            </a:moveTo>
                                            <a:lnTo>
                                              <a:pt x="56045" y="10668"/>
                                            </a:lnTo>
                                            <a:lnTo>
                                              <a:pt x="98285" y="75781"/>
                                            </a:lnTo>
                                            <a:lnTo>
                                              <a:pt x="91364" y="80263"/>
                                            </a:lnTo>
                                            <a:lnTo>
                                              <a:pt x="84442" y="84759"/>
                                            </a:lnTo>
                                            <a:lnTo>
                                              <a:pt x="57379" y="43041"/>
                                            </a:lnTo>
                                            <a:lnTo>
                                              <a:pt x="57379" y="366954"/>
                                            </a:lnTo>
                                            <a:lnTo>
                                              <a:pt x="40881" y="366954"/>
                                            </a:lnTo>
                                            <a:lnTo>
                                              <a:pt x="40881" y="43056"/>
                                            </a:lnTo>
                                            <a:lnTo>
                                              <a:pt x="13843" y="84759"/>
                                            </a:lnTo>
                                            <a:lnTo>
                                              <a:pt x="0" y="75781"/>
                                            </a:lnTo>
                                            <a:lnTo>
                                              <a:pt x="42202" y="10668"/>
                                            </a:lnTo>
                                            <a:lnTo>
                                              <a:pt x="49124" y="0"/>
                                            </a:lnTo>
                                            <a:close/>
                                          </a:path>
                                        </a:pathLst>
                                      </a:custGeom>
                                      <a:ln w="0" cap="flat">
                                        <a:miter lim="127000"/>
                                      </a:ln>
                                    </wps:spPr>
                                    <wps:style>
                                      <a:lnRef idx="0">
                                        <a:srgbClr val="000000">
                                          <a:alpha val="0"/>
                                        </a:srgbClr>
                                      </a:lnRef>
                                      <a:fillRef idx="1">
                                        <a:srgbClr val="A54686"/>
                                      </a:fillRef>
                                      <a:effectRef idx="0">
                                        <a:scrgbClr r="0" g="0" b="0"/>
                                      </a:effectRef>
                                      <a:fontRef idx="none"/>
                                    </wps:style>
                                    <wps:bodyPr/>
                                  </wps:wsp>
                                </wpg:wgp>
                              </a:graphicData>
                            </a:graphic>
                          </wp:anchor>
                        </w:drawing>
                      </mc:Choice>
                      <mc:Fallback xmlns:a="http://schemas.openxmlformats.org/drawingml/2006/main">
                        <w:pict>
                          <v:group id="Group 63157" style="width:11.63pt;height:58.159pt;position:absolute;mso-position-horizontal-relative:text;mso-position-horizontal:absolute;margin-left:24.1858pt;mso-position-vertical-relative:text;margin-top:0.555481pt;" coordsize="1477,7386">
                            <v:shape id="Shape 64778" style="position:absolute;width:1140;height:2774;left:148;top:0;" coordsize="114033,277444" path="m0,0l114033,0l114033,277444l0,277444l0,0">
                              <v:stroke weight="1.299pt" endcap="flat" joinstyle="miter" miterlimit="2" on="true" color="#000000"/>
                              <v:fill on="true" color="#fbdfeb"/>
                            </v:shape>
                            <v:shape id="Shape 10237" style="position:absolute;width:1477;height:3615;left:0;top:3770;" coordsize="147701,361594" path="m73850,0c114630,0,147701,80950,147701,180797c147701,280657,114630,361594,73850,361594c33071,361594,0,280657,0,180797c0,80950,33071,0,73850,0x">
                              <v:stroke weight="0pt" endcap="flat" joinstyle="miter" miterlimit="10" on="false" color="#000000" opacity="0"/>
                              <v:fill on="true" color="#fad5e5"/>
                            </v:shape>
                            <v:shape id="Shape 10238" style="position:absolute;width:982;height:3669;left:247;top:3716;" coordsize="98285,366954" path="m49124,0l56045,10668l98285,75781l91364,80263l84442,84759l57379,43041l57379,366954l40881,366954l40881,43056l13843,84759l0,75781l42202,10668l49124,0x">
                              <v:stroke weight="0pt" endcap="flat" joinstyle="miter" miterlimit="10" on="false" color="#000000" opacity="0"/>
                              <v:fill on="true" color="#a54686"/>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337AFE54" wp14:editId="107BA619">
                            <wp:simplePos x="0" y="0"/>
                            <wp:positionH relativeFrom="column">
                              <wp:posOffset>1955152</wp:posOffset>
                            </wp:positionH>
                            <wp:positionV relativeFrom="paragraph">
                              <wp:posOffset>7232</wp:posOffset>
                            </wp:positionV>
                            <wp:extent cx="147688" cy="738442"/>
                            <wp:effectExtent l="0" t="0" r="0" b="0"/>
                            <wp:wrapSquare wrapText="bothSides"/>
                            <wp:docPr id="63159" name="Group 63159"/>
                            <wp:cNvGraphicFramePr/>
                            <a:graphic xmlns:a="http://schemas.openxmlformats.org/drawingml/2006/main">
                              <a:graphicData uri="http://schemas.microsoft.com/office/word/2010/wordprocessingGroup">
                                <wpg:wgp>
                                  <wpg:cNvGrpSpPr/>
                                  <wpg:grpSpPr>
                                    <a:xfrm>
                                      <a:off x="0" y="0"/>
                                      <a:ext cx="147688" cy="738442"/>
                                      <a:chOff x="0" y="0"/>
                                      <a:chExt cx="147688" cy="738442"/>
                                    </a:xfrm>
                                  </wpg:grpSpPr>
                                  <wps:wsp>
                                    <wps:cNvPr id="64779" name="Shape 64779"/>
                                    <wps:cNvSpPr/>
                                    <wps:spPr>
                                      <a:xfrm>
                                        <a:off x="1080" y="0"/>
                                        <a:ext cx="119215" cy="277102"/>
                                      </a:xfrm>
                                      <a:custGeom>
                                        <a:avLst/>
                                        <a:gdLst/>
                                        <a:ahLst/>
                                        <a:cxnLst/>
                                        <a:rect l="0" t="0" r="0" b="0"/>
                                        <a:pathLst>
                                          <a:path w="119215" h="277102">
                                            <a:moveTo>
                                              <a:pt x="0" y="0"/>
                                            </a:moveTo>
                                            <a:lnTo>
                                              <a:pt x="119215" y="0"/>
                                            </a:lnTo>
                                            <a:lnTo>
                                              <a:pt x="119215" y="277102"/>
                                            </a:lnTo>
                                            <a:lnTo>
                                              <a:pt x="0" y="277102"/>
                                            </a:lnTo>
                                            <a:lnTo>
                                              <a:pt x="0" y="0"/>
                                            </a:lnTo>
                                          </a:path>
                                        </a:pathLst>
                                      </a:custGeom>
                                      <a:ln w="16497" cap="flat">
                                        <a:miter lim="100000"/>
                                      </a:ln>
                                    </wps:spPr>
                                    <wps:style>
                                      <a:lnRef idx="1">
                                        <a:srgbClr val="000000"/>
                                      </a:lnRef>
                                      <a:fillRef idx="1">
                                        <a:srgbClr val="C6EAFB"/>
                                      </a:fillRef>
                                      <a:effectRef idx="0">
                                        <a:scrgbClr r="0" g="0" b="0"/>
                                      </a:effectRef>
                                      <a:fontRef idx="none"/>
                                    </wps:style>
                                    <wps:bodyPr/>
                                  </wps:wsp>
                                  <wps:wsp>
                                    <wps:cNvPr id="10253" name="Shape 10253"/>
                                    <wps:cNvSpPr/>
                                    <wps:spPr>
                                      <a:xfrm>
                                        <a:off x="800" y="0"/>
                                        <a:ext cx="17831" cy="23330"/>
                                      </a:xfrm>
                                      <a:custGeom>
                                        <a:avLst/>
                                        <a:gdLst/>
                                        <a:ahLst/>
                                        <a:cxnLst/>
                                        <a:rect l="0" t="0" r="0" b="0"/>
                                        <a:pathLst>
                                          <a:path w="17831" h="23330">
                                            <a:moveTo>
                                              <a:pt x="0" y="23330"/>
                                            </a:moveTo>
                                            <a:lnTo>
                                              <a:pt x="17831" y="0"/>
                                            </a:lnTo>
                                          </a:path>
                                        </a:pathLst>
                                      </a:custGeom>
                                      <a:ln w="5817" cap="flat">
                                        <a:miter lim="100000"/>
                                      </a:ln>
                                    </wps:spPr>
                                    <wps:style>
                                      <a:lnRef idx="1">
                                        <a:srgbClr val="000000"/>
                                      </a:lnRef>
                                      <a:fillRef idx="0">
                                        <a:srgbClr val="000000">
                                          <a:alpha val="0"/>
                                        </a:srgbClr>
                                      </a:fillRef>
                                      <a:effectRef idx="0">
                                        <a:scrgbClr r="0" g="0" b="0"/>
                                      </a:effectRef>
                                      <a:fontRef idx="none"/>
                                    </wps:style>
                                    <wps:bodyPr/>
                                  </wps:wsp>
                                  <wps:wsp>
                                    <wps:cNvPr id="10254" name="Shape 10254"/>
                                    <wps:cNvSpPr/>
                                    <wps:spPr>
                                      <a:xfrm>
                                        <a:off x="0" y="0"/>
                                        <a:ext cx="90157" cy="118008"/>
                                      </a:xfrm>
                                      <a:custGeom>
                                        <a:avLst/>
                                        <a:gdLst/>
                                        <a:ahLst/>
                                        <a:cxnLst/>
                                        <a:rect l="0" t="0" r="0" b="0"/>
                                        <a:pathLst>
                                          <a:path w="90157" h="118008">
                                            <a:moveTo>
                                              <a:pt x="0" y="118008"/>
                                            </a:moveTo>
                                            <a:lnTo>
                                              <a:pt x="90157" y="0"/>
                                            </a:lnTo>
                                          </a:path>
                                        </a:pathLst>
                                      </a:custGeom>
                                      <a:ln w="5817" cap="flat">
                                        <a:miter lim="100000"/>
                                      </a:ln>
                                    </wps:spPr>
                                    <wps:style>
                                      <a:lnRef idx="1">
                                        <a:srgbClr val="000000"/>
                                      </a:lnRef>
                                      <a:fillRef idx="0">
                                        <a:srgbClr val="000000">
                                          <a:alpha val="0"/>
                                        </a:srgbClr>
                                      </a:fillRef>
                                      <a:effectRef idx="0">
                                        <a:scrgbClr r="0" g="0" b="0"/>
                                      </a:effectRef>
                                      <a:fontRef idx="none"/>
                                    </wps:style>
                                    <wps:bodyPr/>
                                  </wps:wsp>
                                  <wps:wsp>
                                    <wps:cNvPr id="10255" name="Shape 10255"/>
                                    <wps:cNvSpPr/>
                                    <wps:spPr>
                                      <a:xfrm>
                                        <a:off x="1283" y="55918"/>
                                        <a:ext cx="117678" cy="154051"/>
                                      </a:xfrm>
                                      <a:custGeom>
                                        <a:avLst/>
                                        <a:gdLst/>
                                        <a:ahLst/>
                                        <a:cxnLst/>
                                        <a:rect l="0" t="0" r="0" b="0"/>
                                        <a:pathLst>
                                          <a:path w="117678" h="154051">
                                            <a:moveTo>
                                              <a:pt x="0" y="154051"/>
                                            </a:moveTo>
                                            <a:lnTo>
                                              <a:pt x="117678" y="0"/>
                                            </a:lnTo>
                                          </a:path>
                                        </a:pathLst>
                                      </a:custGeom>
                                      <a:ln w="5817" cap="flat">
                                        <a:miter lim="100000"/>
                                      </a:ln>
                                    </wps:spPr>
                                    <wps:style>
                                      <a:lnRef idx="1">
                                        <a:srgbClr val="000000"/>
                                      </a:lnRef>
                                      <a:fillRef idx="0">
                                        <a:srgbClr val="000000">
                                          <a:alpha val="0"/>
                                        </a:srgbClr>
                                      </a:fillRef>
                                      <a:effectRef idx="0">
                                        <a:scrgbClr r="0" g="0" b="0"/>
                                      </a:effectRef>
                                      <a:fontRef idx="none"/>
                                    </wps:style>
                                    <wps:bodyPr/>
                                  </wps:wsp>
                                  <wps:wsp>
                                    <wps:cNvPr id="10256" name="Shape 10256"/>
                                    <wps:cNvSpPr/>
                                    <wps:spPr>
                                      <a:xfrm>
                                        <a:off x="11290" y="135382"/>
                                        <a:ext cx="108267" cy="141719"/>
                                      </a:xfrm>
                                      <a:custGeom>
                                        <a:avLst/>
                                        <a:gdLst/>
                                        <a:ahLst/>
                                        <a:cxnLst/>
                                        <a:rect l="0" t="0" r="0" b="0"/>
                                        <a:pathLst>
                                          <a:path w="108267" h="141719">
                                            <a:moveTo>
                                              <a:pt x="0" y="141719"/>
                                            </a:moveTo>
                                            <a:lnTo>
                                              <a:pt x="108267" y="0"/>
                                            </a:lnTo>
                                          </a:path>
                                        </a:pathLst>
                                      </a:custGeom>
                                      <a:ln w="5817" cap="flat">
                                        <a:miter lim="100000"/>
                                      </a:ln>
                                    </wps:spPr>
                                    <wps:style>
                                      <a:lnRef idx="1">
                                        <a:srgbClr val="000000"/>
                                      </a:lnRef>
                                      <a:fillRef idx="0">
                                        <a:srgbClr val="000000">
                                          <a:alpha val="0"/>
                                        </a:srgbClr>
                                      </a:fillRef>
                                      <a:effectRef idx="0">
                                        <a:scrgbClr r="0" g="0" b="0"/>
                                      </a:effectRef>
                                      <a:fontRef idx="none"/>
                                    </wps:style>
                                    <wps:bodyPr/>
                                  </wps:wsp>
                                  <wps:wsp>
                                    <wps:cNvPr id="10257" name="Shape 10257"/>
                                    <wps:cNvSpPr/>
                                    <wps:spPr>
                                      <a:xfrm>
                                        <a:off x="82817" y="227533"/>
                                        <a:ext cx="37871" cy="49568"/>
                                      </a:xfrm>
                                      <a:custGeom>
                                        <a:avLst/>
                                        <a:gdLst/>
                                        <a:ahLst/>
                                        <a:cxnLst/>
                                        <a:rect l="0" t="0" r="0" b="0"/>
                                        <a:pathLst>
                                          <a:path w="37871" h="49568">
                                            <a:moveTo>
                                              <a:pt x="0" y="49568"/>
                                            </a:moveTo>
                                            <a:lnTo>
                                              <a:pt x="37871" y="0"/>
                                            </a:lnTo>
                                          </a:path>
                                        </a:pathLst>
                                      </a:custGeom>
                                      <a:ln w="5817" cap="flat">
                                        <a:miter lim="100000"/>
                                      </a:ln>
                                    </wps:spPr>
                                    <wps:style>
                                      <a:lnRef idx="1">
                                        <a:srgbClr val="000000"/>
                                      </a:lnRef>
                                      <a:fillRef idx="0">
                                        <a:srgbClr val="000000">
                                          <a:alpha val="0"/>
                                        </a:srgbClr>
                                      </a:fillRef>
                                      <a:effectRef idx="0">
                                        <a:scrgbClr r="0" g="0" b="0"/>
                                      </a:effectRef>
                                      <a:fontRef idx="none"/>
                                    </wps:style>
                                    <wps:bodyPr/>
                                  </wps:wsp>
                                  <wps:wsp>
                                    <wps:cNvPr id="10258" name="Shape 10258"/>
                                    <wps:cNvSpPr/>
                                    <wps:spPr>
                                      <a:xfrm>
                                        <a:off x="0" y="376848"/>
                                        <a:ext cx="147688" cy="361594"/>
                                      </a:xfrm>
                                      <a:custGeom>
                                        <a:avLst/>
                                        <a:gdLst/>
                                        <a:ahLst/>
                                        <a:cxnLst/>
                                        <a:rect l="0" t="0" r="0" b="0"/>
                                        <a:pathLst>
                                          <a:path w="147688" h="361594">
                                            <a:moveTo>
                                              <a:pt x="73838" y="0"/>
                                            </a:moveTo>
                                            <a:cubicBezTo>
                                              <a:pt x="114630" y="0"/>
                                              <a:pt x="147688" y="80950"/>
                                              <a:pt x="147688" y="180797"/>
                                            </a:cubicBezTo>
                                            <a:cubicBezTo>
                                              <a:pt x="147688" y="280657"/>
                                              <a:pt x="114630" y="361594"/>
                                              <a:pt x="73838" y="361594"/>
                                            </a:cubicBezTo>
                                            <a:cubicBezTo>
                                              <a:pt x="33058" y="361594"/>
                                              <a:pt x="0" y="280657"/>
                                              <a:pt x="0" y="180797"/>
                                            </a:cubicBezTo>
                                            <a:cubicBezTo>
                                              <a:pt x="0" y="80950"/>
                                              <a:pt x="33058" y="0"/>
                                              <a:pt x="73838" y="0"/>
                                            </a:cubicBezTo>
                                            <a:close/>
                                          </a:path>
                                        </a:pathLst>
                                      </a:custGeom>
                                      <a:ln w="0" cap="flat">
                                        <a:miter lim="100000"/>
                                      </a:ln>
                                    </wps:spPr>
                                    <wps:style>
                                      <a:lnRef idx="0">
                                        <a:srgbClr val="000000">
                                          <a:alpha val="0"/>
                                        </a:srgbClr>
                                      </a:lnRef>
                                      <a:fillRef idx="1">
                                        <a:srgbClr val="C6EAFB"/>
                                      </a:fillRef>
                                      <a:effectRef idx="0">
                                        <a:scrgbClr r="0" g="0" b="0"/>
                                      </a:effectRef>
                                      <a:fontRef idx="none"/>
                                    </wps:style>
                                    <wps:bodyPr/>
                                  </wps:wsp>
                                  <wps:wsp>
                                    <wps:cNvPr id="10259" name="Shape 10259"/>
                                    <wps:cNvSpPr/>
                                    <wps:spPr>
                                      <a:xfrm>
                                        <a:off x="24714" y="371488"/>
                                        <a:ext cx="98298" cy="366954"/>
                                      </a:xfrm>
                                      <a:custGeom>
                                        <a:avLst/>
                                        <a:gdLst/>
                                        <a:ahLst/>
                                        <a:cxnLst/>
                                        <a:rect l="0" t="0" r="0" b="0"/>
                                        <a:pathLst>
                                          <a:path w="98298" h="366954">
                                            <a:moveTo>
                                              <a:pt x="49124" y="0"/>
                                            </a:moveTo>
                                            <a:lnTo>
                                              <a:pt x="56045" y="10668"/>
                                            </a:lnTo>
                                            <a:lnTo>
                                              <a:pt x="98298" y="75781"/>
                                            </a:lnTo>
                                            <a:lnTo>
                                              <a:pt x="91377" y="80263"/>
                                            </a:lnTo>
                                            <a:lnTo>
                                              <a:pt x="84455" y="84759"/>
                                            </a:lnTo>
                                            <a:lnTo>
                                              <a:pt x="57379" y="43021"/>
                                            </a:lnTo>
                                            <a:lnTo>
                                              <a:pt x="57379" y="366954"/>
                                            </a:lnTo>
                                            <a:lnTo>
                                              <a:pt x="40881" y="366954"/>
                                            </a:lnTo>
                                            <a:lnTo>
                                              <a:pt x="40881" y="43062"/>
                                            </a:lnTo>
                                            <a:lnTo>
                                              <a:pt x="13856" y="84759"/>
                                            </a:lnTo>
                                            <a:lnTo>
                                              <a:pt x="0" y="75781"/>
                                            </a:lnTo>
                                            <a:lnTo>
                                              <a:pt x="42215" y="10668"/>
                                            </a:lnTo>
                                            <a:lnTo>
                                              <a:pt x="49124" y="0"/>
                                            </a:lnTo>
                                            <a:close/>
                                          </a:path>
                                        </a:pathLst>
                                      </a:custGeom>
                                      <a:ln w="0" cap="flat">
                                        <a:miter lim="100000"/>
                                      </a:ln>
                                    </wps:spPr>
                                    <wps:style>
                                      <a:lnRef idx="0">
                                        <a:srgbClr val="000000">
                                          <a:alpha val="0"/>
                                        </a:srgbClr>
                                      </a:lnRef>
                                      <a:fillRef idx="1">
                                        <a:srgbClr val="2E3092"/>
                                      </a:fillRef>
                                      <a:effectRef idx="0">
                                        <a:scrgbClr r="0" g="0" b="0"/>
                                      </a:effectRef>
                                      <a:fontRef idx="none"/>
                                    </wps:style>
                                    <wps:bodyPr/>
                                  </wps:wsp>
                                </wpg:wgp>
                              </a:graphicData>
                            </a:graphic>
                          </wp:anchor>
                        </w:drawing>
                      </mc:Choice>
                      <mc:Fallback xmlns:a="http://schemas.openxmlformats.org/drawingml/2006/main">
                        <w:pict>
                          <v:group id="Group 63159" style="width:11.629pt;height:58.145pt;position:absolute;mso-position-horizontal-relative:text;mso-position-horizontal:absolute;margin-left:153.949pt;mso-position-vertical-relative:text;margin-top:0.569458pt;" coordsize="1476,7384">
                            <v:shape id="Shape 64780" style="position:absolute;width:1192;height:2771;left:10;top:0;" coordsize="119215,277102" path="m0,0l119215,0l119215,277102l0,277102l0,0">
                              <v:stroke weight="1.299pt" endcap="flat" joinstyle="miter" miterlimit="2" on="true" color="#000000"/>
                              <v:fill on="true" color="#c6eafb"/>
                            </v:shape>
                            <v:shape id="Shape 10253" style="position:absolute;width:178;height:233;left:8;top:0;" coordsize="17831,23330" path="m0,23330l17831,0">
                              <v:stroke weight="0.458pt" endcap="flat" joinstyle="miter" miterlimit="2" on="true" color="#000000"/>
                              <v:fill on="false" color="#000000" opacity="0"/>
                            </v:shape>
                            <v:shape id="Shape 10254" style="position:absolute;width:901;height:1180;left:0;top:0;" coordsize="90157,118008" path="m0,118008l90157,0">
                              <v:stroke weight="0.458pt" endcap="flat" joinstyle="miter" miterlimit="2" on="true" color="#000000"/>
                              <v:fill on="false" color="#000000" opacity="0"/>
                            </v:shape>
                            <v:shape id="Shape 10255" style="position:absolute;width:1176;height:1540;left:12;top:559;" coordsize="117678,154051" path="m0,154051l117678,0">
                              <v:stroke weight="0.458pt" endcap="flat" joinstyle="miter" miterlimit="2" on="true" color="#000000"/>
                              <v:fill on="false" color="#000000" opacity="0"/>
                            </v:shape>
                            <v:shape id="Shape 10256" style="position:absolute;width:1082;height:1417;left:112;top:1353;" coordsize="108267,141719" path="m0,141719l108267,0">
                              <v:stroke weight="0.458pt" endcap="flat" joinstyle="miter" miterlimit="2" on="true" color="#000000"/>
                              <v:fill on="false" color="#000000" opacity="0"/>
                            </v:shape>
                            <v:shape id="Shape 10257" style="position:absolute;width:378;height:495;left:828;top:2275;" coordsize="37871,49568" path="m0,49568l37871,0">
                              <v:stroke weight="0.458pt" endcap="flat" joinstyle="miter" miterlimit="2" on="true" color="#000000"/>
                              <v:fill on="false" color="#000000" opacity="0"/>
                            </v:shape>
                            <v:shape id="Shape 10258" style="position:absolute;width:1476;height:3615;left:0;top:3768;" coordsize="147688,361594" path="m73838,0c114630,0,147688,80950,147688,180797c147688,280657,114630,361594,73838,361594c33058,361594,0,280657,0,180797c0,80950,33058,0,73838,0x">
                              <v:stroke weight="0pt" endcap="flat" joinstyle="miter" miterlimit="2" on="false" color="#000000" opacity="0"/>
                              <v:fill on="true" color="#c6eafb"/>
                            </v:shape>
                            <v:shape id="Shape 10259" style="position:absolute;width:982;height:3669;left:247;top:3714;" coordsize="98298,366954" path="m49124,0l56045,10668l98298,75781l91377,80263l84455,84759l57379,43021l57379,366954l40881,366954l40881,43062l13856,84759l0,75781l42215,10668l49124,0x">
                              <v:stroke weight="0pt" endcap="flat" joinstyle="miter" miterlimit="2" on="false" color="#000000" opacity="0"/>
                              <v:fill on="true" color="#2e3092"/>
                            </v:shape>
                            <w10:wrap type="square"/>
                          </v:group>
                        </w:pict>
                      </mc:Fallback>
                    </mc:AlternateContent>
                  </w:r>
                  <w:r>
                    <w:rPr>
                      <w:rFonts w:ascii="Arial" w:eastAsia="Arial" w:hAnsi="Arial" w:cs="Arial"/>
                      <w:i/>
                      <w:sz w:val="18"/>
                    </w:rPr>
                    <w:t>Central AndeanNeuqu</w:t>
                  </w:r>
                  <w:r>
                    <w:rPr>
                      <w:rFonts w:ascii="Arial" w:eastAsia="Arial" w:hAnsi="Arial" w:cs="Arial"/>
                      <w:i/>
                      <w:strike/>
                      <w:sz w:val="18"/>
                    </w:rPr>
                    <w:t>e</w:t>
                  </w:r>
                  <w:r>
                    <w:rPr>
                      <w:rFonts w:ascii="Arial" w:eastAsia="Arial" w:hAnsi="Arial" w:cs="Arial"/>
                      <w:i/>
                      <w:sz w:val="18"/>
                    </w:rPr>
                    <w:t>n BasinSouthern Andean magmatic lullsmagmatic lullsmagmatic lull</w:t>
                  </w:r>
                </w:p>
                <w:p w14:paraId="0D3BD8BC" w14:textId="77777777" w:rsidR="00CF37A3" w:rsidRDefault="006C56C7">
                  <w:pPr>
                    <w:spacing w:after="34"/>
                    <w:ind w:left="192"/>
                  </w:pPr>
                  <w:r>
                    <w:rPr>
                      <w:noProof/>
                    </w:rPr>
                    <mc:AlternateContent>
                      <mc:Choice Requires="wpg">
                        <w:drawing>
                          <wp:anchor distT="0" distB="0" distL="114300" distR="114300" simplePos="0" relativeHeight="251666432" behindDoc="1" locked="0" layoutInCell="1" allowOverlap="1" wp14:anchorId="729FCECB" wp14:editId="77CD270C">
                            <wp:simplePos x="0" y="0"/>
                            <wp:positionH relativeFrom="column">
                              <wp:posOffset>2632964</wp:posOffset>
                            </wp:positionH>
                            <wp:positionV relativeFrom="paragraph">
                              <wp:posOffset>892</wp:posOffset>
                            </wp:positionV>
                            <wp:extent cx="36373" cy="10185"/>
                            <wp:effectExtent l="0" t="0" r="0" b="0"/>
                            <wp:wrapNone/>
                            <wp:docPr id="63158" name="Group 63158"/>
                            <wp:cNvGraphicFramePr/>
                            <a:graphic xmlns:a="http://schemas.openxmlformats.org/drawingml/2006/main">
                              <a:graphicData uri="http://schemas.microsoft.com/office/word/2010/wordprocessingGroup">
                                <wpg:wgp>
                                  <wpg:cNvGrpSpPr/>
                                  <wpg:grpSpPr>
                                    <a:xfrm>
                                      <a:off x="0" y="0"/>
                                      <a:ext cx="36373" cy="10185"/>
                                      <a:chOff x="0" y="0"/>
                                      <a:chExt cx="36373" cy="10185"/>
                                    </a:xfrm>
                                  </wpg:grpSpPr>
                                  <wps:wsp>
                                    <wps:cNvPr id="10248" name="Shape 10248"/>
                                    <wps:cNvSpPr/>
                                    <wps:spPr>
                                      <a:xfrm>
                                        <a:off x="0" y="0"/>
                                        <a:ext cx="36373" cy="10185"/>
                                      </a:xfrm>
                                      <a:custGeom>
                                        <a:avLst/>
                                        <a:gdLst/>
                                        <a:ahLst/>
                                        <a:cxnLst/>
                                        <a:rect l="0" t="0" r="0" b="0"/>
                                        <a:pathLst>
                                          <a:path w="36373" h="10185">
                                            <a:moveTo>
                                              <a:pt x="0" y="10185"/>
                                            </a:moveTo>
                                            <a:lnTo>
                                              <a:pt x="36373" y="0"/>
                                            </a:lnTo>
                                          </a:path>
                                        </a:pathLst>
                                      </a:custGeom>
                                      <a:ln w="58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158" style="width:2.864pt;height:0.802002pt;position:absolute;z-index:-2147481287;mso-position-horizontal-relative:text;mso-position-horizontal:absolute;margin-left:207.32pt;mso-position-vertical-relative:text;margin-top:0.0702515pt;" coordsize="363,101">
                            <v:shape id="Shape 10248" style="position:absolute;width:363;height:101;left:0;top:0;" coordsize="36373,10185" path="m0,10185l36373,0">
                              <v:stroke weight="0.458pt" endcap="flat" joinstyle="miter" miterlimit="2" on="true" color="#000000"/>
                              <v:fill on="false" color="#000000" opacity="0"/>
                            </v:shape>
                          </v:group>
                        </w:pict>
                      </mc:Fallback>
                    </mc:AlternateContent>
                  </w:r>
                  <w:r>
                    <w:rPr>
                      <w:rFonts w:ascii="Arial" w:eastAsia="Arial" w:hAnsi="Arial" w:cs="Arial"/>
                      <w:i/>
                      <w:sz w:val="18"/>
                    </w:rPr>
                    <w:t>Central AndeanNeuquen BasinSouthern Andean</w:t>
                  </w:r>
                </w:p>
                <w:p w14:paraId="4BF655E6" w14:textId="77777777" w:rsidR="00CF37A3" w:rsidRDefault="006C56C7">
                  <w:pPr>
                    <w:spacing w:after="0"/>
                    <w:ind w:left="192"/>
                  </w:pPr>
                  <w:r>
                    <w:rPr>
                      <w:rFonts w:ascii="Arial" w:eastAsia="Arial" w:hAnsi="Arial" w:cs="Arial"/>
                      <w:i/>
                      <w:sz w:val="18"/>
                    </w:rPr>
                    <w:t>Nd SignatureHf signatureNd Signature</w:t>
                  </w:r>
                </w:p>
              </w:tc>
            </w:tr>
          </w:tbl>
          <w:p w14:paraId="6EE64E11" w14:textId="77777777" w:rsidR="00CF37A3" w:rsidRDefault="006C56C7">
            <w:pPr>
              <w:spacing w:after="0"/>
              <w:ind w:left="347" w:right="-67"/>
              <w:jc w:val="both"/>
            </w:pPr>
            <w:r>
              <w:rPr>
                <w:b/>
                <w:sz w:val="15"/>
              </w:rPr>
              <w:t>Figure 6. Comparison of chemistry and arc tempo between the Neuquén Basin segment of the Andean arc and the c</w:t>
            </w:r>
            <w:r>
              <w:rPr>
                <w:b/>
                <w:sz w:val="15"/>
              </w:rPr>
              <w:t xml:space="preserve">entral and southern Andes. Hf isotopic vales from this study are compared to </w:t>
            </w:r>
            <w:r>
              <w:rPr>
                <w:b/>
                <w:sz w:val="13"/>
                <w:vertAlign w:val="superscript"/>
              </w:rPr>
              <w:t>143</w:t>
            </w:r>
            <w:r>
              <w:rPr>
                <w:b/>
                <w:sz w:val="15"/>
              </w:rPr>
              <w:t>Nd/</w:t>
            </w:r>
            <w:r>
              <w:rPr>
                <w:b/>
                <w:sz w:val="13"/>
                <w:vertAlign w:val="superscript"/>
              </w:rPr>
              <w:t>144</w:t>
            </w:r>
            <w:r>
              <w:rPr>
                <w:b/>
                <w:sz w:val="15"/>
              </w:rPr>
              <w:t xml:space="preserve">Nd isotopic vales reported by Haschke et al. (2002, 2006) for the central Andes and a compilation of data from Pankhurst et al. (1999), LópezEscobar (1984), Muñoz et al. </w:t>
            </w:r>
            <w:r>
              <w:rPr>
                <w:b/>
                <w:sz w:val="15"/>
              </w:rPr>
              <w:t>(2000), Lara et al. (2001), Pankhurst et al. (1992), and Pankhurst and Herve (1994) for the southern Andes. CHUR—chondritic uniform reservoir; DM—depleted mantle.</w:t>
            </w:r>
          </w:p>
        </w:tc>
      </w:tr>
    </w:tbl>
    <w:p w14:paraId="07CD9933" w14:textId="77777777" w:rsidR="00CF37A3" w:rsidRDefault="006C56C7">
      <w:pPr>
        <w:spacing w:after="3" w:line="262" w:lineRule="auto"/>
        <w:ind w:left="25" w:right="24" w:hanging="13"/>
        <w:jc w:val="both"/>
      </w:pPr>
      <w:r>
        <w:rPr>
          <w:rFonts w:ascii="Times New Roman" w:eastAsia="Times New Roman" w:hAnsi="Times New Roman" w:cs="Times New Roman"/>
          <w:sz w:val="18"/>
        </w:rPr>
        <w:t>Andean magmatic arc is distinctly different from what is observed in both the central and Neuquén Basin segments (Fig. 6). Between 150 and 20 Ma the Nd isotopic signature of the southern Andean arc becomes gradually more juvenile (Haschke et al., 2006). Th</w:t>
      </w:r>
      <w:r>
        <w:rPr>
          <w:rFonts w:ascii="Times New Roman" w:eastAsia="Times New Roman" w:hAnsi="Times New Roman" w:cs="Times New Roman"/>
          <w:sz w:val="18"/>
        </w:rPr>
        <w:t xml:space="preserve">ere is a switch to more evolved values that begins in the Miocene </w:t>
      </w:r>
      <w:r>
        <w:br w:type="page"/>
      </w:r>
    </w:p>
    <w:p w14:paraId="757AF684" w14:textId="77777777" w:rsidR="00CF37A3" w:rsidRDefault="006C56C7">
      <w:pPr>
        <w:spacing w:after="3" w:line="262" w:lineRule="auto"/>
        <w:ind w:left="12" w:right="24" w:firstLine="13"/>
        <w:jc w:val="both"/>
      </w:pPr>
      <w:r>
        <w:rPr>
          <w:rFonts w:ascii="Times New Roman" w:eastAsia="Times New Roman" w:hAnsi="Times New Roman" w:cs="Times New Roman"/>
          <w:sz w:val="18"/>
        </w:rPr>
        <w:lastRenderedPageBreak/>
        <w:t>(Haschke et al., 2006; Fig. 6), coinciding with an episode of shortening in this segment of the Andes (Ramos, 2005).</w:t>
      </w:r>
    </w:p>
    <w:p w14:paraId="0950209D" w14:textId="77777777" w:rsidR="00CF37A3" w:rsidRDefault="006C56C7">
      <w:pPr>
        <w:spacing w:after="0"/>
        <w:ind w:left="10" w:right="70" w:hanging="10"/>
        <w:jc w:val="right"/>
      </w:pPr>
      <w:proofErr w:type="gramStart"/>
      <w:r>
        <w:rPr>
          <w:rFonts w:ascii="Times New Roman" w:eastAsia="Times New Roman" w:hAnsi="Times New Roman" w:cs="Times New Roman"/>
          <w:sz w:val="18"/>
        </w:rPr>
        <w:t>Overall</w:t>
      </w:r>
      <w:proofErr w:type="gramEnd"/>
      <w:r>
        <w:rPr>
          <w:rFonts w:ascii="Times New Roman" w:eastAsia="Times New Roman" w:hAnsi="Times New Roman" w:cs="Times New Roman"/>
          <w:sz w:val="18"/>
        </w:rPr>
        <w:t xml:space="preserve"> the geochemical evolution of the </w:t>
      </w:r>
    </w:p>
    <w:p w14:paraId="61FFE7D9" w14:textId="77777777" w:rsidR="00CF37A3" w:rsidRDefault="006C56C7">
      <w:pPr>
        <w:spacing w:after="3" w:line="262" w:lineRule="auto"/>
        <w:ind w:left="12" w:right="24" w:firstLine="17"/>
        <w:jc w:val="both"/>
      </w:pPr>
      <w:r>
        <w:rPr>
          <w:rFonts w:ascii="Times New Roman" w:eastAsia="Times New Roman" w:hAnsi="Times New Roman" w:cs="Times New Roman"/>
          <w:sz w:val="18"/>
        </w:rPr>
        <w:t xml:space="preserve">Neuquén Basin segment of the </w:t>
      </w:r>
      <w:r>
        <w:rPr>
          <w:rFonts w:ascii="Times New Roman" w:eastAsia="Times New Roman" w:hAnsi="Times New Roman" w:cs="Times New Roman"/>
          <w:sz w:val="18"/>
        </w:rPr>
        <w:t>Andes seems to be different from the central and southern Andean segments. The Neuquén Basin segment becomes generally more evolved between 105 and 50 Ma, a trend opposite to what is observed to the south (Fig. 6). This variable behavior may be due to Late</w:t>
      </w:r>
      <w:r>
        <w:rPr>
          <w:rFonts w:ascii="Times New Roman" w:eastAsia="Times New Roman" w:hAnsi="Times New Roman" w:cs="Times New Roman"/>
          <w:sz w:val="18"/>
        </w:rPr>
        <w:t xml:space="preserve"> Cretaceous shortening along western margin of the Neuquén Basin (Vergani et al., </w:t>
      </w:r>
    </w:p>
    <w:p w14:paraId="316E4E3E" w14:textId="77777777" w:rsidR="00CF37A3" w:rsidRDefault="006C56C7">
      <w:pPr>
        <w:spacing w:after="217" w:line="262" w:lineRule="auto"/>
        <w:ind w:left="26" w:right="24" w:hanging="14"/>
        <w:jc w:val="both"/>
      </w:pPr>
      <w:r>
        <w:rPr>
          <w:rFonts w:ascii="Times New Roman" w:eastAsia="Times New Roman" w:hAnsi="Times New Roman" w:cs="Times New Roman"/>
          <w:sz w:val="18"/>
        </w:rPr>
        <w:t>1995; Tunik et al., 2010; Di Giulio et al., 2012, 2016; Balgord and Carrapa, 2016; Fennell et al., 2015) that is also documented south of 45°S (Fildani et al., 2003), but is</w:t>
      </w:r>
      <w:r>
        <w:rPr>
          <w:rFonts w:ascii="Times New Roman" w:eastAsia="Times New Roman" w:hAnsi="Times New Roman" w:cs="Times New Roman"/>
          <w:sz w:val="18"/>
        </w:rPr>
        <w:t xml:space="preserve"> earlier (Early Cretaceous) and dominated by thick-skinned deformation much farther (to 500 km) from the trench between 40°S and 45°S (Echaurren et al., 2016; Gianni et al., 2015). The volcanic arc along the western margin of the Neuquén Basin and southern</w:t>
      </w:r>
      <w:r>
        <w:rPr>
          <w:rFonts w:ascii="Times New Roman" w:eastAsia="Times New Roman" w:hAnsi="Times New Roman" w:cs="Times New Roman"/>
          <w:sz w:val="18"/>
        </w:rPr>
        <w:t xml:space="preserve"> Andean segment has been relatively stationary through time, with only one major eastward shift in the Cretaceous (Echaurren et al., 2016; Gianni et al., 2015), and the fold and thrust belt exhibits significantly less shortening and has much lower topograp</w:t>
      </w:r>
      <w:r>
        <w:rPr>
          <w:rFonts w:ascii="Times New Roman" w:eastAsia="Times New Roman" w:hAnsi="Times New Roman" w:cs="Times New Roman"/>
          <w:sz w:val="18"/>
        </w:rPr>
        <w:t>hy than what is observed in the central Andes (Kley and Monaldi, 1998). The paucity of shortening, which corresponds with less underthrusted crustal material interacting with the volcanic arc, may be what is dampening cyclic isotopic behavior in the arc.</w:t>
      </w:r>
    </w:p>
    <w:p w14:paraId="6FBC7544" w14:textId="77777777" w:rsidR="00CF37A3" w:rsidRDefault="006C56C7">
      <w:pPr>
        <w:pStyle w:val="1"/>
        <w:spacing w:after="88"/>
        <w:ind w:left="20"/>
      </w:pPr>
      <w:r>
        <w:t>C</w:t>
      </w:r>
      <w:r>
        <w:t>ONCLUSIONS</w:t>
      </w:r>
    </w:p>
    <w:p w14:paraId="2BEB9C41" w14:textId="77777777" w:rsidR="00CF37A3" w:rsidRDefault="006C56C7">
      <w:pPr>
        <w:spacing w:after="3" w:line="262" w:lineRule="auto"/>
        <w:ind w:left="12" w:right="24" w:firstLine="236"/>
        <w:jc w:val="both"/>
      </w:pPr>
      <w:r>
        <w:rPr>
          <w:rFonts w:ascii="Times New Roman" w:eastAsia="Times New Roman" w:hAnsi="Times New Roman" w:cs="Times New Roman"/>
          <w:sz w:val="18"/>
        </w:rPr>
        <w:t>The detrital record from retroarc basins provides an accessible and effective means to compare arc behaviors in variable tectonic settings. In the Neuquén Basin distinct changes in arc activity chemistry include the following.</w:t>
      </w:r>
    </w:p>
    <w:p w14:paraId="08D6287B" w14:textId="77777777" w:rsidR="00CF37A3" w:rsidRDefault="006C56C7">
      <w:pPr>
        <w:numPr>
          <w:ilvl w:val="0"/>
          <w:numId w:val="2"/>
        </w:numPr>
        <w:spacing w:after="3" w:line="262" w:lineRule="auto"/>
        <w:ind w:right="24" w:firstLine="236"/>
        <w:jc w:val="both"/>
      </w:pPr>
      <w:r>
        <w:rPr>
          <w:rFonts w:ascii="Times New Roman" w:eastAsia="Times New Roman" w:hAnsi="Times New Roman" w:cs="Times New Roman"/>
          <w:sz w:val="18"/>
        </w:rPr>
        <w:t>There is a change in periodic</w:t>
      </w:r>
      <w:r>
        <w:rPr>
          <w:rFonts w:ascii="Times New Roman" w:eastAsia="Times New Roman" w:hAnsi="Times New Roman" w:cs="Times New Roman"/>
          <w:sz w:val="18"/>
        </w:rPr>
        <w:t>ity from ~10–20 m.y. to 40 m.y. or more in high-flux magmatic events following initial shortening that could be caused by either a higher frequency of flat-slab events or longer magmatic recharge during shortening (Figs. 4 and 5).</w:t>
      </w:r>
    </w:p>
    <w:p w14:paraId="1ADBB95F" w14:textId="77777777" w:rsidR="00CF37A3" w:rsidRDefault="006C56C7">
      <w:pPr>
        <w:numPr>
          <w:ilvl w:val="0"/>
          <w:numId w:val="2"/>
        </w:numPr>
        <w:spacing w:after="3" w:line="262" w:lineRule="auto"/>
        <w:ind w:right="24" w:firstLine="236"/>
        <w:jc w:val="both"/>
      </w:pPr>
      <w:r>
        <w:rPr>
          <w:rFonts w:ascii="Times New Roman" w:eastAsia="Times New Roman" w:hAnsi="Times New Roman" w:cs="Times New Roman"/>
          <w:sz w:val="18"/>
        </w:rPr>
        <w:t>There are two episodes du</w:t>
      </w:r>
      <w:r>
        <w:rPr>
          <w:rFonts w:ascii="Times New Roman" w:eastAsia="Times New Roman" w:hAnsi="Times New Roman" w:cs="Times New Roman"/>
          <w:sz w:val="18"/>
        </w:rPr>
        <w:t>ring the arc’s history where Hf isotopic values become more evolved (190 and 100–60 Ma); both are associated with compression (Fig. 5).</w:t>
      </w:r>
    </w:p>
    <w:p w14:paraId="7A633E4F" w14:textId="77777777" w:rsidR="00CF37A3" w:rsidRDefault="006C56C7">
      <w:pPr>
        <w:numPr>
          <w:ilvl w:val="0"/>
          <w:numId w:val="2"/>
        </w:numPr>
        <w:spacing w:after="3" w:line="262" w:lineRule="auto"/>
        <w:ind w:right="24" w:firstLine="236"/>
        <w:jc w:val="both"/>
      </w:pPr>
      <w:r>
        <w:rPr>
          <w:rFonts w:ascii="Times New Roman" w:eastAsia="Times New Roman" w:hAnsi="Times New Roman" w:cs="Times New Roman"/>
          <w:sz w:val="18"/>
        </w:rPr>
        <w:t>The three shifts toward more juvenile Hf isotopic values are all related to extension (Fig. 5).</w:t>
      </w:r>
    </w:p>
    <w:p w14:paraId="4C5A63DF" w14:textId="77777777" w:rsidR="00CF37A3" w:rsidRDefault="006C56C7">
      <w:pPr>
        <w:numPr>
          <w:ilvl w:val="0"/>
          <w:numId w:val="2"/>
        </w:numPr>
        <w:spacing w:after="3" w:line="262" w:lineRule="auto"/>
        <w:ind w:right="24" w:firstLine="236"/>
        <w:jc w:val="both"/>
      </w:pPr>
      <w:r>
        <w:rPr>
          <w:rFonts w:ascii="Times New Roman" w:eastAsia="Times New Roman" w:hAnsi="Times New Roman" w:cs="Times New Roman"/>
          <w:sz w:val="18"/>
        </w:rPr>
        <w:t>Variable isotopic evolut</w:t>
      </w:r>
      <w:r>
        <w:rPr>
          <w:rFonts w:ascii="Times New Roman" w:eastAsia="Times New Roman" w:hAnsi="Times New Roman" w:cs="Times New Roman"/>
          <w:sz w:val="18"/>
        </w:rPr>
        <w:t xml:space="preserve">ion patterns are observed in the central, southern, and Neuquén Andean arc sections, suggesting a segmented </w:t>
      </w:r>
      <w:r>
        <w:rPr>
          <w:rFonts w:ascii="Times New Roman" w:eastAsia="Times New Roman" w:hAnsi="Times New Roman" w:cs="Times New Roman"/>
          <w:sz w:val="18"/>
        </w:rPr>
        <w:t>margin with variable tectonic settings and arc processes controlling magmatic output and chemistry through time (Fig. 6).</w:t>
      </w:r>
    </w:p>
    <w:p w14:paraId="42B62F90" w14:textId="77777777" w:rsidR="00CF37A3" w:rsidRDefault="006C56C7">
      <w:pPr>
        <w:spacing w:after="193" w:line="262" w:lineRule="auto"/>
        <w:ind w:left="12" w:right="24" w:firstLine="236"/>
        <w:jc w:val="both"/>
      </w:pPr>
      <w:r>
        <w:rPr>
          <w:rFonts w:ascii="Times New Roman" w:eastAsia="Times New Roman" w:hAnsi="Times New Roman" w:cs="Times New Roman"/>
          <w:sz w:val="18"/>
        </w:rPr>
        <w:t>The detrital zircon U-Pb a</w:t>
      </w:r>
      <w:r>
        <w:rPr>
          <w:rFonts w:ascii="Times New Roman" w:eastAsia="Times New Roman" w:hAnsi="Times New Roman" w:cs="Times New Roman"/>
          <w:sz w:val="18"/>
        </w:rPr>
        <w:t>nd Hf isotopic record of arc magmatism provides a valuable archive of variable arc and tectonic behavior through time. The well-constrained and relatively consistent tectonic setting and crustal architecture along the length of the Neuquén Basin make it id</w:t>
      </w:r>
      <w:r>
        <w:rPr>
          <w:rFonts w:ascii="Times New Roman" w:eastAsia="Times New Roman" w:hAnsi="Times New Roman" w:cs="Times New Roman"/>
          <w:sz w:val="18"/>
        </w:rPr>
        <w:t xml:space="preserve">eally suited to the study of arctectonic interactions. However, care must be taken in sampling to ensure that there is consistency in both tectonic setting and crustal architecture along the sampled strike length; </w:t>
      </w:r>
      <w:proofErr w:type="gramStart"/>
      <w:r>
        <w:rPr>
          <w:rFonts w:ascii="Times New Roman" w:eastAsia="Times New Roman" w:hAnsi="Times New Roman" w:cs="Times New Roman"/>
          <w:sz w:val="18"/>
        </w:rPr>
        <w:t>otherwise</w:t>
      </w:r>
      <w:proofErr w:type="gramEnd"/>
      <w:r>
        <w:rPr>
          <w:rFonts w:ascii="Times New Roman" w:eastAsia="Times New Roman" w:hAnsi="Times New Roman" w:cs="Times New Roman"/>
          <w:sz w:val="18"/>
        </w:rPr>
        <w:t xml:space="preserve"> data sets can become difficult t</w:t>
      </w:r>
      <w:r>
        <w:rPr>
          <w:rFonts w:ascii="Times New Roman" w:eastAsia="Times New Roman" w:hAnsi="Times New Roman" w:cs="Times New Roman"/>
          <w:sz w:val="18"/>
        </w:rPr>
        <w:t>o interpret.</w:t>
      </w:r>
    </w:p>
    <w:p w14:paraId="624B8113" w14:textId="77777777" w:rsidR="00CF37A3" w:rsidRDefault="006C56C7">
      <w:pPr>
        <w:spacing w:after="0"/>
        <w:ind w:left="11" w:hanging="10"/>
      </w:pPr>
      <w:r>
        <w:rPr>
          <w:b/>
          <w:sz w:val="14"/>
        </w:rPr>
        <w:t>ACKNOWLEDGMENTS</w:t>
      </w:r>
    </w:p>
    <w:p w14:paraId="05A3A6F9" w14:textId="77777777" w:rsidR="00CF37A3" w:rsidRDefault="006C56C7">
      <w:pPr>
        <w:spacing w:after="259" w:line="265" w:lineRule="auto"/>
        <w:ind w:left="6" w:right="22" w:firstLine="13"/>
        <w:jc w:val="both"/>
      </w:pPr>
      <w:r>
        <w:rPr>
          <w:sz w:val="12"/>
        </w:rPr>
        <w:t>I acknowledge contributions from the ExxonMobil COSA (Convergent Orogenic Systems Analysis) project, a National Geographic Young Explorer grant, and a Geological Society of America Student Research grant. The Arizona LaserChron</w:t>
      </w:r>
      <w:r>
        <w:rPr>
          <w:sz w:val="12"/>
        </w:rPr>
        <w:t xml:space="preserve"> Center is in part supported by National Science Foundation grants EAR-1032156 and EAR-0929777. This paper was greatly enhanced by constructive feedback through conversations with B. Carrapa, G. Gehrels, P. DeCelles, A. Cohen, and P. Kapp. The Hf data for </w:t>
      </w:r>
      <w:r>
        <w:rPr>
          <w:sz w:val="12"/>
        </w:rPr>
        <w:t xml:space="preserve">samples between 50 and 20 Ma were provided by J. B. Mahoney and D. Kimbrough. I thank A. Folguera, two anonymous reviewers, and </w:t>
      </w:r>
      <w:r>
        <w:rPr>
          <w:i/>
          <w:sz w:val="12"/>
        </w:rPr>
        <w:t>Lithosphere</w:t>
      </w:r>
      <w:r>
        <w:rPr>
          <w:sz w:val="12"/>
        </w:rPr>
        <w:t xml:space="preserve"> editor D. Nance for thoughtful and constructive feedback.</w:t>
      </w:r>
    </w:p>
    <w:p w14:paraId="7249559A" w14:textId="77777777" w:rsidR="00CF37A3" w:rsidRDefault="006C56C7">
      <w:pPr>
        <w:spacing w:after="0"/>
        <w:ind w:left="11" w:hanging="10"/>
      </w:pPr>
      <w:r>
        <w:rPr>
          <w:b/>
          <w:sz w:val="14"/>
        </w:rPr>
        <w:t>REFERENCES CITED</w:t>
      </w:r>
    </w:p>
    <w:p w14:paraId="0265E92A" w14:textId="77777777" w:rsidR="00CF37A3" w:rsidRDefault="006C56C7">
      <w:pPr>
        <w:spacing w:after="3" w:line="265" w:lineRule="auto"/>
        <w:ind w:left="241" w:right="22" w:hanging="235"/>
        <w:jc w:val="both"/>
      </w:pPr>
      <w:r>
        <w:rPr>
          <w:sz w:val="12"/>
        </w:rPr>
        <w:t>Bahlburg, H., Vervoort, J.D., DuFrane, S.</w:t>
      </w:r>
      <w:r>
        <w:rPr>
          <w:sz w:val="12"/>
        </w:rPr>
        <w:t>A., Carlotto, V., Reimann, C., and Cardenas, J., 2011, The U-Pb and Hf isotope evidence of detrital zircons of the Ordovician Ollantaytambo Formation, southern Peru, and the Ordovician provenance and paleogeography of southern Peru and northern Bolivia: Jo</w:t>
      </w:r>
      <w:r>
        <w:rPr>
          <w:sz w:val="12"/>
        </w:rPr>
        <w:t>urnal of South American Earth Sciences, v. 32, p. 196–209, doi:10 .</w:t>
      </w:r>
      <w:proofErr w:type="gramStart"/>
      <w:r>
        <w:rPr>
          <w:sz w:val="12"/>
        </w:rPr>
        <w:t>1016  /</w:t>
      </w:r>
      <w:proofErr w:type="gramEnd"/>
      <w:r>
        <w:rPr>
          <w:sz w:val="12"/>
        </w:rPr>
        <w:t xml:space="preserve">j. jsames .2011. 07 .002. </w:t>
      </w:r>
    </w:p>
    <w:p w14:paraId="1AAE993F" w14:textId="77777777" w:rsidR="00CF37A3" w:rsidRDefault="006C56C7">
      <w:pPr>
        <w:spacing w:after="3" w:line="265" w:lineRule="auto"/>
        <w:ind w:left="241" w:right="22" w:hanging="235"/>
        <w:jc w:val="both"/>
      </w:pPr>
      <w:r>
        <w:rPr>
          <w:sz w:val="12"/>
        </w:rPr>
        <w:t>Balgord, E.A., and Carrapa, B., 2016, Basin evolution of upper Cretaceous–lower Cenozoic strata in the Malargüe fold-and-thrust belt: Northern Neuquén Basi</w:t>
      </w:r>
      <w:r>
        <w:rPr>
          <w:sz w:val="12"/>
        </w:rPr>
        <w:t>n, Argentina: Basin Research, v. 28, p. 183–206, doi: 10 .1111 /bre .12106.</w:t>
      </w:r>
    </w:p>
    <w:p w14:paraId="3739C714" w14:textId="77777777" w:rsidR="00CF37A3" w:rsidRDefault="006C56C7">
      <w:pPr>
        <w:spacing w:after="3" w:line="265" w:lineRule="auto"/>
        <w:ind w:left="6" w:right="22"/>
        <w:jc w:val="both"/>
      </w:pPr>
      <w:r>
        <w:rPr>
          <w:sz w:val="12"/>
        </w:rPr>
        <w:t>Barrio, C.A., 1990a, Late Cretaceous–early Tertiary sedimentation in a semi-arid foreland basin: Neuquén Bain, western Argentina: Sedimentary Geology, v. 66, p. 255–275, doi: 10 .1</w:t>
      </w:r>
      <w:r>
        <w:rPr>
          <w:sz w:val="12"/>
        </w:rPr>
        <w:t>016 /0037 -0738 (90)90063 -Y. Barrio, C.A., 1990b, Paleogeographic control of the Upper Cretaceous tidal deposits, Neuquén Basin, Argentina: Journal of South American Earth Sciences, v. 3, p. 31–49, doi: 10 .1016 /0895 -9811 (90)90016 -T.</w:t>
      </w:r>
    </w:p>
    <w:p w14:paraId="3E9715CB" w14:textId="77777777" w:rsidR="00CF37A3" w:rsidRDefault="006C56C7">
      <w:pPr>
        <w:spacing w:after="3" w:line="265" w:lineRule="auto"/>
        <w:ind w:left="241" w:right="22" w:hanging="235"/>
        <w:jc w:val="both"/>
      </w:pPr>
      <w:r>
        <w:rPr>
          <w:sz w:val="12"/>
        </w:rPr>
        <w:t>Bouvier, A., Verv</w:t>
      </w:r>
      <w:r>
        <w:rPr>
          <w:sz w:val="12"/>
        </w:rPr>
        <w:t>oort, J.D., and Patchett, J.D., 2008, The Lu-Hf and Sm-Nd isotopic composition of CHUR: Constraints from unequilibrated chondrites and implications for the bulk composition of terrestrial planets: Earth and Planetary Science Letters, v. 273, p. 48–57, doi:</w:t>
      </w:r>
      <w:r>
        <w:rPr>
          <w:sz w:val="12"/>
        </w:rPr>
        <w:t xml:space="preserve"> 10 .1016 / </w:t>
      </w:r>
      <w:proofErr w:type="gramStart"/>
      <w:r>
        <w:rPr>
          <w:sz w:val="12"/>
        </w:rPr>
        <w:t>j .epsl</w:t>
      </w:r>
      <w:proofErr w:type="gramEnd"/>
      <w:r>
        <w:rPr>
          <w:sz w:val="12"/>
        </w:rPr>
        <w:t xml:space="preserve"> .2008 .06 .010.</w:t>
      </w:r>
    </w:p>
    <w:p w14:paraId="452BEA2F" w14:textId="77777777" w:rsidR="00CF37A3" w:rsidRDefault="006C56C7">
      <w:pPr>
        <w:spacing w:after="3" w:line="265" w:lineRule="auto"/>
        <w:ind w:left="241" w:right="22" w:hanging="235"/>
        <w:jc w:val="both"/>
      </w:pPr>
      <w:r>
        <w:rPr>
          <w:sz w:val="12"/>
        </w:rPr>
        <w:t>Cecil, M.R., Gehrels, G., Ducea, M.N., and Patchett, P.J., 2011, U-Pb-Hf characterization of the central Coast Mountains batholith: Implications for petrogenesis and crustal architecture: Lithosphere, v. 3, p. 247–260, doi:1 0 .1130 /L134 .</w:t>
      </w:r>
      <w:proofErr w:type="gramStart"/>
      <w:r>
        <w:rPr>
          <w:sz w:val="12"/>
        </w:rPr>
        <w:t>1 .</w:t>
      </w:r>
      <w:proofErr w:type="gramEnd"/>
    </w:p>
    <w:p w14:paraId="40C3D3F5" w14:textId="77777777" w:rsidR="00CF37A3" w:rsidRDefault="006C56C7">
      <w:pPr>
        <w:spacing w:after="3" w:line="265" w:lineRule="auto"/>
        <w:ind w:left="241" w:right="22" w:hanging="235"/>
        <w:jc w:val="both"/>
      </w:pPr>
      <w:r>
        <w:rPr>
          <w:sz w:val="12"/>
        </w:rPr>
        <w:t>Cembrano, J.</w:t>
      </w:r>
      <w:r>
        <w:rPr>
          <w:sz w:val="12"/>
        </w:rPr>
        <w:t>, and Lara, L., 2009, The link between volcanism and tectonics in the southern volcanic zone of the Chilean Andes: A review: Tectonophysics, v. 471, p. 96–113.</w:t>
      </w:r>
    </w:p>
    <w:p w14:paraId="33A73166" w14:textId="77777777" w:rsidR="00CF37A3" w:rsidRDefault="006C56C7">
      <w:pPr>
        <w:spacing w:after="3" w:line="265" w:lineRule="auto"/>
        <w:ind w:left="6" w:right="22"/>
        <w:jc w:val="both"/>
      </w:pPr>
      <w:r>
        <w:rPr>
          <w:sz w:val="12"/>
        </w:rPr>
        <w:t xml:space="preserve">Charrier, R., Baeza, O., Elgueta, S., Flynn, J., Gans, P., Kay, S., </w:t>
      </w:r>
    </w:p>
    <w:p w14:paraId="301EF644" w14:textId="77777777" w:rsidR="00CF37A3" w:rsidRDefault="006C56C7">
      <w:pPr>
        <w:spacing w:after="1" w:line="260" w:lineRule="auto"/>
        <w:ind w:left="10" w:right="50" w:hanging="10"/>
        <w:jc w:val="right"/>
      </w:pPr>
      <w:r>
        <w:rPr>
          <w:sz w:val="12"/>
        </w:rPr>
        <w:t>Muñoz, N., Wyss, A., and Zu</w:t>
      </w:r>
      <w:r>
        <w:rPr>
          <w:sz w:val="12"/>
        </w:rPr>
        <w:t xml:space="preserve">rita, E., 2002, Evidence for </w:t>
      </w:r>
    </w:p>
    <w:p w14:paraId="2EDA4ADF" w14:textId="77777777" w:rsidR="00CF37A3" w:rsidRDefault="006C56C7">
      <w:pPr>
        <w:spacing w:after="3" w:line="265" w:lineRule="auto"/>
        <w:ind w:left="204" w:right="22" w:firstLine="47"/>
        <w:jc w:val="both"/>
      </w:pPr>
      <w:r>
        <w:rPr>
          <w:sz w:val="12"/>
        </w:rPr>
        <w:t>Cenozoic extensional basin development and tectonic inversion south of the flat-slab segment, southern Central Andes, Chile (33°–36°SL): Journal of South American Earth Sciences, v. 15, p. 117–139, doi: 10.1016 / S0895 -9811 (</w:t>
      </w:r>
      <w:r>
        <w:rPr>
          <w:sz w:val="12"/>
        </w:rPr>
        <w:t>02) 00009 -3.</w:t>
      </w:r>
    </w:p>
    <w:p w14:paraId="07772162" w14:textId="77777777" w:rsidR="00CF37A3" w:rsidRDefault="006C56C7">
      <w:pPr>
        <w:spacing w:after="3" w:line="265" w:lineRule="auto"/>
        <w:ind w:left="241" w:right="22" w:hanging="235"/>
        <w:jc w:val="both"/>
      </w:pPr>
      <w:r>
        <w:rPr>
          <w:sz w:val="12"/>
        </w:rPr>
        <w:t>DeCelles, P.G., Ducea, M.N., Kapp, P., and Zandt, G., 2009, Cyclicity in Cordilleran orogenic systems: Nature Geoscience, v. 2, p. 251–257, doi: 10 .1038 /ngeo469.</w:t>
      </w:r>
    </w:p>
    <w:p w14:paraId="00487450" w14:textId="77777777" w:rsidR="00CF37A3" w:rsidRDefault="006C56C7">
      <w:pPr>
        <w:spacing w:after="3" w:line="265" w:lineRule="auto"/>
        <w:ind w:left="241" w:right="22" w:hanging="235"/>
        <w:jc w:val="both"/>
      </w:pPr>
      <w:r>
        <w:rPr>
          <w:sz w:val="12"/>
        </w:rPr>
        <w:t>DeCelles, P.G., Ducea, M.N., Carrapa, B., and Kapp, P.A., eds., 2015, Geodynam</w:t>
      </w:r>
      <w:r>
        <w:rPr>
          <w:sz w:val="12"/>
        </w:rPr>
        <w:t>ics of a Cordilleran orogenic system: The Central Andes of Argentina and northern Chile: Geological Society of America Memoir 212, 490 p., doi: 10 .1130 /9780813712123.</w:t>
      </w:r>
    </w:p>
    <w:p w14:paraId="76A2CE04" w14:textId="77777777" w:rsidR="00CF37A3" w:rsidRDefault="006C56C7">
      <w:pPr>
        <w:spacing w:after="3" w:line="265" w:lineRule="auto"/>
        <w:ind w:left="241" w:right="22" w:hanging="235"/>
        <w:jc w:val="both"/>
      </w:pPr>
      <w:r>
        <w:rPr>
          <w:sz w:val="12"/>
        </w:rPr>
        <w:t>Dickinson, W.R., and Gehrels, G.E., 2009, Use of U-Pb ages of detrital zircons to infer</w:t>
      </w:r>
      <w:r>
        <w:rPr>
          <w:sz w:val="12"/>
        </w:rPr>
        <w:t xml:space="preserve"> maximum depositional ages of strata: A test against a Colorado Plateau Mesozoic database: Earth and Planetary Science Letters, v. 288, p.115–125.</w:t>
      </w:r>
    </w:p>
    <w:p w14:paraId="5EC66F0E" w14:textId="77777777" w:rsidR="00CF37A3" w:rsidRDefault="006C56C7">
      <w:pPr>
        <w:spacing w:after="3" w:line="265" w:lineRule="auto"/>
        <w:ind w:left="241" w:right="138" w:hanging="235"/>
        <w:jc w:val="both"/>
      </w:pPr>
      <w:r>
        <w:rPr>
          <w:sz w:val="12"/>
        </w:rPr>
        <w:t xml:space="preserve">Di Giulio, A., Ronchi, A., Sanfilippo, A., Tiepolo, M., Pimentel, M., and Ramos, V.A., 2012, Detrital zircon </w:t>
      </w:r>
      <w:r>
        <w:rPr>
          <w:sz w:val="12"/>
        </w:rPr>
        <w:t>provenance from the Neuquén Basin (south-central Andes): Cretaceous geodynamic evolution and sedimentary response in a retroarc-foreland basin: Geology, v. 40, p. 559–562, doi: 10 .1130 /G33052 .1.</w:t>
      </w:r>
    </w:p>
    <w:p w14:paraId="7D9F6132" w14:textId="77777777" w:rsidR="00CF37A3" w:rsidRDefault="006C56C7">
      <w:pPr>
        <w:spacing w:after="3" w:line="265" w:lineRule="auto"/>
        <w:ind w:left="6" w:right="22"/>
        <w:jc w:val="both"/>
      </w:pPr>
      <w:r>
        <w:rPr>
          <w:sz w:val="12"/>
        </w:rPr>
        <w:t xml:space="preserve">Di Giulio, A., Ronchi, A., Sanfilippo, A., Balgord, E.A., </w:t>
      </w:r>
      <w:r>
        <w:rPr>
          <w:sz w:val="12"/>
        </w:rPr>
        <w:t xml:space="preserve">Carrapa, </w:t>
      </w:r>
    </w:p>
    <w:p w14:paraId="6660B7B1" w14:textId="77777777" w:rsidR="00CF37A3" w:rsidRDefault="006C56C7">
      <w:pPr>
        <w:spacing w:after="1" w:line="260" w:lineRule="auto"/>
        <w:ind w:left="10" w:right="168" w:hanging="10"/>
        <w:jc w:val="right"/>
      </w:pPr>
      <w:r>
        <w:rPr>
          <w:sz w:val="12"/>
        </w:rPr>
        <w:t xml:space="preserve">B., and Ramos, V.A., 2016, Cretaceous evolution of the </w:t>
      </w:r>
    </w:p>
    <w:p w14:paraId="2773FD4F" w14:textId="77777777" w:rsidR="00CF37A3" w:rsidRDefault="006C56C7">
      <w:pPr>
        <w:spacing w:after="3" w:line="265" w:lineRule="auto"/>
        <w:ind w:left="237" w:right="142" w:hanging="1"/>
        <w:jc w:val="both"/>
      </w:pPr>
      <w:r>
        <w:rPr>
          <w:sz w:val="12"/>
        </w:rPr>
        <w:t xml:space="preserve">Andean margin between 36° S and 40° S latitude through a multi‐proxy provenance analysis of Neuquén Basin strata (Argentina): Basin Research, doi:10. 1111 /bre. 12176. </w:t>
      </w:r>
    </w:p>
    <w:p w14:paraId="27C98AC7" w14:textId="77777777" w:rsidR="00CF37A3" w:rsidRDefault="006C56C7">
      <w:pPr>
        <w:spacing w:after="3" w:line="265" w:lineRule="auto"/>
        <w:ind w:left="241" w:right="138" w:hanging="235"/>
        <w:jc w:val="both"/>
      </w:pPr>
      <w:r>
        <w:rPr>
          <w:sz w:val="12"/>
        </w:rPr>
        <w:t>Ducea, M., 2001, The California arc: Thick granitic batholiths, eclogitic residues, lithospheric-scale thrusting, and magmatic flare-ups: GSA Today, v. 11, no. 11, p. 4–10, doi:1 0 .1130 /1052 -5173 (2001)011 &lt;0004: TCATGB&gt;2 .0 .CO;2.</w:t>
      </w:r>
    </w:p>
    <w:p w14:paraId="79DDCE47" w14:textId="77777777" w:rsidR="00CF37A3" w:rsidRDefault="006C56C7">
      <w:pPr>
        <w:spacing w:after="3" w:line="265" w:lineRule="auto"/>
        <w:ind w:left="241" w:right="138" w:hanging="235"/>
        <w:jc w:val="both"/>
      </w:pPr>
      <w:r>
        <w:rPr>
          <w:sz w:val="12"/>
        </w:rPr>
        <w:t>Ducea, M.N., Paterson</w:t>
      </w:r>
      <w:r>
        <w:rPr>
          <w:sz w:val="12"/>
        </w:rPr>
        <w:t>, S.R., and DeCelles, P.G., 2015, Highvolume magmatic events in subduction systems: Elements, v. 11, p. 99–104, doi: 10 .2113 /gselements .11 .2 .99.</w:t>
      </w:r>
    </w:p>
    <w:p w14:paraId="4D3F7FC4" w14:textId="77777777" w:rsidR="00CF37A3" w:rsidRDefault="006C56C7">
      <w:pPr>
        <w:spacing w:after="3" w:line="265" w:lineRule="auto"/>
        <w:ind w:left="241" w:right="138" w:hanging="235"/>
        <w:jc w:val="both"/>
      </w:pPr>
      <w:r>
        <w:rPr>
          <w:sz w:val="12"/>
        </w:rPr>
        <w:t>Echaurren, A., Folguera, A., Gianni, G., Orts, D., Tassara, A., Encinas, A., and Giménez, M., 2016, Tecton</w:t>
      </w:r>
      <w:r>
        <w:rPr>
          <w:sz w:val="12"/>
        </w:rPr>
        <w:t>ic evolution of the North Patagonian Andes (41–44°S) through recognition of syntectonic strata: Tectonophysics, v. 677–678, p. 99–114, doi: 10 .1016 /</w:t>
      </w:r>
      <w:proofErr w:type="gramStart"/>
      <w:r>
        <w:rPr>
          <w:sz w:val="12"/>
        </w:rPr>
        <w:t>j .tecto</w:t>
      </w:r>
      <w:proofErr w:type="gramEnd"/>
      <w:r>
        <w:rPr>
          <w:sz w:val="12"/>
        </w:rPr>
        <w:t xml:space="preserve"> .2016 .04 .009.</w:t>
      </w:r>
    </w:p>
    <w:p w14:paraId="1815535A" w14:textId="77777777" w:rsidR="00CF37A3" w:rsidRDefault="006C56C7">
      <w:pPr>
        <w:spacing w:after="3" w:line="265" w:lineRule="auto"/>
        <w:ind w:left="241" w:right="138" w:hanging="235"/>
        <w:jc w:val="both"/>
      </w:pPr>
      <w:r>
        <w:rPr>
          <w:sz w:val="12"/>
        </w:rPr>
        <w:t>Fennell, L., Folguera, A., Naipauer, M., Gianni, G., Rojas Vera, E., Bottesi, G.,</w:t>
      </w:r>
      <w:r>
        <w:rPr>
          <w:sz w:val="12"/>
        </w:rPr>
        <w:t xml:space="preserve"> and Tamos, V.A., 2015, Cretaceous deformation of the Southern Central Andes: Synorogenic growth strata in the Neuquen Group (35°30</w:t>
      </w:r>
      <w:r>
        <w:rPr>
          <w:rFonts w:ascii="Segoe UI Symbol" w:eastAsia="Segoe UI Symbol" w:hAnsi="Segoe UI Symbol" w:cs="Segoe UI Symbol"/>
          <w:b/>
          <w:sz w:val="12"/>
        </w:rPr>
        <w:t>′</w:t>
      </w:r>
      <w:r>
        <w:rPr>
          <w:sz w:val="12"/>
        </w:rPr>
        <w:t>–37°S): Basin Research, v. 29, p. 51–72, doi:1 0 .1111 /bre .12135.</w:t>
      </w:r>
    </w:p>
    <w:p w14:paraId="052B72AC" w14:textId="77777777" w:rsidR="00CF37A3" w:rsidRDefault="006C56C7">
      <w:pPr>
        <w:spacing w:after="3" w:line="265" w:lineRule="auto"/>
        <w:ind w:left="241" w:right="139" w:hanging="235"/>
        <w:jc w:val="both"/>
      </w:pPr>
      <w:r>
        <w:rPr>
          <w:sz w:val="12"/>
        </w:rPr>
        <w:t>Fildani, A., Cope, T.D., Graham, S.A., and Wooden, J.L.,</w:t>
      </w:r>
      <w:r>
        <w:rPr>
          <w:sz w:val="12"/>
        </w:rPr>
        <w:t xml:space="preserve"> 2003, Initiation of the Magallanes foreland basin: Timing of the southernmost Patagonian Andes orogeny revised by detrital zircon provenance analysis: Geology, v. 31, p. 1081–1084, doi: 10 .1130 /G20016 .1.</w:t>
      </w:r>
    </w:p>
    <w:p w14:paraId="6EDAF531" w14:textId="77777777" w:rsidR="00CF37A3" w:rsidRDefault="006C56C7">
      <w:pPr>
        <w:spacing w:after="3" w:line="265" w:lineRule="auto"/>
        <w:ind w:left="241" w:right="140" w:hanging="235"/>
        <w:jc w:val="both"/>
      </w:pPr>
      <w:r>
        <w:rPr>
          <w:sz w:val="12"/>
        </w:rPr>
        <w:t>Folguera, A., and Ramos, V.A., 2011, Repeated ea</w:t>
      </w:r>
      <w:r>
        <w:rPr>
          <w:sz w:val="12"/>
        </w:rPr>
        <w:t>stward shifts of arc magmatism in the Southern Andes: A revision to the long term pattern of Andean uplift and magmatism: Journal of South American Earth Sciences, v. 32, p. 531– 546, doi: 10 .1016 /</w:t>
      </w:r>
      <w:proofErr w:type="gramStart"/>
      <w:r>
        <w:rPr>
          <w:sz w:val="12"/>
        </w:rPr>
        <w:t>j .jsames</w:t>
      </w:r>
      <w:proofErr w:type="gramEnd"/>
      <w:r>
        <w:rPr>
          <w:sz w:val="12"/>
        </w:rPr>
        <w:t xml:space="preserve"> .2011 .04 .003.</w:t>
      </w:r>
    </w:p>
    <w:p w14:paraId="60FD484B" w14:textId="77777777" w:rsidR="00CF37A3" w:rsidRDefault="006C56C7">
      <w:pPr>
        <w:spacing w:after="3" w:line="265" w:lineRule="auto"/>
        <w:ind w:left="241" w:right="138" w:hanging="235"/>
        <w:jc w:val="both"/>
      </w:pPr>
      <w:r>
        <w:rPr>
          <w:sz w:val="12"/>
        </w:rPr>
        <w:t xml:space="preserve">Franzese, J.R., and Spalletti, </w:t>
      </w:r>
      <w:r>
        <w:rPr>
          <w:sz w:val="12"/>
        </w:rPr>
        <w:t>L.A., 2001, Late Triassic–early Jurassic continental extension in southwestern Gondwana: Tectonic segmentation and pre-break-up rifting: Journal of South American Earth Sciences, v. 14, p. 257–270.</w:t>
      </w:r>
    </w:p>
    <w:p w14:paraId="6FCB49DF" w14:textId="77777777" w:rsidR="00CF37A3" w:rsidRDefault="006C56C7">
      <w:pPr>
        <w:spacing w:after="3" w:line="265" w:lineRule="auto"/>
        <w:ind w:left="241" w:right="138" w:hanging="235"/>
        <w:jc w:val="both"/>
      </w:pPr>
      <w:r>
        <w:rPr>
          <w:sz w:val="12"/>
        </w:rPr>
        <w:t>Franzese, J., Spalletti, L., Pérez, I.G., and Macdonald, D</w:t>
      </w:r>
      <w:r>
        <w:rPr>
          <w:sz w:val="12"/>
        </w:rPr>
        <w:t>., 2003, Tectonic and paleoenvironmental evolution of Mesozoic sedimentary basins along the Andean foothills of Argentina (32–54 S): Journal of South American Earth Sciences, v. 16, p. 81–90.</w:t>
      </w:r>
    </w:p>
    <w:p w14:paraId="64DDEE0A" w14:textId="77777777" w:rsidR="00CF37A3" w:rsidRDefault="006C56C7">
      <w:pPr>
        <w:spacing w:after="3" w:line="265" w:lineRule="auto"/>
        <w:ind w:left="241" w:right="138" w:hanging="235"/>
        <w:jc w:val="both"/>
      </w:pPr>
      <w:r>
        <w:rPr>
          <w:sz w:val="12"/>
        </w:rPr>
        <w:t>Franzese, J.R., Veiga, G.D., Schwarz, E. and Gómez-Pérez, I., 20</w:t>
      </w:r>
      <w:r>
        <w:rPr>
          <w:sz w:val="12"/>
        </w:rPr>
        <w:t>06, Tectonostratigraphic evolution of a Mesozoic graben border system: The Chachil depocentre, southern Neuquén Basin, Argentina: Journal of the Geological Society, v.163, p.707–721.</w:t>
      </w:r>
    </w:p>
    <w:p w14:paraId="3101E38E" w14:textId="77777777" w:rsidR="00CF37A3" w:rsidRDefault="006C56C7">
      <w:pPr>
        <w:spacing w:after="3" w:line="265" w:lineRule="auto"/>
        <w:ind w:left="241" w:right="138" w:hanging="235"/>
        <w:jc w:val="both"/>
      </w:pPr>
      <w:r>
        <w:rPr>
          <w:sz w:val="12"/>
        </w:rPr>
        <w:t xml:space="preserve">Gehrels, G., and Pecha, M., 2014, Detrital zircon U-Pb geochronology and </w:t>
      </w:r>
      <w:r>
        <w:rPr>
          <w:sz w:val="12"/>
        </w:rPr>
        <w:t xml:space="preserve">Hf isotope geochemistry of Paleozoic and Triassic passive margin strata of western North America: Geosphere, v. 10, no. 1, p. 49–65, doi:10. 1130 /GES00889. 1. </w:t>
      </w:r>
    </w:p>
    <w:p w14:paraId="308383F9" w14:textId="77777777" w:rsidR="00CF37A3" w:rsidRDefault="006C56C7">
      <w:pPr>
        <w:spacing w:after="3" w:line="265" w:lineRule="auto"/>
        <w:ind w:left="241" w:right="164" w:hanging="235"/>
        <w:jc w:val="both"/>
      </w:pPr>
      <w:r>
        <w:rPr>
          <w:sz w:val="12"/>
        </w:rPr>
        <w:t>Gehrels, G.E., Valencia, V., and Pullen, A., 2006, Detrital zircon geochronology by laser-ablat</w:t>
      </w:r>
      <w:r>
        <w:rPr>
          <w:sz w:val="12"/>
        </w:rPr>
        <w:t xml:space="preserve">ion multicollector ICPMS at the Arizona LaserChron Center, </w:t>
      </w:r>
      <w:r>
        <w:rPr>
          <w:i/>
          <w:sz w:val="12"/>
        </w:rPr>
        <w:t>in</w:t>
      </w:r>
      <w:r>
        <w:rPr>
          <w:sz w:val="12"/>
        </w:rPr>
        <w:t xml:space="preserve"> Loszewski, T., and Huff, W., eds., Geochronology: Emerging opportunities: Paleontology Society Papers, v. 12, p. 67–76.</w:t>
      </w:r>
    </w:p>
    <w:p w14:paraId="406AA293" w14:textId="77777777" w:rsidR="00CF37A3" w:rsidRDefault="006C56C7">
      <w:pPr>
        <w:spacing w:after="3" w:line="265" w:lineRule="auto"/>
        <w:ind w:left="241" w:right="138" w:hanging="235"/>
        <w:jc w:val="both"/>
      </w:pPr>
      <w:r>
        <w:rPr>
          <w:sz w:val="12"/>
        </w:rPr>
        <w:t>Gehrels, G.E., Valencia, V., and Ruiz, J., 2008, Enhanced precision, accur</w:t>
      </w:r>
      <w:r>
        <w:rPr>
          <w:sz w:val="12"/>
        </w:rPr>
        <w:t>acy, efficiency, and spatial resolution of U-Pb ages by laser ablation-multicollector-inductively coupled plasma mass spectrometry: Geochemistry, Geophysics, Geosystems, v. 9, Q03017, doi: 10 .1029 /2007GC001805.</w:t>
      </w:r>
    </w:p>
    <w:p w14:paraId="55EBC74E" w14:textId="77777777" w:rsidR="00CF37A3" w:rsidRDefault="006C56C7">
      <w:pPr>
        <w:spacing w:after="3" w:line="265" w:lineRule="auto"/>
        <w:ind w:left="241" w:right="137" w:hanging="235"/>
        <w:jc w:val="both"/>
      </w:pPr>
      <w:r>
        <w:rPr>
          <w:sz w:val="12"/>
        </w:rPr>
        <w:t>Giambiagi, L.B., Bechis, F., García, V., an</w:t>
      </w:r>
      <w:r>
        <w:rPr>
          <w:sz w:val="12"/>
        </w:rPr>
        <w:t>d Clark, A., 2005, Temporal and spatial relationship between thick-and thinskinned deformation in the thrust front of the Malargüe fold and thrust belt, southern Central Andes: 6th International Symposium on Andean Geodynamics, Extended Abstracts, p. 315–3</w:t>
      </w:r>
      <w:r>
        <w:rPr>
          <w:sz w:val="12"/>
        </w:rPr>
        <w:t>18.</w:t>
      </w:r>
    </w:p>
    <w:p w14:paraId="5149D660" w14:textId="77777777" w:rsidR="00CF37A3" w:rsidRDefault="006C56C7">
      <w:pPr>
        <w:spacing w:after="3" w:line="265" w:lineRule="auto"/>
        <w:ind w:left="241" w:right="138" w:hanging="235"/>
        <w:jc w:val="both"/>
      </w:pPr>
      <w:r>
        <w:rPr>
          <w:sz w:val="12"/>
        </w:rPr>
        <w:t xml:space="preserve">Giambiagi, L., Bechis, F., García, V., and Clark, A.H., 2008, Temporal and spatial relationships of thick-and thin-skinned deformation: A case study from the Malargüe fold-andthrust belt, southern Central Andes: Tectonophysics, </w:t>
      </w:r>
    </w:p>
    <w:p w14:paraId="18B1EEF4" w14:textId="77777777" w:rsidR="00CF37A3" w:rsidRDefault="006C56C7">
      <w:pPr>
        <w:spacing w:after="3" w:line="265" w:lineRule="auto"/>
        <w:ind w:left="240" w:right="22"/>
        <w:jc w:val="both"/>
      </w:pPr>
      <w:r>
        <w:rPr>
          <w:sz w:val="12"/>
        </w:rPr>
        <w:t>v. 459, p. 123–139, doi: 10 .1016 /</w:t>
      </w:r>
      <w:proofErr w:type="gramStart"/>
      <w:r>
        <w:rPr>
          <w:sz w:val="12"/>
        </w:rPr>
        <w:t>j .tecto</w:t>
      </w:r>
      <w:proofErr w:type="gramEnd"/>
      <w:r>
        <w:rPr>
          <w:sz w:val="12"/>
        </w:rPr>
        <w:t xml:space="preserve"> .2007 .11 .069.</w:t>
      </w:r>
    </w:p>
    <w:p w14:paraId="7D28C474" w14:textId="77777777" w:rsidR="00CF37A3" w:rsidRDefault="006C56C7">
      <w:pPr>
        <w:spacing w:after="3" w:line="265" w:lineRule="auto"/>
        <w:ind w:left="6" w:right="22"/>
        <w:jc w:val="both"/>
      </w:pPr>
      <w:r>
        <w:rPr>
          <w:sz w:val="12"/>
        </w:rPr>
        <w:t xml:space="preserve">Gianni, G., Navarrete, C., Orts, D., Tobal, J., Folguera, A., and </w:t>
      </w:r>
    </w:p>
    <w:p w14:paraId="200590BA" w14:textId="77777777" w:rsidR="00CF37A3" w:rsidRDefault="006C56C7">
      <w:pPr>
        <w:spacing w:after="3" w:line="265" w:lineRule="auto"/>
        <w:ind w:left="206" w:right="138" w:firstLine="34"/>
        <w:jc w:val="both"/>
      </w:pPr>
      <w:r>
        <w:rPr>
          <w:sz w:val="12"/>
        </w:rPr>
        <w:t xml:space="preserve">Giménez, M., 2015, Patagonian broken foreland and related synorogenic rifting: The origin of the Chubut Group Basin: </w:t>
      </w:r>
      <w:r>
        <w:rPr>
          <w:sz w:val="12"/>
        </w:rPr>
        <w:lastRenderedPageBreak/>
        <w:t>Tectonophysi</w:t>
      </w:r>
      <w:r>
        <w:rPr>
          <w:sz w:val="12"/>
        </w:rPr>
        <w:t xml:space="preserve">cs, v. 649, p. 81–99, doi:10. 1016 /j. </w:t>
      </w:r>
      <w:proofErr w:type="gramStart"/>
      <w:r>
        <w:rPr>
          <w:sz w:val="12"/>
        </w:rPr>
        <w:t>tecto  .</w:t>
      </w:r>
      <w:proofErr w:type="gramEnd"/>
      <w:r>
        <w:rPr>
          <w:sz w:val="12"/>
        </w:rPr>
        <w:t>2015 .03 .006.</w:t>
      </w:r>
    </w:p>
    <w:p w14:paraId="108DE958" w14:textId="77777777" w:rsidR="00CF37A3" w:rsidRDefault="006C56C7">
      <w:pPr>
        <w:spacing w:after="3" w:line="265" w:lineRule="auto"/>
        <w:ind w:left="144" w:right="22"/>
        <w:jc w:val="both"/>
      </w:pPr>
      <w:r>
        <w:rPr>
          <w:sz w:val="12"/>
        </w:rPr>
        <w:t xml:space="preserve">Haschke, M., Siebel, W., Günther, A., and Scheuber, E., 2002, </w:t>
      </w:r>
    </w:p>
    <w:p w14:paraId="2F3D8A2B" w14:textId="77777777" w:rsidR="00CF37A3" w:rsidRDefault="006C56C7">
      <w:pPr>
        <w:spacing w:after="1" w:line="260" w:lineRule="auto"/>
        <w:ind w:left="10" w:right="50" w:hanging="10"/>
        <w:jc w:val="right"/>
      </w:pPr>
      <w:r>
        <w:rPr>
          <w:sz w:val="12"/>
        </w:rPr>
        <w:t xml:space="preserve">Repeated crustal thickening and recycling during the </w:t>
      </w:r>
    </w:p>
    <w:p w14:paraId="66EA6C1C" w14:textId="77777777" w:rsidR="00CF37A3" w:rsidRDefault="006C56C7">
      <w:pPr>
        <w:spacing w:after="3" w:line="265" w:lineRule="auto"/>
        <w:ind w:left="369" w:right="22" w:firstLine="8"/>
        <w:jc w:val="both"/>
      </w:pPr>
      <w:r>
        <w:rPr>
          <w:sz w:val="12"/>
        </w:rPr>
        <w:t>Andean orogeny in north Chile (21°–26°S): Journal of Geophysical Research, v.</w:t>
      </w:r>
      <w:r>
        <w:rPr>
          <w:sz w:val="12"/>
        </w:rPr>
        <w:t xml:space="preserve"> 107, p. ECV 6-1–ECV 6-18, doi: 10 .1029 /2001JB000328.</w:t>
      </w:r>
    </w:p>
    <w:p w14:paraId="4A425BDE" w14:textId="77777777" w:rsidR="00CF37A3" w:rsidRDefault="006C56C7">
      <w:pPr>
        <w:spacing w:after="3" w:line="265" w:lineRule="auto"/>
        <w:ind w:left="144" w:right="22"/>
        <w:jc w:val="both"/>
      </w:pPr>
      <w:r>
        <w:rPr>
          <w:sz w:val="12"/>
        </w:rPr>
        <w:t xml:space="preserve">Haschke, M., Günther, A., Melnick, D., Echtler, H., Reutter, K.J., </w:t>
      </w:r>
    </w:p>
    <w:p w14:paraId="6ECB2A7D" w14:textId="77777777" w:rsidR="00CF37A3" w:rsidRDefault="006C56C7">
      <w:pPr>
        <w:spacing w:after="3" w:line="265" w:lineRule="auto"/>
        <w:ind w:left="376" w:right="22" w:firstLine="6"/>
        <w:jc w:val="both"/>
      </w:pPr>
      <w:r>
        <w:rPr>
          <w:sz w:val="12"/>
        </w:rPr>
        <w:t xml:space="preserve">Scheuber, E., and Oncken, O., 2006, Central and southern Andean tectonic evolution inferred from arc magmatism, </w:t>
      </w:r>
      <w:r>
        <w:rPr>
          <w:i/>
          <w:sz w:val="12"/>
        </w:rPr>
        <w:t xml:space="preserve">in </w:t>
      </w:r>
      <w:r>
        <w:rPr>
          <w:sz w:val="12"/>
        </w:rPr>
        <w:t>Oncken, O., et al</w:t>
      </w:r>
      <w:r>
        <w:rPr>
          <w:sz w:val="12"/>
        </w:rPr>
        <w:t>., eds., The Andes—Active subduction orogeny: Berlin, Springer, Frontiers in Earth Sciences, p. 337–353, doi: 10 .1007 /978 -3 -540 -48684 -8_16.</w:t>
      </w:r>
    </w:p>
    <w:p w14:paraId="0329EB42" w14:textId="77777777" w:rsidR="00CF37A3" w:rsidRDefault="006C56C7">
      <w:pPr>
        <w:spacing w:after="3" w:line="265" w:lineRule="auto"/>
        <w:ind w:left="379" w:right="22" w:hanging="235"/>
        <w:jc w:val="both"/>
      </w:pPr>
      <w:r>
        <w:rPr>
          <w:sz w:val="12"/>
        </w:rPr>
        <w:t>Hervé, F., Munizaga, F., Parada, M.A., Brook, M., Pankhurst, R.J., Snelling, N.J., and Drake, R., 1988, Granit</w:t>
      </w:r>
      <w:r>
        <w:rPr>
          <w:sz w:val="12"/>
        </w:rPr>
        <w:t>oids of the coast range of central Chile: Geochronology and geologic setting: Journal of South American Earth Sciences, v. 1, p. 185–194, doi: 10 .1016 /0895- 9811 (88)90036 -3.</w:t>
      </w:r>
    </w:p>
    <w:p w14:paraId="7A33018A" w14:textId="77777777" w:rsidR="00CF37A3" w:rsidRDefault="006C56C7">
      <w:pPr>
        <w:spacing w:after="3" w:line="265" w:lineRule="auto"/>
        <w:ind w:left="379" w:right="22" w:hanging="235"/>
        <w:jc w:val="both"/>
      </w:pPr>
      <w:r>
        <w:rPr>
          <w:sz w:val="12"/>
        </w:rPr>
        <w:t>Hildreth, W., and Moorbath, S., 1988, Crustal contributions to arc magmatism i</w:t>
      </w:r>
      <w:r>
        <w:rPr>
          <w:sz w:val="12"/>
        </w:rPr>
        <w:t>n the Andes of central Chile: Contributions to Mineralogy and Petrology, v. 98, p. 455–489, doi: 10 .1007 /BF00372365.</w:t>
      </w:r>
    </w:p>
    <w:p w14:paraId="11CEFEAD" w14:textId="77777777" w:rsidR="00CF37A3" w:rsidRDefault="006C56C7">
      <w:pPr>
        <w:spacing w:after="3" w:line="265" w:lineRule="auto"/>
        <w:ind w:left="379" w:right="22" w:hanging="235"/>
        <w:jc w:val="both"/>
      </w:pPr>
      <w:r>
        <w:rPr>
          <w:sz w:val="12"/>
        </w:rPr>
        <w:t>Horton, B.K., and Fuentes, F., 2016, Sedimentary record of plate coupling and decoupling during growth of the Andes: Geology, v. 44, p. 647–650, doi: 10 .1130/ G37918 .1.</w:t>
      </w:r>
    </w:p>
    <w:p w14:paraId="4D0D00D9" w14:textId="77777777" w:rsidR="00CF37A3" w:rsidRDefault="006C56C7">
      <w:pPr>
        <w:spacing w:after="3" w:line="265" w:lineRule="auto"/>
        <w:ind w:left="379" w:right="22" w:hanging="235"/>
        <w:jc w:val="both"/>
      </w:pPr>
      <w:r>
        <w:rPr>
          <w:sz w:val="12"/>
        </w:rPr>
        <w:t>Howell, J.A., Schwarz, E., Spalletti, L.A., and Veiga, G.D., 2005, The Neuquén Basin:</w:t>
      </w:r>
      <w:r>
        <w:rPr>
          <w:sz w:val="12"/>
        </w:rPr>
        <w:t xml:space="preserve"> An overview, </w:t>
      </w:r>
      <w:r>
        <w:rPr>
          <w:i/>
          <w:sz w:val="12"/>
        </w:rPr>
        <w:t>in</w:t>
      </w:r>
      <w:r>
        <w:rPr>
          <w:sz w:val="12"/>
        </w:rPr>
        <w:t xml:space="preserve"> Veiga, G. et al., eds., The Neuquén Basin, Argentina: A case study in sequence stratigraphy and basin dynamics: Geological Society, London, Special Publication 252, p. 1–14, doi:1 0 .1144 /</w:t>
      </w:r>
      <w:proofErr w:type="gramStart"/>
      <w:r>
        <w:rPr>
          <w:sz w:val="12"/>
        </w:rPr>
        <w:t>GSL .SP</w:t>
      </w:r>
      <w:proofErr w:type="gramEnd"/>
      <w:r>
        <w:rPr>
          <w:sz w:val="12"/>
        </w:rPr>
        <w:t xml:space="preserve"> .2005 .252 .01 .01.</w:t>
      </w:r>
    </w:p>
    <w:p w14:paraId="06E6620C" w14:textId="77777777" w:rsidR="00CF37A3" w:rsidRDefault="006C56C7">
      <w:pPr>
        <w:spacing w:after="3" w:line="265" w:lineRule="auto"/>
        <w:ind w:left="379" w:right="22" w:hanging="235"/>
        <w:jc w:val="both"/>
      </w:pPr>
      <w:r>
        <w:rPr>
          <w:sz w:val="12"/>
        </w:rPr>
        <w:t>Introcaso, A., Pacino,</w:t>
      </w:r>
      <w:r>
        <w:rPr>
          <w:sz w:val="12"/>
        </w:rPr>
        <w:t xml:space="preserve"> M.C., and Fraga, H., 1992, Gravity, </w:t>
      </w:r>
      <w:proofErr w:type="gramStart"/>
      <w:r>
        <w:rPr>
          <w:sz w:val="12"/>
        </w:rPr>
        <w:t>isostasy</w:t>
      </w:r>
      <w:proofErr w:type="gramEnd"/>
      <w:r>
        <w:rPr>
          <w:sz w:val="12"/>
        </w:rPr>
        <w:t xml:space="preserve"> and Andean crustal shortening between latitudes 30 and 35 S: Tectonophysics, v. 205, p. 31–48, doi:1 0 .1016 /0040 -1951 (92)90416- 4.</w:t>
      </w:r>
    </w:p>
    <w:p w14:paraId="4F4C1856" w14:textId="77777777" w:rsidR="00CF37A3" w:rsidRDefault="006C56C7">
      <w:pPr>
        <w:spacing w:after="3" w:line="265" w:lineRule="auto"/>
        <w:ind w:left="379" w:right="22" w:hanging="235"/>
        <w:jc w:val="both"/>
      </w:pPr>
      <w:r>
        <w:rPr>
          <w:sz w:val="12"/>
        </w:rPr>
        <w:t>Kay, S.M., and Mpodozis, C., 2001, Central Andean ore deposits linked to evolving shallow subduction systems and thickening crust: GSA Today, v. 11, no. 3, p. 4–9, doi:1 0 .1130 /1052 -5173 (2001)011 &lt;0004: CAODLT&gt;2 .0 .CO;2.</w:t>
      </w:r>
    </w:p>
    <w:p w14:paraId="354E7B00" w14:textId="77777777" w:rsidR="00CF37A3" w:rsidRDefault="006C56C7">
      <w:pPr>
        <w:spacing w:after="3" w:line="265" w:lineRule="auto"/>
        <w:ind w:left="379" w:right="22" w:hanging="235"/>
        <w:jc w:val="both"/>
      </w:pPr>
      <w:r>
        <w:rPr>
          <w:sz w:val="12"/>
        </w:rPr>
        <w:t>Kay, S.M., Ramos, V.A., Mpodoz</w:t>
      </w:r>
      <w:r>
        <w:rPr>
          <w:sz w:val="12"/>
        </w:rPr>
        <w:t xml:space="preserve">is, C., and Sruoga, P., 1989, Late Paleozoic to Jurassic silicic magmatism at the Gondwanaland margin: Analogy to the Middle Proterozoic in North </w:t>
      </w:r>
      <w:proofErr w:type="gramStart"/>
      <w:r>
        <w:rPr>
          <w:sz w:val="12"/>
        </w:rPr>
        <w:t>America?:</w:t>
      </w:r>
      <w:proofErr w:type="gramEnd"/>
      <w:r>
        <w:rPr>
          <w:sz w:val="12"/>
        </w:rPr>
        <w:t xml:space="preserve"> Geology, v. 17, p. 324–328, doi:1 0 .1130 /0091 -7613 (1989)017&lt; 0324: LPTJSM&gt;2 .3 .CO;2.</w:t>
      </w:r>
    </w:p>
    <w:p w14:paraId="1ED18E16" w14:textId="77777777" w:rsidR="00CF37A3" w:rsidRDefault="006C56C7">
      <w:pPr>
        <w:spacing w:after="3" w:line="265" w:lineRule="auto"/>
        <w:ind w:left="378" w:right="22" w:hanging="235"/>
        <w:jc w:val="both"/>
      </w:pPr>
      <w:r>
        <w:rPr>
          <w:sz w:val="12"/>
        </w:rPr>
        <w:t>Kay, S.M.,</w:t>
      </w:r>
      <w:r>
        <w:rPr>
          <w:sz w:val="12"/>
        </w:rPr>
        <w:t xml:space="preserve"> Mpodozis, C., Ramos, V.A., and Munizaga, F., 1991, Magma source variations for mid-late Tertiary magmatic rocks associated with a shallowing subduction zone and a thickening crust in the central Andes (28 to 33°S),</w:t>
      </w:r>
      <w:r>
        <w:rPr>
          <w:i/>
          <w:sz w:val="12"/>
        </w:rPr>
        <w:t xml:space="preserve"> in</w:t>
      </w:r>
      <w:r>
        <w:rPr>
          <w:sz w:val="12"/>
        </w:rPr>
        <w:t xml:space="preserve"> Harmon, R.S., and Rapela, C.W., eds.,</w:t>
      </w:r>
      <w:r>
        <w:rPr>
          <w:sz w:val="12"/>
        </w:rPr>
        <w:t xml:space="preserve"> Andean magmatism and its tectonic setting: Geological Society of America Special Paper 265, p. 113–137, doi:1 0 .1130 /SPE265 -p113.</w:t>
      </w:r>
    </w:p>
    <w:p w14:paraId="6844A8B9" w14:textId="77777777" w:rsidR="00CF37A3" w:rsidRDefault="006C56C7">
      <w:pPr>
        <w:spacing w:after="3" w:line="265" w:lineRule="auto"/>
        <w:ind w:left="379" w:right="22" w:hanging="235"/>
        <w:jc w:val="both"/>
      </w:pPr>
      <w:r>
        <w:rPr>
          <w:sz w:val="12"/>
        </w:rPr>
        <w:t>Kay, S.M., Godoy, E., and Kurtz, A., 2005, Episodic arc migration, crustal thickening, subduction erosion, and magmatism i</w:t>
      </w:r>
      <w:r>
        <w:rPr>
          <w:sz w:val="12"/>
        </w:rPr>
        <w:t xml:space="preserve">n the south-central Andes: Geological Society of America Bulletin, v. 117, p. 67–88, doi:1 0.1130 / B25431.1. </w:t>
      </w:r>
    </w:p>
    <w:p w14:paraId="2D09AD08" w14:textId="77777777" w:rsidR="00CF37A3" w:rsidRDefault="006C56C7">
      <w:pPr>
        <w:spacing w:after="3" w:line="265" w:lineRule="auto"/>
        <w:ind w:left="379" w:right="22" w:hanging="235"/>
        <w:jc w:val="both"/>
      </w:pPr>
      <w:r>
        <w:rPr>
          <w:sz w:val="12"/>
        </w:rPr>
        <w:t>Kay, S.M., Burns, W.M., Copeland, P., and Mancilla, O., 2006, Upper Cretaceous to Holocene magmatism and evidence for transient Miocene shallowin</w:t>
      </w:r>
      <w:r>
        <w:rPr>
          <w:sz w:val="12"/>
        </w:rPr>
        <w:t xml:space="preserve">g of the Andean subduction zone under the northern Neuquén Basin, </w:t>
      </w:r>
      <w:r>
        <w:rPr>
          <w:i/>
          <w:sz w:val="12"/>
        </w:rPr>
        <w:t>in</w:t>
      </w:r>
      <w:r>
        <w:rPr>
          <w:sz w:val="12"/>
        </w:rPr>
        <w:t xml:space="preserve"> Kay, S.M., and Ramos, V.A., eds., Evolution of an Andean margin: A tectonic and magmatic view from the Andes to the Neuquén Basin (35°–39°S lat): Geological Society of America Special Pap</w:t>
      </w:r>
      <w:r>
        <w:rPr>
          <w:sz w:val="12"/>
        </w:rPr>
        <w:t>er 407, p. 19–60, doi: 10 .1130 /2006 .2407 (02).</w:t>
      </w:r>
    </w:p>
    <w:p w14:paraId="673FCDFE" w14:textId="77777777" w:rsidR="00CF37A3" w:rsidRDefault="006C56C7">
      <w:pPr>
        <w:spacing w:after="3" w:line="265" w:lineRule="auto"/>
        <w:ind w:left="379" w:right="22" w:hanging="235"/>
        <w:jc w:val="both"/>
      </w:pPr>
      <w:r>
        <w:rPr>
          <w:sz w:val="12"/>
        </w:rPr>
        <w:t>Kleiman, L.E., and Japas, M.S., 2009, The Choiyoi volcanic province at 34 S–36 S (San Rafael, Mendoza, Argentina): Implications for the Late Palaeozoic evolution of the southwestern margin of Gondwana: Tect</w:t>
      </w:r>
      <w:r>
        <w:rPr>
          <w:sz w:val="12"/>
        </w:rPr>
        <w:t>onophysics, v. 473, p.283–299.</w:t>
      </w:r>
    </w:p>
    <w:p w14:paraId="15CE6B0F" w14:textId="77777777" w:rsidR="00CF37A3" w:rsidRDefault="006C56C7">
      <w:pPr>
        <w:spacing w:after="3" w:line="265" w:lineRule="auto"/>
        <w:ind w:left="335" w:right="22" w:hanging="191"/>
        <w:jc w:val="both"/>
      </w:pPr>
      <w:r>
        <w:rPr>
          <w:sz w:val="12"/>
        </w:rPr>
        <w:t xml:space="preserve">Kley, J., and Monaldi, C.R., 1998, Tectonic shortening and crustal thickness in the Central Andes: How good is the </w:t>
      </w:r>
      <w:proofErr w:type="gramStart"/>
      <w:r>
        <w:rPr>
          <w:sz w:val="12"/>
        </w:rPr>
        <w:t>correlation?:</w:t>
      </w:r>
      <w:proofErr w:type="gramEnd"/>
      <w:r>
        <w:rPr>
          <w:sz w:val="12"/>
        </w:rPr>
        <w:t xml:space="preserve"> Geology, v. 26, p. 723–726, doi:1 0.1130 / 0091 -7613 (1998)026 &lt;0723: TSACTI&gt;2 .3 .CO;2.</w:t>
      </w:r>
    </w:p>
    <w:p w14:paraId="2AEDD380" w14:textId="77777777" w:rsidR="00CF37A3" w:rsidRDefault="006C56C7">
      <w:pPr>
        <w:spacing w:after="3" w:line="265" w:lineRule="auto"/>
        <w:ind w:left="379" w:right="22" w:hanging="235"/>
        <w:jc w:val="both"/>
      </w:pPr>
      <w:r>
        <w:rPr>
          <w:sz w:val="12"/>
        </w:rPr>
        <w:t xml:space="preserve">Lara, </w:t>
      </w:r>
      <w:r>
        <w:rPr>
          <w:sz w:val="12"/>
        </w:rPr>
        <w:t>L., Rodriguez, C., Moreno, H., and Arce, C., 2001, Geocronologia K-Ar y geoquimica del volcanismo piloceno superior-pleistoceno de los Andes del sur (39–42°S): Revista Geológica de Chile, v. 28, p. 67–90, doi: 10 .4067 /S0716 -02082001000100004.</w:t>
      </w:r>
    </w:p>
    <w:p w14:paraId="00D7A00F" w14:textId="77777777" w:rsidR="00CF37A3" w:rsidRDefault="006C56C7">
      <w:pPr>
        <w:spacing w:after="3" w:line="265" w:lineRule="auto"/>
        <w:ind w:left="379" w:right="22" w:hanging="235"/>
        <w:jc w:val="both"/>
      </w:pPr>
      <w:r>
        <w:rPr>
          <w:sz w:val="12"/>
        </w:rPr>
        <w:t>Leanza, H.</w:t>
      </w:r>
      <w:r>
        <w:rPr>
          <w:sz w:val="12"/>
        </w:rPr>
        <w:t xml:space="preserve">A., and Hugo, C.A., 2001, Cretaceous red beds from southern Neuquén Basin (Argentina): Age, </w:t>
      </w:r>
      <w:proofErr w:type="gramStart"/>
      <w:r>
        <w:rPr>
          <w:sz w:val="12"/>
        </w:rPr>
        <w:t>distribution</w:t>
      </w:r>
      <w:proofErr w:type="gramEnd"/>
      <w:r>
        <w:rPr>
          <w:sz w:val="12"/>
        </w:rPr>
        <w:t xml:space="preserve"> and stratigraphic discontinuities: Asociación Paleontológica Argentina, Publicación Especial, v. 7, p.117–122.</w:t>
      </w:r>
    </w:p>
    <w:p w14:paraId="6B2408A8" w14:textId="77777777" w:rsidR="00CF37A3" w:rsidRDefault="006C56C7">
      <w:pPr>
        <w:spacing w:after="3" w:line="265" w:lineRule="auto"/>
        <w:ind w:left="379" w:right="22" w:hanging="235"/>
        <w:jc w:val="both"/>
      </w:pPr>
      <w:r>
        <w:rPr>
          <w:sz w:val="12"/>
        </w:rPr>
        <w:t>Leanza, H.A., Apesteguía, S., Novas, F.E</w:t>
      </w:r>
      <w:r>
        <w:rPr>
          <w:sz w:val="12"/>
        </w:rPr>
        <w:t>., and de la Fuente, M.S., 2004, Cretaceous terrestrial beds from the Neuquén Basin (Argentina) and their tetrapod assemblages: Cretaceous Research, v. 25, p.61–87.</w:t>
      </w:r>
    </w:p>
    <w:p w14:paraId="606D117D" w14:textId="77777777" w:rsidR="00CF37A3" w:rsidRDefault="006C56C7">
      <w:pPr>
        <w:spacing w:after="3" w:line="265" w:lineRule="auto"/>
        <w:ind w:left="241" w:right="22" w:hanging="235"/>
        <w:jc w:val="both"/>
      </w:pPr>
      <w:r>
        <w:rPr>
          <w:sz w:val="12"/>
        </w:rPr>
        <w:t>Legarreta, L., and Gulisano, C.A., 1989, Análisis estratigráifico secuencial de la Cuenca N</w:t>
      </w:r>
      <w:r>
        <w:rPr>
          <w:sz w:val="12"/>
        </w:rPr>
        <w:t xml:space="preserve">euquina (Trifisico superior–Terciario inferior, Argentina), </w:t>
      </w:r>
      <w:r>
        <w:rPr>
          <w:i/>
          <w:sz w:val="12"/>
        </w:rPr>
        <w:t>in</w:t>
      </w:r>
      <w:r>
        <w:rPr>
          <w:sz w:val="12"/>
        </w:rPr>
        <w:t xml:space="preserve"> Chebli, G., and Spalletti, L., eds., Cuencas Sedimentarias Argentinas: Universidad Nacional de Tucumán Serie Correlación Geológica 6, p. 221–243.</w:t>
      </w:r>
    </w:p>
    <w:p w14:paraId="5344C28C" w14:textId="77777777" w:rsidR="00CF37A3" w:rsidRDefault="006C56C7">
      <w:pPr>
        <w:spacing w:after="3" w:line="265" w:lineRule="auto"/>
        <w:ind w:left="241" w:right="22" w:hanging="235"/>
        <w:jc w:val="both"/>
      </w:pPr>
      <w:r>
        <w:rPr>
          <w:sz w:val="12"/>
        </w:rPr>
        <w:t>Legarreta, L., and Uliana, M.A., 1991, Jurassic</w:t>
      </w:r>
      <w:r>
        <w:rPr>
          <w:sz w:val="12"/>
        </w:rPr>
        <w:t xml:space="preserve">–Cretaceous marine oscillations and geometry of backarc basin fill, central Argentine Andes, </w:t>
      </w:r>
      <w:r>
        <w:rPr>
          <w:i/>
          <w:sz w:val="12"/>
        </w:rPr>
        <w:t>in</w:t>
      </w:r>
      <w:r>
        <w:rPr>
          <w:sz w:val="12"/>
        </w:rPr>
        <w:t xml:space="preserve"> Macdonald, D.I.M., ed., Sedimentation, tectonics and eustasy, sea level changes at active plate margins: International Association of Sedimentologists Special P</w:t>
      </w:r>
      <w:r>
        <w:rPr>
          <w:sz w:val="12"/>
        </w:rPr>
        <w:t>ublication 12, p. 429–450.</w:t>
      </w:r>
    </w:p>
    <w:p w14:paraId="0FE86268" w14:textId="77777777" w:rsidR="00CF37A3" w:rsidRDefault="006C56C7">
      <w:pPr>
        <w:spacing w:after="3" w:line="265" w:lineRule="auto"/>
        <w:ind w:left="241" w:right="22" w:hanging="235"/>
        <w:jc w:val="both"/>
      </w:pPr>
      <w:r>
        <w:rPr>
          <w:sz w:val="12"/>
        </w:rPr>
        <w:t>Litvak, V., Spagnuolo, M., Folguera, A., Poma, S., Jones, R., and Ramos, V.A., 2015, Late Cenozoic calc-alkaline volcanic rocks over the Payenia shallow subduction zone, south-central Andean back-arc (34°30</w:t>
      </w:r>
      <w:r>
        <w:rPr>
          <w:rFonts w:ascii="Segoe UI Symbol" w:eastAsia="Segoe UI Symbol" w:hAnsi="Segoe UI Symbol" w:cs="Segoe UI Symbol"/>
          <w:b/>
          <w:sz w:val="12"/>
        </w:rPr>
        <w:t>′</w:t>
      </w:r>
      <w:r>
        <w:rPr>
          <w:sz w:val="12"/>
        </w:rPr>
        <w:t>–37°S), Argentina: Jou</w:t>
      </w:r>
      <w:r>
        <w:rPr>
          <w:sz w:val="12"/>
        </w:rPr>
        <w:t>rnal of South American Earth Sciences, v. 64, doi:1 0 .1016 /</w:t>
      </w:r>
      <w:proofErr w:type="gramStart"/>
      <w:r>
        <w:rPr>
          <w:sz w:val="12"/>
        </w:rPr>
        <w:t>j .jsames</w:t>
      </w:r>
      <w:proofErr w:type="gramEnd"/>
      <w:r>
        <w:rPr>
          <w:sz w:val="12"/>
        </w:rPr>
        <w:t xml:space="preserve"> .2015 .09 .010.</w:t>
      </w:r>
    </w:p>
    <w:p w14:paraId="6113F8AF" w14:textId="77777777" w:rsidR="00CF37A3" w:rsidRDefault="006C56C7">
      <w:pPr>
        <w:spacing w:after="3" w:line="265" w:lineRule="auto"/>
        <w:ind w:left="241" w:right="22" w:hanging="235"/>
        <w:jc w:val="both"/>
      </w:pPr>
      <w:r>
        <w:rPr>
          <w:sz w:val="12"/>
        </w:rPr>
        <w:t xml:space="preserve">López-Escobar, L., 1984, Petrology and chemistry of volcanic rocks of the Southern Andes, </w:t>
      </w:r>
      <w:r>
        <w:rPr>
          <w:i/>
          <w:sz w:val="12"/>
        </w:rPr>
        <w:t>in</w:t>
      </w:r>
      <w:r>
        <w:rPr>
          <w:sz w:val="12"/>
        </w:rPr>
        <w:t xml:space="preserve"> Harmon, R.S., and Barreiro, B.A., eds., Andean magmatism: Chemical and isoto</w:t>
      </w:r>
      <w:r>
        <w:rPr>
          <w:sz w:val="12"/>
        </w:rPr>
        <w:t>pic constraints: Boston, Birkhäuser, p. 47–71, doi: 10 .1007 /978 -1 -4684 -7335 -3_5.</w:t>
      </w:r>
    </w:p>
    <w:p w14:paraId="563847A9" w14:textId="77777777" w:rsidR="00CF37A3" w:rsidRDefault="006C56C7">
      <w:pPr>
        <w:spacing w:after="3" w:line="265" w:lineRule="auto"/>
        <w:ind w:left="6" w:right="22"/>
        <w:jc w:val="both"/>
      </w:pPr>
      <w:r>
        <w:rPr>
          <w:sz w:val="12"/>
        </w:rPr>
        <w:t>Lucassen, F., Trumbull, R., Franz, G., Creixell, C., Vásquez, P., Romer, R.L., and Figueroa, O., 2004, Distinguishing crustal recycling and juvenile additions at active continental margins: The Paleozoic to recent compositional evolution of the Chilean Pac</w:t>
      </w:r>
      <w:r>
        <w:rPr>
          <w:sz w:val="12"/>
        </w:rPr>
        <w:t>ific margin (36–41 S): Journal of South American Earth Sciences, v. 17, p. 103–119, doi: 10 .1016 /</w:t>
      </w:r>
      <w:proofErr w:type="gramStart"/>
      <w:r>
        <w:rPr>
          <w:sz w:val="12"/>
        </w:rPr>
        <w:t>j .jsames</w:t>
      </w:r>
      <w:proofErr w:type="gramEnd"/>
      <w:r>
        <w:rPr>
          <w:sz w:val="12"/>
        </w:rPr>
        <w:t xml:space="preserve"> .2004 .04 .002. Ludwig, K.R., 2008, Isoplot 3.60: Berkeley Geochronology Center Special Publication 4, 77 p.</w:t>
      </w:r>
    </w:p>
    <w:p w14:paraId="4822026C" w14:textId="77777777" w:rsidR="00CF37A3" w:rsidRDefault="006C56C7">
      <w:pPr>
        <w:spacing w:after="3" w:line="265" w:lineRule="auto"/>
        <w:ind w:left="241" w:right="22" w:hanging="235"/>
        <w:jc w:val="both"/>
      </w:pPr>
      <w:r>
        <w:rPr>
          <w:sz w:val="12"/>
        </w:rPr>
        <w:t xml:space="preserve">Maloney, K.T., Clarke, G.L., Klepeis, </w:t>
      </w:r>
      <w:r>
        <w:rPr>
          <w:sz w:val="12"/>
        </w:rPr>
        <w:t>K.A., and Quevedo, L., 2013, The Late Jurassic to present evolution of the Andean margin: Drivers and the geological record: Tectonics, v. 32, p. 1049–1065, doi: 10 .1002 /tect .20067.</w:t>
      </w:r>
    </w:p>
    <w:p w14:paraId="5BC3D5E1" w14:textId="77777777" w:rsidR="00CF37A3" w:rsidRDefault="006C56C7">
      <w:pPr>
        <w:spacing w:after="3" w:line="265" w:lineRule="auto"/>
        <w:ind w:left="241" w:right="22" w:hanging="235"/>
        <w:jc w:val="both"/>
      </w:pPr>
      <w:r>
        <w:rPr>
          <w:sz w:val="12"/>
        </w:rPr>
        <w:t xml:space="preserve">Manceda, R., and Figueroa, D., 1995, Inversion of the Mesozoic Neuquén </w:t>
      </w:r>
      <w:r>
        <w:rPr>
          <w:sz w:val="12"/>
        </w:rPr>
        <w:t xml:space="preserve">rift in the Malargüe fold and thrust belt, Mendoza, Argentina, </w:t>
      </w:r>
      <w:r>
        <w:rPr>
          <w:i/>
          <w:sz w:val="12"/>
        </w:rPr>
        <w:t>in</w:t>
      </w:r>
      <w:r>
        <w:rPr>
          <w:sz w:val="12"/>
        </w:rPr>
        <w:t xml:space="preserve"> Tankard, A.J., et al., eds., Petroleum basins of South America: American Association of Petroleum Geologists Memoir 62, p. 369–382.</w:t>
      </w:r>
    </w:p>
    <w:p w14:paraId="02F1011E" w14:textId="77777777" w:rsidR="00CF37A3" w:rsidRDefault="006C56C7">
      <w:pPr>
        <w:spacing w:after="3" w:line="265" w:lineRule="auto"/>
        <w:ind w:left="241" w:right="22" w:hanging="235"/>
        <w:jc w:val="both"/>
      </w:pPr>
      <w:r>
        <w:rPr>
          <w:sz w:val="12"/>
        </w:rPr>
        <w:t>McMillan, N.J., Harmon, R.S., Moorbath, S., Lopez-Escobar,</w:t>
      </w:r>
      <w:r>
        <w:rPr>
          <w:sz w:val="12"/>
        </w:rPr>
        <w:t xml:space="preserve"> L., and Strong, D.F., 1989, Crustal sources involved in continental arc magmatism: A case study of volcan Mocho-Choshuenco, southern Chile: Geology, v. 17, p. 1152–1156, doi: 10 .1130 /0091 -7613 (1989)017 &lt;1152: CSIICA&gt;2 .3 .CO;2.</w:t>
      </w:r>
    </w:p>
    <w:p w14:paraId="72C49058" w14:textId="77777777" w:rsidR="00CF37A3" w:rsidRDefault="006C56C7">
      <w:pPr>
        <w:spacing w:after="0" w:line="263" w:lineRule="auto"/>
        <w:ind w:left="211" w:hanging="215"/>
      </w:pPr>
      <w:r>
        <w:rPr>
          <w:sz w:val="12"/>
        </w:rPr>
        <w:t xml:space="preserve">Muñoz, J., Duhart, P., </w:t>
      </w:r>
      <w:r>
        <w:rPr>
          <w:sz w:val="12"/>
        </w:rPr>
        <w:t xml:space="preserve">and Farmer, L., 2000, The relation of the mid-Tertiary coastal magmatic belt in south-central Chile to the late Oligocene increase in plate convergence rate: Revista Geológica de Chile, v. 27, p. 177–203, doi:1 0.4067 </w:t>
      </w:r>
      <w:r>
        <w:rPr>
          <w:sz w:val="12"/>
        </w:rPr>
        <w:tab/>
        <w:t xml:space="preserve"> /S0716 -02082000000200003.</w:t>
      </w:r>
    </w:p>
    <w:p w14:paraId="79E285DD" w14:textId="77777777" w:rsidR="00CF37A3" w:rsidRDefault="006C56C7">
      <w:pPr>
        <w:spacing w:after="3" w:line="265" w:lineRule="auto"/>
        <w:ind w:left="241" w:right="22" w:hanging="235"/>
        <w:jc w:val="both"/>
      </w:pPr>
      <w:r>
        <w:rPr>
          <w:sz w:val="12"/>
        </w:rPr>
        <w:t>Naipauer,</w:t>
      </w:r>
      <w:r>
        <w:rPr>
          <w:sz w:val="12"/>
        </w:rPr>
        <w:t xml:space="preserve"> M., Tunik, M., Marques, J.C., Vera, E.A.R., Vujovich, G.I., Pimentel, M.M., and Ramos, V.A., 2015, U-Pb detrital zircon ages of Upper Jurassic continental successions: Implications for the provenance and absolute age of the Jurassic–Cretaceous boundary in</w:t>
      </w:r>
      <w:r>
        <w:rPr>
          <w:sz w:val="12"/>
        </w:rPr>
        <w:t xml:space="preserve"> the Neuquén Basin: Geological Society, London, Special Publications, 399, p.131–154.</w:t>
      </w:r>
    </w:p>
    <w:p w14:paraId="023676D6" w14:textId="77777777" w:rsidR="00CF37A3" w:rsidRDefault="006C56C7">
      <w:pPr>
        <w:spacing w:after="0" w:line="263" w:lineRule="auto"/>
        <w:ind w:left="211" w:hanging="215"/>
      </w:pPr>
      <w:r>
        <w:rPr>
          <w:sz w:val="12"/>
        </w:rPr>
        <w:t>Orts, D., Folguera, A., Gimenez, M., Ruiz, F., Rojas Vera, E., and Lince Klinger, F., 2015, Cenozoic building and deformational processes in the North Patagonian Andes: J</w:t>
      </w:r>
      <w:r>
        <w:rPr>
          <w:sz w:val="12"/>
        </w:rPr>
        <w:t>ournal of Geodynamics, v. 86, p. 26–41, doi: 10 .1016 /</w:t>
      </w:r>
      <w:proofErr w:type="gramStart"/>
      <w:r>
        <w:rPr>
          <w:sz w:val="12"/>
        </w:rPr>
        <w:t>j .jog</w:t>
      </w:r>
      <w:proofErr w:type="gramEnd"/>
      <w:r>
        <w:rPr>
          <w:sz w:val="12"/>
        </w:rPr>
        <w:t xml:space="preserve"> .2015 .02 .002.</w:t>
      </w:r>
    </w:p>
    <w:p w14:paraId="7E79937B" w14:textId="77777777" w:rsidR="00CF37A3" w:rsidRDefault="006C56C7">
      <w:pPr>
        <w:spacing w:after="3" w:line="265" w:lineRule="auto"/>
        <w:ind w:left="241" w:right="22" w:hanging="235"/>
        <w:jc w:val="both"/>
      </w:pPr>
      <w:r>
        <w:rPr>
          <w:sz w:val="12"/>
        </w:rPr>
        <w:t>Pankhurst, R.J., and Herve, F., 1994, Granitoid age distribution and emplacement control in the North Patagonian Batholith, Aysen, southern Chile: Congreso Geologíco Chileno, 7th</w:t>
      </w:r>
      <w:r>
        <w:rPr>
          <w:sz w:val="12"/>
        </w:rPr>
        <w:t>, Actas, v. 2, p. 1409–1413.</w:t>
      </w:r>
    </w:p>
    <w:p w14:paraId="191BC82E" w14:textId="77777777" w:rsidR="00CF37A3" w:rsidRDefault="006C56C7">
      <w:pPr>
        <w:spacing w:after="3" w:line="265" w:lineRule="auto"/>
        <w:ind w:left="241" w:right="22" w:hanging="235"/>
        <w:jc w:val="both"/>
      </w:pPr>
      <w:r>
        <w:rPr>
          <w:sz w:val="12"/>
        </w:rPr>
        <w:t>Pankhurst, R.J., Rojas, L., and Cembrano, J., 1992, Magmatism and tectonics in continental Chile, Chile (41°–</w:t>
      </w:r>
    </w:p>
    <w:p w14:paraId="59DB45E1" w14:textId="77777777" w:rsidR="00CF37A3" w:rsidRDefault="006C56C7">
      <w:pPr>
        <w:spacing w:after="3" w:line="265" w:lineRule="auto"/>
        <w:ind w:left="242" w:right="22" w:hanging="7"/>
        <w:jc w:val="both"/>
      </w:pPr>
      <w:r>
        <w:rPr>
          <w:sz w:val="12"/>
        </w:rPr>
        <w:t>42°30</w:t>
      </w:r>
      <w:r>
        <w:rPr>
          <w:rFonts w:ascii="Segoe UI Symbol" w:eastAsia="Segoe UI Symbol" w:hAnsi="Segoe UI Symbol" w:cs="Segoe UI Symbol"/>
          <w:b/>
          <w:sz w:val="12"/>
        </w:rPr>
        <w:t>′</w:t>
      </w:r>
      <w:r>
        <w:rPr>
          <w:sz w:val="12"/>
        </w:rPr>
        <w:t>S): Tectonophysics, v. 205, p. 283–294, doi:1 0 .1016 /0040 -1951 (92)90431 -5.</w:t>
      </w:r>
    </w:p>
    <w:p w14:paraId="4C14B948" w14:textId="77777777" w:rsidR="00CF37A3" w:rsidRDefault="006C56C7">
      <w:pPr>
        <w:spacing w:after="3" w:line="265" w:lineRule="auto"/>
        <w:ind w:left="6" w:right="22"/>
        <w:jc w:val="both"/>
      </w:pPr>
      <w:r>
        <w:rPr>
          <w:sz w:val="12"/>
        </w:rPr>
        <w:t xml:space="preserve">Pankhurst, R.J., Weaver, S.D., </w:t>
      </w:r>
      <w:r>
        <w:rPr>
          <w:sz w:val="12"/>
        </w:rPr>
        <w:t xml:space="preserve">Herve, F., and Larrondo, P., 1999, </w:t>
      </w:r>
    </w:p>
    <w:p w14:paraId="5214D240" w14:textId="77777777" w:rsidR="00CF37A3" w:rsidRDefault="006C56C7">
      <w:pPr>
        <w:spacing w:after="3" w:line="265" w:lineRule="auto"/>
        <w:ind w:left="242" w:right="22" w:firstLine="1"/>
        <w:jc w:val="both"/>
      </w:pPr>
      <w:r>
        <w:rPr>
          <w:sz w:val="12"/>
        </w:rPr>
        <w:t>Mesozoic–Cenozoic evolution of the North Patagonian Batholith in Aysen, southern Chile: Journal of the Geological Society [London], v. 156, p. 673–694, doi:1 0 .1144 /gsjgs .156 .4 .0673.</w:t>
      </w:r>
    </w:p>
    <w:p w14:paraId="03D2CBF4" w14:textId="77777777" w:rsidR="00CF37A3" w:rsidRDefault="006C56C7">
      <w:pPr>
        <w:spacing w:after="3" w:line="265" w:lineRule="auto"/>
        <w:ind w:left="241" w:right="22" w:hanging="235"/>
        <w:jc w:val="both"/>
      </w:pPr>
      <w:r>
        <w:rPr>
          <w:sz w:val="12"/>
        </w:rPr>
        <w:t>Patchett, P.J., 1983, Importance</w:t>
      </w:r>
      <w:r>
        <w:rPr>
          <w:sz w:val="12"/>
        </w:rPr>
        <w:t xml:space="preserve"> of the Lu-Hf isotopic system in studies of planetary chronology and chemical evolution: Geochimica and Cosmochimica Acta, v. 47, p. 81–91.</w:t>
      </w:r>
    </w:p>
    <w:p w14:paraId="48E6F5EE" w14:textId="77777777" w:rsidR="00CF37A3" w:rsidRDefault="006C56C7">
      <w:pPr>
        <w:spacing w:after="3" w:line="265" w:lineRule="auto"/>
        <w:ind w:left="241" w:right="22" w:hanging="235"/>
        <w:jc w:val="both"/>
      </w:pPr>
      <w:r>
        <w:rPr>
          <w:sz w:val="12"/>
        </w:rPr>
        <w:t>Patchett, P.J., and Tatsumoto, M., 1980, A routine high-precision method for Lu-Hf isotope geochemistry and chronolo</w:t>
      </w:r>
      <w:r>
        <w:rPr>
          <w:sz w:val="12"/>
        </w:rPr>
        <w:t>gy: Contributions to Mineralogy and Petrology, v. 75, p. 263-267, doi: 10 .1007 /BF01166766.</w:t>
      </w:r>
    </w:p>
    <w:p w14:paraId="5F757E54" w14:textId="77777777" w:rsidR="00CF37A3" w:rsidRDefault="006C56C7">
      <w:pPr>
        <w:spacing w:after="3" w:line="265" w:lineRule="auto"/>
        <w:ind w:left="241" w:right="22" w:hanging="235"/>
        <w:jc w:val="both"/>
      </w:pPr>
      <w:r>
        <w:rPr>
          <w:sz w:val="12"/>
        </w:rPr>
        <w:t>Paterson, S.R., and Ducea, M.N., 2015, Arc magmatic tempos: Gathering the evidence: Elements, v. 11, no. 2, p. 91–98, doi: 10 .2113 /gselements .11 .2 .91.</w:t>
      </w:r>
    </w:p>
    <w:p w14:paraId="397C58AC" w14:textId="77777777" w:rsidR="00CF37A3" w:rsidRDefault="006C56C7">
      <w:pPr>
        <w:spacing w:after="3" w:line="265" w:lineRule="auto"/>
        <w:ind w:left="241" w:right="22" w:hanging="235"/>
        <w:jc w:val="both"/>
      </w:pPr>
      <w:r>
        <w:rPr>
          <w:sz w:val="12"/>
        </w:rPr>
        <w:t>Pepper,</w:t>
      </w:r>
      <w:r>
        <w:rPr>
          <w:sz w:val="12"/>
        </w:rPr>
        <w:t xml:space="preserve"> M.B., Gehrels, G., Pullen, A., Ibanez-Mejia, M., Ward, K.M., and Kapp, P., 2016, Magmatic history and crustal genesis of South America: Constraints from U-Pb Ages and Hf isotopes of detrital zircons in modern rivers: Geosphere, v. 12, p. 1532–1555, doi:1 </w:t>
      </w:r>
      <w:r>
        <w:rPr>
          <w:sz w:val="12"/>
        </w:rPr>
        <w:t>0 .1130/ GES01315 .1.</w:t>
      </w:r>
    </w:p>
    <w:p w14:paraId="7262977F" w14:textId="77777777" w:rsidR="00CF37A3" w:rsidRDefault="006C56C7">
      <w:pPr>
        <w:spacing w:after="3" w:line="265" w:lineRule="auto"/>
        <w:ind w:left="241" w:right="22" w:hanging="235"/>
        <w:jc w:val="both"/>
      </w:pPr>
      <w:r>
        <w:rPr>
          <w:sz w:val="12"/>
        </w:rPr>
        <w:t xml:space="preserve">Ramos, V.A., 1984, Patagonia: ¿Un continente paleozoico a la </w:t>
      </w:r>
      <w:proofErr w:type="gramStart"/>
      <w:r>
        <w:rPr>
          <w:sz w:val="12"/>
        </w:rPr>
        <w:t>deriva?:</w:t>
      </w:r>
      <w:proofErr w:type="gramEnd"/>
      <w:r>
        <w:rPr>
          <w:sz w:val="12"/>
        </w:rPr>
        <w:t xml:space="preserve"> 9 Congreso Geológico Argentino, v. 2, p. 311–325.</w:t>
      </w:r>
    </w:p>
    <w:p w14:paraId="4B5ADB3F" w14:textId="77777777" w:rsidR="00CF37A3" w:rsidRDefault="006C56C7">
      <w:pPr>
        <w:spacing w:after="3" w:line="265" w:lineRule="auto"/>
        <w:ind w:left="6" w:right="22"/>
        <w:jc w:val="both"/>
      </w:pPr>
      <w:r>
        <w:rPr>
          <w:sz w:val="12"/>
        </w:rPr>
        <w:t xml:space="preserve">Ramos, V.A., 2005, Seismic ridge subduction and topography: </w:t>
      </w:r>
    </w:p>
    <w:p w14:paraId="7799E051" w14:textId="77777777" w:rsidR="00CF37A3" w:rsidRDefault="006C56C7">
      <w:pPr>
        <w:spacing w:after="3" w:line="265" w:lineRule="auto"/>
        <w:ind w:left="239" w:right="22" w:firstLine="3"/>
        <w:jc w:val="both"/>
      </w:pPr>
      <w:r>
        <w:rPr>
          <w:sz w:val="12"/>
        </w:rPr>
        <w:t>Foreland deformation in the Patagonian Andes: Tectonophysics, v. 399, p. 73–86, doi: 10 .1016 /</w:t>
      </w:r>
      <w:proofErr w:type="gramStart"/>
      <w:r>
        <w:rPr>
          <w:sz w:val="12"/>
        </w:rPr>
        <w:t>j .tecto</w:t>
      </w:r>
      <w:proofErr w:type="gramEnd"/>
      <w:r>
        <w:rPr>
          <w:sz w:val="12"/>
        </w:rPr>
        <w:t xml:space="preserve"> .2004 .12 .016.</w:t>
      </w:r>
    </w:p>
    <w:p w14:paraId="653F7ADC" w14:textId="77777777" w:rsidR="00CF37A3" w:rsidRDefault="006C56C7">
      <w:pPr>
        <w:spacing w:after="3" w:line="265" w:lineRule="auto"/>
        <w:ind w:left="241" w:right="22" w:hanging="235"/>
        <w:jc w:val="both"/>
      </w:pPr>
      <w:r>
        <w:rPr>
          <w:sz w:val="12"/>
        </w:rPr>
        <w:t>Ramos, V.A., 2010, The Grenville-age basement of the Andes: Journal of South American Earth Sciences, v. 29, p. 77–91, doi: 10 .1016 /</w:t>
      </w:r>
      <w:proofErr w:type="gramStart"/>
      <w:r>
        <w:rPr>
          <w:sz w:val="12"/>
        </w:rPr>
        <w:t xml:space="preserve">j </w:t>
      </w:r>
      <w:r>
        <w:rPr>
          <w:sz w:val="12"/>
        </w:rPr>
        <w:t>.jsames</w:t>
      </w:r>
      <w:proofErr w:type="gramEnd"/>
      <w:r>
        <w:rPr>
          <w:sz w:val="12"/>
        </w:rPr>
        <w:t xml:space="preserve"> .2009 .09 .004.</w:t>
      </w:r>
    </w:p>
    <w:p w14:paraId="4F593871" w14:textId="77777777" w:rsidR="00CF37A3" w:rsidRDefault="006C56C7">
      <w:pPr>
        <w:spacing w:after="3" w:line="265" w:lineRule="auto"/>
        <w:ind w:left="241" w:right="22" w:hanging="235"/>
        <w:jc w:val="both"/>
      </w:pPr>
      <w:r>
        <w:rPr>
          <w:sz w:val="12"/>
        </w:rPr>
        <w:t xml:space="preserve">Ramos, V.A., and Folguera, A., 2009, Andean flat subduction through time, </w:t>
      </w:r>
      <w:r>
        <w:rPr>
          <w:i/>
          <w:sz w:val="12"/>
        </w:rPr>
        <w:t>in</w:t>
      </w:r>
      <w:r>
        <w:rPr>
          <w:sz w:val="12"/>
        </w:rPr>
        <w:t xml:space="preserve"> Murphy, B., et al., eds., Ancient orogens and modern analogues: Geological Society, London, Special Publication 327, p. 31–54, doi: 10 .1144 /SP327 .3.</w:t>
      </w:r>
    </w:p>
    <w:p w14:paraId="2CD71DD2" w14:textId="77777777" w:rsidR="00CF37A3" w:rsidRDefault="006C56C7">
      <w:pPr>
        <w:spacing w:after="3" w:line="265" w:lineRule="auto"/>
        <w:ind w:left="241" w:right="22" w:hanging="235"/>
        <w:jc w:val="both"/>
      </w:pPr>
      <w:r>
        <w:rPr>
          <w:sz w:val="12"/>
        </w:rPr>
        <w:t xml:space="preserve">Ramos, V.A., and Kay, S.M., 2006, Overview of the tectonic evolution of the southern Central Andes of Mendoza and Neuquén (35°–39°S latitude), </w:t>
      </w:r>
      <w:r>
        <w:rPr>
          <w:i/>
          <w:sz w:val="12"/>
        </w:rPr>
        <w:t>in</w:t>
      </w:r>
      <w:r>
        <w:rPr>
          <w:sz w:val="12"/>
        </w:rPr>
        <w:t xml:space="preserve"> Kay, S.M., and Ramos, V.A., eds., Evolution of an Andean margin: A tectonic and magmatic view from the Andes t</w:t>
      </w:r>
      <w:r>
        <w:rPr>
          <w:sz w:val="12"/>
        </w:rPr>
        <w:t>o the Neuquén Basin (35°–39°S latitude): Geological Society of America Special Paper 407, p. 1–17, doi: 10 .1130 /2006 .2407 (01).</w:t>
      </w:r>
    </w:p>
    <w:p w14:paraId="539FC1CD" w14:textId="77777777" w:rsidR="00CF37A3" w:rsidRDefault="006C56C7">
      <w:pPr>
        <w:spacing w:after="3" w:line="265" w:lineRule="auto"/>
        <w:ind w:left="241" w:right="22" w:hanging="235"/>
        <w:jc w:val="both"/>
      </w:pPr>
      <w:r>
        <w:rPr>
          <w:sz w:val="12"/>
        </w:rPr>
        <w:t>Rapela, C.W., and Kay, S.M., 1988, Late Paleozoic to recent magmatic evolution of northern Patagonia: Episodes, v. 11, p. 175</w:t>
      </w:r>
      <w:r>
        <w:rPr>
          <w:sz w:val="12"/>
        </w:rPr>
        <w:t>–181.</w:t>
      </w:r>
    </w:p>
    <w:p w14:paraId="32DABE60" w14:textId="77777777" w:rsidR="00CF37A3" w:rsidRDefault="006C56C7">
      <w:pPr>
        <w:spacing w:after="3" w:line="265" w:lineRule="auto"/>
        <w:ind w:left="6" w:right="22"/>
        <w:jc w:val="both"/>
      </w:pPr>
      <w:r>
        <w:rPr>
          <w:sz w:val="12"/>
        </w:rPr>
        <w:t xml:space="preserve">Rocha-Campos, A.C., Basei, M.A.S., Nutman, A.P., Kleiman, </w:t>
      </w:r>
    </w:p>
    <w:p w14:paraId="0CC627BE" w14:textId="77777777" w:rsidR="00CF37A3" w:rsidRDefault="006C56C7">
      <w:pPr>
        <w:spacing w:after="3" w:line="265" w:lineRule="auto"/>
        <w:ind w:left="238" w:right="22" w:firstLine="3"/>
        <w:jc w:val="both"/>
      </w:pPr>
      <w:r>
        <w:rPr>
          <w:sz w:val="12"/>
        </w:rPr>
        <w:t>L.E., Varela, R. Llambías, E., Canile, F.M., and da Rosa, O., 2011, 30 million years of Permian volcanism recorded in the Choiyoi igneous province (W Argentina) and their source for younger a</w:t>
      </w:r>
      <w:r>
        <w:rPr>
          <w:sz w:val="12"/>
        </w:rPr>
        <w:t xml:space="preserve">sh fall deposits in the Paraná Basin: SHRIMP U-Pb zircon geochronology evidence: Gondwana </w:t>
      </w:r>
    </w:p>
    <w:p w14:paraId="28EF66B6" w14:textId="77777777" w:rsidR="00CF37A3" w:rsidRDefault="006C56C7">
      <w:pPr>
        <w:spacing w:after="3" w:line="265" w:lineRule="auto"/>
        <w:ind w:left="243" w:right="22"/>
        <w:jc w:val="both"/>
      </w:pPr>
      <w:r>
        <w:rPr>
          <w:sz w:val="12"/>
        </w:rPr>
        <w:t>Research, v. 19, p. 509–523, doi: 10 .1016 /j .gr .2010 .07 .003.</w:t>
      </w:r>
    </w:p>
    <w:p w14:paraId="034420EC" w14:textId="77777777" w:rsidR="00CF37A3" w:rsidRDefault="006C56C7">
      <w:pPr>
        <w:spacing w:after="3" w:line="265" w:lineRule="auto"/>
        <w:ind w:left="6" w:right="22"/>
        <w:jc w:val="both"/>
      </w:pPr>
      <w:r>
        <w:rPr>
          <w:sz w:val="12"/>
        </w:rPr>
        <w:t xml:space="preserve">Rovere, E., Leanza, H., Hugo, C., Casselli, A., Tourn, S., and </w:t>
      </w:r>
    </w:p>
    <w:p w14:paraId="67AFB82D" w14:textId="77777777" w:rsidR="00CF37A3" w:rsidRDefault="006C56C7">
      <w:pPr>
        <w:spacing w:after="3" w:line="265" w:lineRule="auto"/>
        <w:ind w:left="236" w:right="22" w:firstLine="5"/>
        <w:jc w:val="both"/>
      </w:pPr>
      <w:r>
        <w:rPr>
          <w:sz w:val="12"/>
        </w:rPr>
        <w:t xml:space="preserve">Folguera, A., 2000, Hoja geológica </w:t>
      </w:r>
      <w:r>
        <w:rPr>
          <w:sz w:val="12"/>
        </w:rPr>
        <w:t>Andacollo, Provincia de Neuquen, 1:250 000: Servicio Nacional de Geología y Minería Argentino, Buenos Aires.</w:t>
      </w:r>
    </w:p>
    <w:p w14:paraId="5B398A43" w14:textId="77777777" w:rsidR="00CF37A3" w:rsidRDefault="006C56C7">
      <w:pPr>
        <w:spacing w:after="3" w:line="265" w:lineRule="auto"/>
        <w:ind w:left="6" w:right="22"/>
        <w:jc w:val="both"/>
      </w:pPr>
      <w:r>
        <w:rPr>
          <w:sz w:val="12"/>
        </w:rPr>
        <w:t xml:space="preserve">Sagripanti, L., Bottesi, G., Naipauer, M., Folguera, A., and </w:t>
      </w:r>
    </w:p>
    <w:p w14:paraId="497A1D1B" w14:textId="77777777" w:rsidR="00CF37A3" w:rsidRDefault="006C56C7">
      <w:pPr>
        <w:spacing w:after="3" w:line="265" w:lineRule="auto"/>
        <w:ind w:left="240" w:right="22" w:firstLine="3"/>
        <w:jc w:val="both"/>
      </w:pPr>
      <w:r>
        <w:rPr>
          <w:sz w:val="12"/>
        </w:rPr>
        <w:t>Ramos, V.A., 2011, U/Pb ages on detrital zircons in the southern central Andes Neogen</w:t>
      </w:r>
      <w:r>
        <w:rPr>
          <w:sz w:val="12"/>
        </w:rPr>
        <w:t xml:space="preserve">e foreland (36–37 S): Constraints on Andean exhumation: Journal of South </w:t>
      </w:r>
    </w:p>
    <w:p w14:paraId="6CBB7CCF" w14:textId="77777777" w:rsidR="00CF37A3" w:rsidRDefault="006C56C7">
      <w:pPr>
        <w:spacing w:after="3" w:line="265" w:lineRule="auto"/>
        <w:ind w:left="242" w:right="22" w:hanging="7"/>
        <w:jc w:val="both"/>
      </w:pPr>
      <w:r>
        <w:rPr>
          <w:sz w:val="12"/>
        </w:rPr>
        <w:t>American Earth Sciences, v. 32, p. 555–566, doi: 10 .1016 /</w:t>
      </w:r>
      <w:proofErr w:type="gramStart"/>
      <w:r>
        <w:rPr>
          <w:sz w:val="12"/>
        </w:rPr>
        <w:t>j .jsames</w:t>
      </w:r>
      <w:proofErr w:type="gramEnd"/>
      <w:r>
        <w:rPr>
          <w:sz w:val="12"/>
        </w:rPr>
        <w:t xml:space="preserve"> .2011 .03 .010.</w:t>
      </w:r>
    </w:p>
    <w:p w14:paraId="6FAFEF88" w14:textId="77777777" w:rsidR="00CF37A3" w:rsidRDefault="006C56C7">
      <w:pPr>
        <w:spacing w:after="3" w:line="265" w:lineRule="auto"/>
        <w:ind w:left="241" w:right="22" w:hanging="235"/>
        <w:jc w:val="both"/>
      </w:pPr>
      <w:r>
        <w:rPr>
          <w:sz w:val="12"/>
        </w:rPr>
        <w:t>Sagripanti, L., Folguera, A., Giménez, M., Rojas Vera, E., Fabiano, J.J., Molnar, N., Fennell, L., and Ramos, V., 2013, Geometry of Middle to Late Triassic extensional deformation pattern in the Cordillera del Viento (southern Central Andes): A combined fi</w:t>
      </w:r>
      <w:r>
        <w:rPr>
          <w:sz w:val="12"/>
        </w:rPr>
        <w:t>eld and geophysical study: Journal of Iberian Geology, v. 40, p. 349–366, doi: 10 .5209 /rev_JIGE .</w:t>
      </w:r>
      <w:proofErr w:type="gramStart"/>
      <w:r>
        <w:rPr>
          <w:sz w:val="12"/>
        </w:rPr>
        <w:t>2014 .v</w:t>
      </w:r>
      <w:proofErr w:type="gramEnd"/>
      <w:r>
        <w:rPr>
          <w:sz w:val="12"/>
        </w:rPr>
        <w:t>40 .n2 .45305.</w:t>
      </w:r>
    </w:p>
    <w:p w14:paraId="4B85289F" w14:textId="77777777" w:rsidR="00CF37A3" w:rsidRDefault="006C56C7">
      <w:pPr>
        <w:spacing w:after="3" w:line="265" w:lineRule="auto"/>
        <w:ind w:left="241" w:right="22" w:hanging="235"/>
        <w:jc w:val="both"/>
      </w:pPr>
      <w:r>
        <w:rPr>
          <w:sz w:val="12"/>
        </w:rPr>
        <w:t>Scherer, E., Münker, C., and Mezger, K., 2001, Calibration of the Lutetium-Hafnium Clock: Science, v. 293, p. 683–687, doi: 10 .1126 /s</w:t>
      </w:r>
      <w:r>
        <w:rPr>
          <w:sz w:val="12"/>
        </w:rPr>
        <w:t>cience .1061372.</w:t>
      </w:r>
    </w:p>
    <w:p w14:paraId="4E742B1C" w14:textId="77777777" w:rsidR="00CF37A3" w:rsidRDefault="006C56C7">
      <w:pPr>
        <w:spacing w:after="3" w:line="265" w:lineRule="auto"/>
        <w:ind w:left="6" w:right="22"/>
        <w:jc w:val="both"/>
      </w:pPr>
      <w:r>
        <w:rPr>
          <w:sz w:val="12"/>
        </w:rPr>
        <w:t xml:space="preserve">Silvestro, J., and Atencio, M., 2009, La cuenca cenozoica del </w:t>
      </w:r>
    </w:p>
    <w:p w14:paraId="59A6B8B9" w14:textId="77777777" w:rsidR="00CF37A3" w:rsidRDefault="006C56C7">
      <w:pPr>
        <w:spacing w:after="3" w:line="265" w:lineRule="auto"/>
        <w:ind w:left="237" w:right="22" w:firstLine="5"/>
        <w:jc w:val="both"/>
      </w:pPr>
      <w:r>
        <w:rPr>
          <w:sz w:val="12"/>
        </w:rPr>
        <w:t>Río Grande y Palauco: edad, evolución y control structural, faja plegada de Malargüe (36°S): Revista de la Asociación Geológica Argentina, v. 65, p. 154–169, 154e169.</w:t>
      </w:r>
    </w:p>
    <w:p w14:paraId="6C096C18" w14:textId="77777777" w:rsidR="00CF37A3" w:rsidRDefault="006C56C7">
      <w:pPr>
        <w:spacing w:after="3" w:line="265" w:lineRule="auto"/>
        <w:ind w:left="6" w:right="22"/>
        <w:jc w:val="both"/>
      </w:pPr>
      <w:r>
        <w:rPr>
          <w:sz w:val="12"/>
        </w:rPr>
        <w:t>Silvestro</w:t>
      </w:r>
      <w:r>
        <w:rPr>
          <w:sz w:val="12"/>
        </w:rPr>
        <w:t xml:space="preserve">, J., Kraemer, P., Achilli, F., and Brinkworth, W., 2005, </w:t>
      </w:r>
    </w:p>
    <w:p w14:paraId="4084BB39" w14:textId="77777777" w:rsidR="00CF37A3" w:rsidRDefault="006C56C7">
      <w:pPr>
        <w:spacing w:after="3" w:line="265" w:lineRule="auto"/>
        <w:ind w:left="244" w:right="22"/>
        <w:jc w:val="both"/>
      </w:pPr>
      <w:r>
        <w:rPr>
          <w:sz w:val="12"/>
        </w:rPr>
        <w:t xml:space="preserve">Evolución de las cuencas sinorogénicas de la Cordillera </w:t>
      </w:r>
    </w:p>
    <w:p w14:paraId="3F0F3FC4" w14:textId="77777777" w:rsidR="00CF37A3" w:rsidRDefault="006C56C7">
      <w:pPr>
        <w:spacing w:after="3" w:line="265" w:lineRule="auto"/>
        <w:ind w:left="237" w:right="22" w:firstLine="5"/>
        <w:jc w:val="both"/>
      </w:pPr>
      <w:r>
        <w:rPr>
          <w:sz w:val="12"/>
        </w:rPr>
        <w:t>Principal entre 35-36°S, Malargüe: Revista de la Asociación Geológica Argentina, v. 60, p. 627–643.</w:t>
      </w:r>
    </w:p>
    <w:p w14:paraId="470E15AC" w14:textId="77777777" w:rsidR="00CF37A3" w:rsidRDefault="006C56C7">
      <w:pPr>
        <w:spacing w:after="3" w:line="265" w:lineRule="auto"/>
        <w:ind w:left="6" w:right="22"/>
        <w:jc w:val="both"/>
      </w:pPr>
      <w:r>
        <w:rPr>
          <w:sz w:val="12"/>
        </w:rPr>
        <w:t>Söderlund, U., Patchett, P.J., Vervoort,</w:t>
      </w:r>
      <w:r>
        <w:rPr>
          <w:sz w:val="12"/>
        </w:rPr>
        <w:t xml:space="preserve"> J.D., and Isachsen, </w:t>
      </w:r>
    </w:p>
    <w:p w14:paraId="02624EAA" w14:textId="77777777" w:rsidR="00CF37A3" w:rsidRDefault="006C56C7">
      <w:pPr>
        <w:spacing w:after="3" w:line="265" w:lineRule="auto"/>
        <w:ind w:left="240" w:right="22"/>
        <w:jc w:val="both"/>
      </w:pPr>
      <w:r>
        <w:rPr>
          <w:sz w:val="12"/>
        </w:rPr>
        <w:t>C.E., 2004, The 176Lu decay constant determined by Lu-</w:t>
      </w:r>
    </w:p>
    <w:p w14:paraId="107087CF" w14:textId="77777777" w:rsidR="00CF37A3" w:rsidRDefault="006C56C7">
      <w:pPr>
        <w:spacing w:after="3" w:line="265" w:lineRule="auto"/>
        <w:ind w:left="239" w:right="22" w:firstLine="3"/>
        <w:jc w:val="both"/>
      </w:pPr>
      <w:r>
        <w:rPr>
          <w:sz w:val="12"/>
        </w:rPr>
        <w:t>Hf and U-Pb isotope systematics of Precambrian mafic intrusions: Earth and Planetary Science Letters, v. 219, p. 311–324.</w:t>
      </w:r>
    </w:p>
    <w:p w14:paraId="4816BE95" w14:textId="77777777" w:rsidR="00CF37A3" w:rsidRDefault="006C56C7">
      <w:pPr>
        <w:spacing w:after="3" w:line="265" w:lineRule="auto"/>
        <w:ind w:left="241" w:right="22" w:hanging="235"/>
        <w:jc w:val="both"/>
      </w:pPr>
      <w:r>
        <w:rPr>
          <w:sz w:val="12"/>
        </w:rPr>
        <w:t>Spagnuolo, M., Litvak, V., Folguera, A., Bottesi, G., and</w:t>
      </w:r>
      <w:r>
        <w:rPr>
          <w:sz w:val="12"/>
        </w:rPr>
        <w:t xml:space="preserve"> Ramos, V.A., 2012, Neogene magmatic expansion and mountain building processes at the southern Central Andes, 36º– 37ºS, Argentina: Journal of Geodynamics, v. 53, p. 81–95, doi: 10 .1016 /</w:t>
      </w:r>
      <w:proofErr w:type="gramStart"/>
      <w:r>
        <w:rPr>
          <w:sz w:val="12"/>
        </w:rPr>
        <w:t>j .jog</w:t>
      </w:r>
      <w:proofErr w:type="gramEnd"/>
      <w:r>
        <w:rPr>
          <w:sz w:val="12"/>
        </w:rPr>
        <w:t xml:space="preserve"> .2011 .07 .004.</w:t>
      </w:r>
    </w:p>
    <w:p w14:paraId="2B9A3551" w14:textId="77777777" w:rsidR="00CF37A3" w:rsidRDefault="006C56C7">
      <w:pPr>
        <w:spacing w:after="3" w:line="265" w:lineRule="auto"/>
        <w:ind w:left="241" w:right="22" w:hanging="235"/>
        <w:jc w:val="both"/>
      </w:pPr>
      <w:r>
        <w:rPr>
          <w:sz w:val="12"/>
        </w:rPr>
        <w:t>Spalletti, L.A., Franzese, J.R., Matheos, S.D</w:t>
      </w:r>
      <w:r>
        <w:rPr>
          <w:sz w:val="12"/>
        </w:rPr>
        <w:t>., and Schwarz, E., 2000, Sequence stratigraphy of a tidally dominated carbonate-siliciclastic ramp: The Tithonian–Early Berriasian of the Southern Neuquén Basin, Argentina: Journal of the Geological Society, v. 157, p.433–446.</w:t>
      </w:r>
    </w:p>
    <w:p w14:paraId="55FC4070" w14:textId="77777777" w:rsidR="00CF37A3" w:rsidRDefault="006C56C7">
      <w:pPr>
        <w:spacing w:after="0" w:line="263" w:lineRule="auto"/>
        <w:ind w:left="211" w:hanging="215"/>
      </w:pPr>
      <w:r>
        <w:rPr>
          <w:sz w:val="12"/>
        </w:rPr>
        <w:t xml:space="preserve">Tunik, M., Folguera, A., Naipauer, M., Pimentel, M., and Ramos, V.A., 2010, Early uplift and orogenic deformation in the Neuquén Basin: Constraints on the Andean uplift from U-Pb and Hf isotopic data of </w:t>
      </w:r>
      <w:r>
        <w:rPr>
          <w:sz w:val="12"/>
        </w:rPr>
        <w:lastRenderedPageBreak/>
        <w:t>detrital zircons: Tectonophysics, v. 489, p. 258–273,</w:t>
      </w:r>
      <w:r>
        <w:rPr>
          <w:sz w:val="12"/>
        </w:rPr>
        <w:t xml:space="preserve"> doi: 10 .1016 /</w:t>
      </w:r>
      <w:proofErr w:type="gramStart"/>
      <w:r>
        <w:rPr>
          <w:sz w:val="12"/>
        </w:rPr>
        <w:t>j .tecto</w:t>
      </w:r>
      <w:proofErr w:type="gramEnd"/>
      <w:r>
        <w:rPr>
          <w:sz w:val="12"/>
        </w:rPr>
        <w:t xml:space="preserve"> .2010 .04 .017.</w:t>
      </w:r>
    </w:p>
    <w:p w14:paraId="4940E4A0" w14:textId="77777777" w:rsidR="00CF37A3" w:rsidRDefault="006C56C7">
      <w:pPr>
        <w:spacing w:after="3" w:line="265" w:lineRule="auto"/>
        <w:ind w:left="241" w:right="22" w:hanging="235"/>
        <w:jc w:val="both"/>
      </w:pPr>
      <w:r>
        <w:rPr>
          <w:sz w:val="12"/>
        </w:rPr>
        <w:t xml:space="preserve">Vergani, G.D., Tankard, A.J., Belotti, H.J., and Welsink, H.J., 1995, Tectonic evolution and paleogeography of the Neuquén basin, Argentina, </w:t>
      </w:r>
      <w:r>
        <w:rPr>
          <w:i/>
          <w:sz w:val="12"/>
        </w:rPr>
        <w:t>in</w:t>
      </w:r>
      <w:r>
        <w:rPr>
          <w:sz w:val="12"/>
        </w:rPr>
        <w:t xml:space="preserve"> Tankard, A.J., et al., eds., Petroleum Basins of South America: America</w:t>
      </w:r>
      <w:r>
        <w:rPr>
          <w:sz w:val="12"/>
        </w:rPr>
        <w:t>n Association of Petroleum Geologists Memoir 62, p. 383–402.</w:t>
      </w:r>
    </w:p>
    <w:p w14:paraId="598FA318" w14:textId="77777777" w:rsidR="00CF37A3" w:rsidRDefault="006C56C7">
      <w:pPr>
        <w:spacing w:after="3" w:line="265" w:lineRule="auto"/>
        <w:ind w:left="241" w:right="22" w:hanging="235"/>
        <w:jc w:val="both"/>
      </w:pPr>
      <w:r>
        <w:rPr>
          <w:sz w:val="12"/>
        </w:rPr>
        <w:t>Vervoort, J.D., and Blichert-Toft, J., 1999, Evolution of the depleted mantle: Hf isotope evidence from juvenile rocks through time: Geochimica et Cosmochimica Acta, v. 63, p. 533–556, doi: 10 .1</w:t>
      </w:r>
      <w:r>
        <w:rPr>
          <w:sz w:val="12"/>
        </w:rPr>
        <w:t>016 /S0016-7037 (98) 00274-9.</w:t>
      </w:r>
    </w:p>
    <w:p w14:paraId="7670A8CE" w14:textId="77777777" w:rsidR="00CF37A3" w:rsidRDefault="006C56C7">
      <w:pPr>
        <w:spacing w:after="3" w:line="265" w:lineRule="auto"/>
        <w:ind w:left="241" w:right="22" w:hanging="235"/>
        <w:jc w:val="both"/>
      </w:pPr>
      <w:r>
        <w:rPr>
          <w:sz w:val="12"/>
        </w:rPr>
        <w:t>Vervoort, J.D., and Patchett, P.J., 1996, Behavior of hafnium and neodymium isotopes in the crust: Constraints from crustally derived granites: Geochimica et Cosmochimica Acta, v. 60, p. 3717–3733, doi: 10 .</w:t>
      </w:r>
      <w:proofErr w:type="gramStart"/>
      <w:r>
        <w:rPr>
          <w:sz w:val="12"/>
        </w:rPr>
        <w:t>1016  /</w:t>
      </w:r>
      <w:proofErr w:type="gramEnd"/>
      <w:r>
        <w:rPr>
          <w:sz w:val="12"/>
        </w:rPr>
        <w:t>0016</w:t>
      </w:r>
      <w:r>
        <w:rPr>
          <w:rFonts w:ascii="Segoe UI Symbol" w:eastAsia="Segoe UI Symbol" w:hAnsi="Segoe UI Symbol" w:cs="Segoe UI Symbol"/>
          <w:b/>
          <w:sz w:val="12"/>
        </w:rPr>
        <w:t xml:space="preserve"> </w:t>
      </w:r>
      <w:r>
        <w:rPr>
          <w:sz w:val="12"/>
        </w:rPr>
        <w:t>-7037 (</w:t>
      </w:r>
      <w:r>
        <w:rPr>
          <w:sz w:val="12"/>
        </w:rPr>
        <w:t>96) 00201–3.</w:t>
      </w:r>
    </w:p>
    <w:p w14:paraId="5B08E5EA" w14:textId="77777777" w:rsidR="00CF37A3" w:rsidRDefault="006C56C7">
      <w:pPr>
        <w:spacing w:after="3" w:line="265" w:lineRule="auto"/>
        <w:ind w:left="6" w:right="22"/>
        <w:jc w:val="both"/>
      </w:pPr>
      <w:r>
        <w:rPr>
          <w:sz w:val="12"/>
        </w:rPr>
        <w:t xml:space="preserve">Vervoort, J.D., Patchett, P.J., Blichert-Toft, J., and Albarede, F., </w:t>
      </w:r>
    </w:p>
    <w:p w14:paraId="7F691E3E" w14:textId="77777777" w:rsidR="00CF37A3" w:rsidRDefault="006C56C7">
      <w:pPr>
        <w:spacing w:after="1" w:line="260" w:lineRule="auto"/>
        <w:ind w:left="10" w:right="50" w:hanging="10"/>
        <w:jc w:val="right"/>
      </w:pPr>
      <w:r>
        <w:rPr>
          <w:sz w:val="12"/>
        </w:rPr>
        <w:t>1999, Relationships between Lu-Hf and Sm-Nd isotopic systems in the global sedimentary system: Earth and Planetary Science Letters, v. 168, p. 79–99, doi: 10 .1016 /S0012</w:t>
      </w:r>
      <w:r>
        <w:rPr>
          <w:rFonts w:ascii="Segoe UI Symbol" w:eastAsia="Segoe UI Symbol" w:hAnsi="Segoe UI Symbol" w:cs="Segoe UI Symbol"/>
          <w:b/>
          <w:sz w:val="12"/>
        </w:rPr>
        <w:t xml:space="preserve"> </w:t>
      </w:r>
      <w:r>
        <w:rPr>
          <w:sz w:val="12"/>
        </w:rPr>
        <w:t>-8</w:t>
      </w:r>
      <w:r>
        <w:rPr>
          <w:sz w:val="12"/>
        </w:rPr>
        <w:t>21X (99)00047–3.</w:t>
      </w:r>
    </w:p>
    <w:p w14:paraId="7EBA215D" w14:textId="77777777" w:rsidR="00CF37A3" w:rsidRDefault="006C56C7">
      <w:pPr>
        <w:spacing w:after="3" w:line="265" w:lineRule="auto"/>
        <w:ind w:left="241" w:right="22" w:hanging="235"/>
        <w:jc w:val="both"/>
      </w:pPr>
      <w:r>
        <w:rPr>
          <w:sz w:val="12"/>
        </w:rPr>
        <w:t>Vervoort, J.D., Patchett, P.J., Söderlund, U., and Baker, M., 2004, The isotopic composition of Yb and the precise and accurate determination of Lu concentrations and Lu/Hf ratios by isotope dilution using MC-ICPMS: Geochemistry, Geophysic</w:t>
      </w:r>
      <w:r>
        <w:rPr>
          <w:sz w:val="12"/>
        </w:rPr>
        <w:t>s, Geosystems, v. 5, doi:1 0.1029 / 2004GC000721.</w:t>
      </w:r>
    </w:p>
    <w:p w14:paraId="459EDBE7" w14:textId="77777777" w:rsidR="00CF37A3" w:rsidRDefault="006C56C7">
      <w:pPr>
        <w:spacing w:after="3" w:line="265" w:lineRule="auto"/>
        <w:ind w:left="241" w:right="22" w:hanging="235"/>
        <w:jc w:val="both"/>
      </w:pPr>
      <w:r>
        <w:rPr>
          <w:sz w:val="12"/>
        </w:rPr>
        <w:t>Willner, A.P., Thomson, S.N., Kröner, A., Wartho, J., Wijbrans, J.R., and Hervé, F., 2005, Time markers for the evolution and exhumation history of a late Palaeozoic paired metamorphic belt in north central</w:t>
      </w:r>
      <w:r>
        <w:rPr>
          <w:sz w:val="12"/>
        </w:rPr>
        <w:t xml:space="preserve"> Chile (34°E–35°30</w:t>
      </w:r>
      <w:r>
        <w:rPr>
          <w:rFonts w:ascii="Segoe UI Symbol" w:eastAsia="Segoe UI Symbol" w:hAnsi="Segoe UI Symbol" w:cs="Segoe UI Symbol"/>
          <w:b/>
          <w:sz w:val="12"/>
        </w:rPr>
        <w:t>′</w:t>
      </w:r>
      <w:r>
        <w:rPr>
          <w:sz w:val="12"/>
        </w:rPr>
        <w:t>S): Journal of Petrology, v. 46, p. 1835–1858, doi:1 0 .1093 /petrology /egi036.</w:t>
      </w:r>
    </w:p>
    <w:p w14:paraId="7A671524" w14:textId="77777777" w:rsidR="00CF37A3" w:rsidRDefault="006C56C7">
      <w:pPr>
        <w:spacing w:after="3" w:line="265" w:lineRule="auto"/>
        <w:ind w:left="241" w:right="22" w:hanging="235"/>
        <w:jc w:val="both"/>
      </w:pPr>
      <w:r>
        <w:rPr>
          <w:sz w:val="12"/>
        </w:rPr>
        <w:t>Willner, A.P., Gerdes, A., and Massonne, H.-J., 2008, History of crustal growth and recycling at Pacific convergent margin of South America at latitudes 29°</w:t>
      </w:r>
      <w:r>
        <w:rPr>
          <w:sz w:val="12"/>
        </w:rPr>
        <w:t>–30° S revealed by a U-Pb and Lu-Hf isotope study of detrital zircon from late Paleozoic accretionary systems: Chemical Geology, v. 253, p. 114–129, doi: 10 .1016 /</w:t>
      </w:r>
      <w:proofErr w:type="gramStart"/>
      <w:r>
        <w:rPr>
          <w:sz w:val="12"/>
        </w:rPr>
        <w:t>j .chemgeo</w:t>
      </w:r>
      <w:proofErr w:type="gramEnd"/>
      <w:r>
        <w:rPr>
          <w:sz w:val="12"/>
        </w:rPr>
        <w:t xml:space="preserve"> .2008 .04 .016.</w:t>
      </w:r>
    </w:p>
    <w:p w14:paraId="5FA2F951" w14:textId="77777777" w:rsidR="00CF37A3" w:rsidRDefault="006C56C7">
      <w:pPr>
        <w:spacing w:after="3" w:line="265" w:lineRule="auto"/>
        <w:ind w:left="6" w:right="22"/>
        <w:jc w:val="both"/>
      </w:pPr>
      <w:r>
        <w:rPr>
          <w:sz w:val="12"/>
        </w:rPr>
        <w:t xml:space="preserve">Woodhead, J., Hergt, J., Shelley, M., Eggins, S., and Kemp, </w:t>
      </w:r>
    </w:p>
    <w:p w14:paraId="0A43805B" w14:textId="77777777" w:rsidR="00CF37A3" w:rsidRDefault="006C56C7">
      <w:pPr>
        <w:spacing w:after="1" w:line="260" w:lineRule="auto"/>
        <w:ind w:left="10" w:right="50" w:hanging="10"/>
        <w:jc w:val="right"/>
      </w:pPr>
      <w:r>
        <w:rPr>
          <w:sz w:val="12"/>
        </w:rPr>
        <w:t xml:space="preserve">R., </w:t>
      </w:r>
      <w:r>
        <w:rPr>
          <w:sz w:val="12"/>
        </w:rPr>
        <w:t>2004, Zircon Hf-isotope analysis with an excimer laser, depth profiling, ablation of complex geometries, and concomitant age estimation: Chemical Geology, v. 209, p. 121–135, doi: 10 .1016 /</w:t>
      </w:r>
      <w:proofErr w:type="gramStart"/>
      <w:r>
        <w:rPr>
          <w:sz w:val="12"/>
        </w:rPr>
        <w:t>j .chemgeo</w:t>
      </w:r>
      <w:proofErr w:type="gramEnd"/>
      <w:r>
        <w:rPr>
          <w:sz w:val="12"/>
        </w:rPr>
        <w:t xml:space="preserve"> .2004 .04 .026.</w:t>
      </w:r>
    </w:p>
    <w:p w14:paraId="5A9FD40F" w14:textId="77777777" w:rsidR="00CF37A3" w:rsidRDefault="006C56C7">
      <w:pPr>
        <w:spacing w:after="3" w:line="265" w:lineRule="auto"/>
        <w:ind w:left="241" w:right="141" w:hanging="235"/>
        <w:jc w:val="both"/>
      </w:pPr>
      <w:r>
        <w:rPr>
          <w:sz w:val="12"/>
        </w:rPr>
        <w:t>Yrigoyen, M.R., 1993, Los depositos sin</w:t>
      </w:r>
      <w:r>
        <w:rPr>
          <w:sz w:val="12"/>
        </w:rPr>
        <w:t xml:space="preserve">orogenicos terciarios, </w:t>
      </w:r>
      <w:r>
        <w:rPr>
          <w:i/>
          <w:sz w:val="12"/>
        </w:rPr>
        <w:t>in</w:t>
      </w:r>
      <w:r>
        <w:rPr>
          <w:sz w:val="12"/>
        </w:rPr>
        <w:t xml:space="preserve"> Ramos, V.A., ed., Geología y recursos naturales de la Provincia de Mendoza: 12</w:t>
      </w:r>
      <w:r>
        <w:rPr>
          <w:sz w:val="11"/>
          <w:vertAlign w:val="superscript"/>
        </w:rPr>
        <w:t>th</w:t>
      </w:r>
      <w:r>
        <w:rPr>
          <w:sz w:val="12"/>
        </w:rPr>
        <w:t xml:space="preserve"> Congress of the Geological Society of Argentina, p. 123–148.</w:t>
      </w:r>
    </w:p>
    <w:p w14:paraId="40973BB6" w14:textId="77777777" w:rsidR="00CF37A3" w:rsidRDefault="006C56C7">
      <w:pPr>
        <w:spacing w:after="3" w:line="265" w:lineRule="auto"/>
        <w:ind w:left="241" w:right="142" w:hanging="235"/>
        <w:jc w:val="both"/>
      </w:pPr>
      <w:r>
        <w:rPr>
          <w:sz w:val="12"/>
        </w:rPr>
        <w:t xml:space="preserve">Zamora Valcarce, G., Zapata, T., del Pino, D., and Ansa, A., 2006, Structural evolution of the Agrio fold-and-thrust belt, </w:t>
      </w:r>
      <w:r>
        <w:rPr>
          <w:rFonts w:ascii="Times New Roman" w:eastAsia="Times New Roman" w:hAnsi="Times New Roman" w:cs="Times New Roman"/>
          <w:i/>
          <w:sz w:val="12"/>
        </w:rPr>
        <w:t>in</w:t>
      </w:r>
      <w:r>
        <w:rPr>
          <w:sz w:val="12"/>
        </w:rPr>
        <w:t xml:space="preserve"> Kay, S.M., and Ramos, V.A., eds., Evolution of an Andean margin: A tectonic and magmatic view from the Andes to the Neuquén Basin </w:t>
      </w:r>
      <w:r>
        <w:rPr>
          <w:sz w:val="12"/>
        </w:rPr>
        <w:t xml:space="preserve">(35–39°S): Geological Society of America Special Paper 407, p. 125–145, doi: </w:t>
      </w:r>
    </w:p>
    <w:p w14:paraId="04DA7D0D" w14:textId="77777777" w:rsidR="00CF37A3" w:rsidRDefault="006C56C7">
      <w:pPr>
        <w:spacing w:after="519" w:line="265" w:lineRule="auto"/>
        <w:ind w:left="237" w:right="22"/>
        <w:jc w:val="both"/>
      </w:pPr>
      <w:r>
        <w:rPr>
          <w:sz w:val="12"/>
        </w:rPr>
        <w:t>10.1130 /2006 .2407 (06).</w:t>
      </w:r>
    </w:p>
    <w:p w14:paraId="4CFC1D96" w14:textId="77777777" w:rsidR="00CF37A3" w:rsidRDefault="006C56C7">
      <w:pPr>
        <w:spacing w:after="1" w:line="261" w:lineRule="auto"/>
        <w:ind w:left="8" w:right="959" w:hanging="10"/>
      </w:pPr>
      <w:r>
        <w:rPr>
          <w:sz w:val="12"/>
        </w:rPr>
        <w:t xml:space="preserve">MANUSCRIPT RECEIVED 23 MARCH 2016 REVISED MANUSCRIPT RECEIVED 16 JANUARY 2017 </w:t>
      </w:r>
    </w:p>
    <w:p w14:paraId="7F07D05D" w14:textId="77777777" w:rsidR="00CF37A3" w:rsidRDefault="006C56C7">
      <w:pPr>
        <w:spacing w:after="121" w:line="261" w:lineRule="auto"/>
        <w:ind w:left="8" w:right="959" w:hanging="10"/>
      </w:pPr>
      <w:r>
        <w:rPr>
          <w:sz w:val="12"/>
        </w:rPr>
        <w:t>MANUSCRIPT ACCEPTED 28 FEBRUARY 2017</w:t>
      </w:r>
    </w:p>
    <w:p w14:paraId="69D18DEC" w14:textId="77777777" w:rsidR="00CF37A3" w:rsidRDefault="006C56C7">
      <w:pPr>
        <w:spacing w:after="3" w:line="265" w:lineRule="auto"/>
        <w:ind w:left="6" w:right="22"/>
        <w:jc w:val="both"/>
      </w:pPr>
      <w:r>
        <w:rPr>
          <w:sz w:val="12"/>
        </w:rPr>
        <w:t>Printed in the USA</w:t>
      </w:r>
    </w:p>
    <w:sectPr w:rsidR="00CF37A3">
      <w:footnotePr>
        <w:numRestart w:val="eachPage"/>
      </w:footnotePr>
      <w:type w:val="continuous"/>
      <w:pgSz w:w="11880" w:h="15660"/>
      <w:pgMar w:top="1258" w:right="558" w:bottom="1221" w:left="583" w:header="720" w:footer="720" w:gutter="0"/>
      <w:cols w:num="3" w:space="1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EF3C4" w14:textId="77777777" w:rsidR="00000000" w:rsidRDefault="006C56C7">
      <w:pPr>
        <w:spacing w:after="0" w:line="240" w:lineRule="auto"/>
      </w:pPr>
      <w:r>
        <w:separator/>
      </w:r>
    </w:p>
  </w:endnote>
  <w:endnote w:type="continuationSeparator" w:id="0">
    <w:p w14:paraId="6F0B56D9" w14:textId="77777777" w:rsidR="00000000" w:rsidRDefault="006C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91CDE" w14:textId="77777777" w:rsidR="00CF37A3" w:rsidRDefault="006C56C7">
    <w:pPr>
      <w:tabs>
        <w:tab w:val="center" w:pos="8522"/>
      </w:tabs>
      <w:spacing w:after="133"/>
      <w:ind w:left="-95"/>
    </w:pPr>
    <w:r>
      <w:rPr>
        <w:noProof/>
      </w:rPr>
      <mc:AlternateContent>
        <mc:Choice Requires="wpg">
          <w:drawing>
            <wp:anchor distT="0" distB="0" distL="114300" distR="114300" simplePos="0" relativeHeight="251661312" behindDoc="0" locked="0" layoutInCell="1" allowOverlap="1" wp14:anchorId="27ED3820" wp14:editId="528EEA6E">
              <wp:simplePos x="0" y="0"/>
              <wp:positionH relativeFrom="page">
                <wp:posOffset>381000</wp:posOffset>
              </wp:positionH>
              <wp:positionV relativeFrom="page">
                <wp:posOffset>9452610</wp:posOffset>
              </wp:positionV>
              <wp:extent cx="6705600" cy="7620"/>
              <wp:effectExtent l="0" t="0" r="0" b="0"/>
              <wp:wrapSquare wrapText="bothSides"/>
              <wp:docPr id="64308" name="Group 64308"/>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64309" name="Shape 64309"/>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308" style="width:528pt;height:0.6pt;position:absolute;mso-position-horizontal-relative:page;mso-position-horizontal:absolute;margin-left:30pt;mso-position-vertical-relative:page;margin-top:744.3pt;" coordsize="67056,76">
              <v:shape id="Shape 64309" style="position:absolute;width:67056;height:0;left:0;top:0;" coordsize="6705600,0" path="m0,0l6705600,0">
                <v:stroke weight="0.6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b/>
        <w:sz w:val="18"/>
      </w:rPr>
      <w:t>454</w:t>
    </w:r>
    <w:r>
      <w:rPr>
        <w:b/>
        <w:sz w:val="18"/>
      </w:rPr>
      <w:fldChar w:fldCharType="end"/>
    </w:r>
    <w:r>
      <w:rPr>
        <w:sz w:val="16"/>
      </w:rPr>
      <w:t xml:space="preserve"> </w:t>
    </w:r>
    <w:r>
      <w:rPr>
        <w:sz w:val="16"/>
      </w:rPr>
      <w:tab/>
      <w:t>www.gsapubs.org | Volume 9 | Number 3 | LITHOSPHERE</w:t>
    </w:r>
  </w:p>
  <w:p w14:paraId="79C54BD5" w14:textId="77777777" w:rsidR="00CF37A3" w:rsidRDefault="006C56C7">
    <w:pPr>
      <w:spacing w:after="0" w:line="216" w:lineRule="auto"/>
      <w:ind w:left="-635" w:right="5757"/>
    </w:pPr>
    <w:r>
      <w:rPr>
        <w:rFonts w:ascii="Arial" w:eastAsia="Arial" w:hAnsi="Arial" w:cs="Arial"/>
        <w:sz w:val="12"/>
      </w:rPr>
      <w:t>Downloaded from http://pubs.geoscienceworld.org/gsa/lithosphere/article-pdf/9/3/453/999152/453.pdf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0C40C" w14:textId="77777777" w:rsidR="00CF37A3" w:rsidRDefault="006C56C7">
    <w:pPr>
      <w:tabs>
        <w:tab w:val="right" w:pos="10622"/>
      </w:tabs>
      <w:spacing w:after="133"/>
    </w:pPr>
    <w:r>
      <w:rPr>
        <w:noProof/>
      </w:rPr>
      <mc:AlternateContent>
        <mc:Choice Requires="wpg">
          <w:drawing>
            <wp:anchor distT="0" distB="0" distL="114300" distR="114300" simplePos="0" relativeHeight="251662336" behindDoc="0" locked="0" layoutInCell="1" allowOverlap="1" wp14:anchorId="4FC470C0" wp14:editId="3E265A14">
              <wp:simplePos x="0" y="0"/>
              <wp:positionH relativeFrom="page">
                <wp:posOffset>457200</wp:posOffset>
              </wp:positionH>
              <wp:positionV relativeFrom="page">
                <wp:posOffset>9452610</wp:posOffset>
              </wp:positionV>
              <wp:extent cx="6705600" cy="7620"/>
              <wp:effectExtent l="0" t="0" r="0" b="0"/>
              <wp:wrapSquare wrapText="bothSides"/>
              <wp:docPr id="64275" name="Group 64275"/>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64276" name="Shape 64276"/>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275" style="width:528pt;height:0.6pt;position:absolute;mso-position-horizontal-relative:page;mso-position-horizontal:absolute;margin-left:36pt;mso-position-vertical-relative:page;margin-top:744.3pt;" coordsize="67056,76">
              <v:shape id="Shape 64276" style="position:absolute;width:67056;height:0;left:0;top:0;" coordsize="6705600,0" path="m0,0l6705600,0">
                <v:stroke weight="0.6pt" endcap="flat" joinstyle="miter" miterlimit="4" on="true" color="#000000"/>
                <v:fill on="false" color="#000000" opacity="0"/>
              </v:shape>
              <w10:wrap type="square"/>
            </v:group>
          </w:pict>
        </mc:Fallback>
      </mc:AlternateContent>
    </w:r>
    <w:r>
      <w:rPr>
        <w:sz w:val="16"/>
      </w:rPr>
      <w:t xml:space="preserve">LITHOSPHERE | Volume 9 | Number 3 | www.gsapubs.org </w:t>
    </w:r>
    <w:r>
      <w:rPr>
        <w:sz w:val="16"/>
      </w:rPr>
      <w:tab/>
    </w:r>
    <w:r>
      <w:fldChar w:fldCharType="begin"/>
    </w:r>
    <w:r>
      <w:instrText xml:space="preserve"> PAGE   \* MERGEFORMAT </w:instrText>
    </w:r>
    <w:r>
      <w:fldChar w:fldCharType="separate"/>
    </w:r>
    <w:r>
      <w:rPr>
        <w:b/>
        <w:sz w:val="18"/>
      </w:rPr>
      <w:t>455</w:t>
    </w:r>
    <w:r>
      <w:rPr>
        <w:b/>
        <w:sz w:val="18"/>
      </w:rPr>
      <w:fldChar w:fldCharType="end"/>
    </w:r>
  </w:p>
  <w:p w14:paraId="559DFBB1" w14:textId="77777777" w:rsidR="00CF37A3" w:rsidRDefault="006C56C7">
    <w:pPr>
      <w:spacing w:after="0" w:line="216" w:lineRule="auto"/>
      <w:ind w:left="-635" w:right="5757"/>
    </w:pPr>
    <w:r>
      <w:rPr>
        <w:rFonts w:ascii="Arial" w:eastAsia="Arial" w:hAnsi="Arial" w:cs="Arial"/>
        <w:sz w:val="12"/>
      </w:rPr>
      <w:t>Downloaded from http://pubs.geoscienceworld.o</w:t>
    </w:r>
    <w:r>
      <w:rPr>
        <w:rFonts w:ascii="Arial" w:eastAsia="Arial" w:hAnsi="Arial" w:cs="Arial"/>
        <w:sz w:val="12"/>
      </w:rPr>
      <w:t>rg/gsa/lithosphere/article-pdf/9/3/453/999152/453.pdf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6055A" w14:textId="77777777" w:rsidR="00CF37A3" w:rsidRDefault="006C56C7">
    <w:pPr>
      <w:tabs>
        <w:tab w:val="center" w:pos="1391"/>
        <w:tab w:val="center" w:pos="3286"/>
        <w:tab w:val="right" w:pos="10622"/>
      </w:tabs>
      <w:spacing w:after="127"/>
    </w:pPr>
    <w:r>
      <w:rPr>
        <w:noProof/>
      </w:rPr>
      <mc:AlternateContent>
        <mc:Choice Requires="wpg">
          <w:drawing>
            <wp:anchor distT="0" distB="0" distL="114300" distR="114300" simplePos="0" relativeHeight="251663360" behindDoc="0" locked="0" layoutInCell="1" allowOverlap="1" wp14:anchorId="764B9DEF" wp14:editId="4DF6D1A2">
              <wp:simplePos x="0" y="0"/>
              <wp:positionH relativeFrom="page">
                <wp:posOffset>457200</wp:posOffset>
              </wp:positionH>
              <wp:positionV relativeFrom="page">
                <wp:posOffset>9452610</wp:posOffset>
              </wp:positionV>
              <wp:extent cx="6705600" cy="7620"/>
              <wp:effectExtent l="0" t="0" r="0" b="0"/>
              <wp:wrapSquare wrapText="bothSides"/>
              <wp:docPr id="64241" name="Group 64241"/>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64242" name="Shape 64242"/>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241" style="width:528pt;height:0.6pt;position:absolute;mso-position-horizontal-relative:page;mso-position-horizontal:absolute;margin-left:36pt;mso-position-vertical-relative:page;margin-top:744.3pt;" coordsize="67056,76">
              <v:shape id="Shape 64242" style="position:absolute;width:67056;height:0;left:0;top:0;" coordsize="6705600,0" path="m0,0l6705600,0">
                <v:stroke weight="0.6pt" endcap="flat" joinstyle="miter" miterlimit="4" on="true" color="#000000"/>
                <v:fill on="false" color="#000000" opacity="0"/>
              </v:shape>
              <w10:wrap type="square"/>
            </v:group>
          </w:pict>
        </mc:Fallback>
      </mc:AlternateContent>
    </w:r>
    <w:r>
      <w:tab/>
    </w:r>
    <w:r>
      <w:rPr>
        <w:sz w:val="16"/>
      </w:rPr>
      <w:t xml:space="preserve"> Volume </w:t>
    </w:r>
    <w:proofErr w:type="gramStart"/>
    <w:r>
      <w:rPr>
        <w:sz w:val="16"/>
      </w:rPr>
      <w:t xml:space="preserve">9  </w:t>
    </w:r>
    <w:r>
      <w:rPr>
        <w:sz w:val="16"/>
      </w:rPr>
      <w:tab/>
    </w:r>
    <w:proofErr w:type="gramEnd"/>
    <w:r>
      <w:rPr>
        <w:sz w:val="16"/>
      </w:rPr>
      <w:t xml:space="preserve"> www.gsapubs.org </w:t>
    </w:r>
    <w:r>
      <w:rPr>
        <w:sz w:val="16"/>
      </w:rPr>
      <w:tab/>
    </w:r>
    <w:r>
      <w:fldChar w:fldCharType="begin"/>
    </w:r>
    <w:r>
      <w:instrText xml:space="preserve"> PAGE   \* MERGEFORMAT </w:instrText>
    </w:r>
    <w:r>
      <w:fldChar w:fldCharType="separate"/>
    </w:r>
    <w:r>
      <w:rPr>
        <w:b/>
        <w:sz w:val="18"/>
      </w:rPr>
      <w:t>453</w:t>
    </w:r>
    <w:r>
      <w:rPr>
        <w:b/>
        <w:sz w:val="18"/>
      </w:rPr>
      <w:fldChar w:fldCharType="end"/>
    </w:r>
  </w:p>
  <w:p w14:paraId="38F81D45" w14:textId="77777777" w:rsidR="00CF37A3" w:rsidRDefault="006C56C7">
    <w:pPr>
      <w:spacing w:after="0" w:line="216" w:lineRule="auto"/>
      <w:ind w:left="-635" w:right="5757"/>
    </w:pPr>
    <w:r>
      <w:rPr>
        <w:rFonts w:ascii="Arial" w:eastAsia="Arial" w:hAnsi="Arial" w:cs="Arial"/>
        <w:sz w:val="12"/>
      </w:rPr>
      <w:t>Downloaded from http://pubs.geoscienceworld.org/gsa/lithosphere/article-pdf/9/3/453/999152/453.pdf by Nanjing Un</w:t>
    </w:r>
    <w:r>
      <w:rPr>
        <w:rFonts w:ascii="Arial" w:eastAsia="Arial" w:hAnsi="Arial" w:cs="Arial"/>
        <w:sz w:val="12"/>
      </w:rPr>
      <w:t>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FE761" w14:textId="77777777" w:rsidR="00CF37A3" w:rsidRDefault="006C56C7">
      <w:pPr>
        <w:spacing w:after="0" w:line="268" w:lineRule="auto"/>
        <w:ind w:left="15" w:right="67"/>
        <w:jc w:val="both"/>
      </w:pPr>
      <w:r>
        <w:separator/>
      </w:r>
    </w:p>
  </w:footnote>
  <w:footnote w:type="continuationSeparator" w:id="0">
    <w:p w14:paraId="27FCC46D" w14:textId="77777777" w:rsidR="00CF37A3" w:rsidRDefault="006C56C7">
      <w:pPr>
        <w:spacing w:after="0" w:line="268" w:lineRule="auto"/>
        <w:ind w:left="15" w:right="67"/>
        <w:jc w:val="both"/>
      </w:pPr>
      <w:r>
        <w:continuationSeparator/>
      </w:r>
    </w:p>
  </w:footnote>
  <w:footnote w:id="1">
    <w:p w14:paraId="10D51EC7" w14:textId="77777777" w:rsidR="00CF37A3" w:rsidRDefault="006C56C7">
      <w:pPr>
        <w:pStyle w:val="footnotedescription"/>
      </w:pPr>
      <w:r>
        <w:rPr>
          <w:rStyle w:val="footnotemark"/>
        </w:rPr>
        <w:footnoteRef/>
      </w:r>
      <w:r>
        <w:t xml:space="preserve"> Yb/</w:t>
      </w:r>
      <w:r>
        <w:rPr>
          <w:sz w:val="16"/>
          <w:vertAlign w:val="superscript"/>
        </w:rPr>
        <w:t>171</w:t>
      </w:r>
      <w:r>
        <w:t xml:space="preserve">Yb = 0.901691 (Vervoort et al., 2004); </w:t>
      </w:r>
      <w:r>
        <w:rPr>
          <w:sz w:val="16"/>
          <w:vertAlign w:val="superscript"/>
        </w:rPr>
        <w:t>176</w:t>
      </w:r>
      <w:r>
        <w:t>Lu/</w:t>
      </w:r>
      <w:r>
        <w:rPr>
          <w:sz w:val="16"/>
          <w:vertAlign w:val="superscript"/>
        </w:rPr>
        <w:t>175</w:t>
      </w:r>
      <w:r>
        <w:t xml:space="preserve">Lu = 0.02653 (Patchett, 1983); and the decay constant of </w:t>
      </w:r>
      <w:r>
        <w:rPr>
          <w:sz w:val="16"/>
          <w:vertAlign w:val="superscript"/>
        </w:rPr>
        <w:t>176</w:t>
      </w:r>
      <w:r>
        <w:t>L</w:t>
      </w:r>
      <w:r>
        <w:t xml:space="preserve">u = 1.867e-11 (Scherer et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A7E64" w14:textId="77777777" w:rsidR="00CF37A3" w:rsidRDefault="006C56C7">
    <w:pPr>
      <w:spacing w:after="0"/>
      <w:ind w:left="-95"/>
    </w:pPr>
    <w:r>
      <w:rPr>
        <w:noProof/>
      </w:rPr>
      <mc:AlternateContent>
        <mc:Choice Requires="wpg">
          <w:drawing>
            <wp:anchor distT="0" distB="0" distL="114300" distR="114300" simplePos="0" relativeHeight="251658240" behindDoc="0" locked="0" layoutInCell="1" allowOverlap="1" wp14:anchorId="0FFD1D80" wp14:editId="7C617311">
              <wp:simplePos x="0" y="0"/>
              <wp:positionH relativeFrom="page">
                <wp:posOffset>381000</wp:posOffset>
              </wp:positionH>
              <wp:positionV relativeFrom="page">
                <wp:posOffset>537210</wp:posOffset>
              </wp:positionV>
              <wp:extent cx="6705600" cy="7620"/>
              <wp:effectExtent l="0" t="0" r="0" b="0"/>
              <wp:wrapSquare wrapText="bothSides"/>
              <wp:docPr id="64288" name="Group 64288"/>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64289" name="Shape 64289"/>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288" style="width:528pt;height:0.6pt;position:absolute;mso-position-horizontal-relative:page;mso-position-horizontal:absolute;margin-left:30pt;mso-position-vertical-relative:page;margin-top:42.3pt;" coordsize="67056,76">
              <v:shape id="Shape 64289" style="position:absolute;width:67056;height:0;left:0;top:0;" coordsize="6705600,0" path="m0,0l6705600,0">
                <v:stroke weight="0.6pt" endcap="flat" joinstyle="miter" miterlimit="4" on="true" color="#000000"/>
                <v:fill on="false" color="#000000" opacity="0"/>
              </v:shape>
              <w10:wrap type="square"/>
            </v:group>
          </w:pict>
        </mc:Fallback>
      </mc:AlternateContent>
    </w:r>
    <w:r>
      <w:rPr>
        <w:sz w:val="16"/>
      </w:rPr>
      <w:t>BALGORD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5427E" w14:textId="77777777" w:rsidR="00CF37A3" w:rsidRDefault="006C56C7">
    <w:pPr>
      <w:spacing w:after="0"/>
      <w:ind w:right="38"/>
      <w:jc w:val="right"/>
    </w:pPr>
    <w:r>
      <w:rPr>
        <w:noProof/>
      </w:rPr>
      <mc:AlternateContent>
        <mc:Choice Requires="wpg">
          <w:drawing>
            <wp:anchor distT="0" distB="0" distL="114300" distR="114300" simplePos="0" relativeHeight="251659264" behindDoc="0" locked="0" layoutInCell="1" allowOverlap="1" wp14:anchorId="41883C86" wp14:editId="2286C982">
              <wp:simplePos x="0" y="0"/>
              <wp:positionH relativeFrom="page">
                <wp:posOffset>457200</wp:posOffset>
              </wp:positionH>
              <wp:positionV relativeFrom="page">
                <wp:posOffset>537210</wp:posOffset>
              </wp:positionV>
              <wp:extent cx="6705600" cy="7620"/>
              <wp:effectExtent l="0" t="0" r="0" b="0"/>
              <wp:wrapSquare wrapText="bothSides"/>
              <wp:docPr id="64257" name="Group 64257"/>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64258" name="Shape 64258"/>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257" style="width:528pt;height:0.6pt;position:absolute;mso-position-horizontal-relative:page;mso-position-horizontal:absolute;margin-left:36pt;mso-position-vertical-relative:page;margin-top:42.3pt;" coordsize="67056,76">
              <v:shape id="Shape 64258" style="position:absolute;width:67056;height:0;left:0;top:0;" coordsize="6705600,0" path="m0,0l6705600,0">
                <v:stroke weight="0.6pt" endcap="flat" joinstyle="miter" miterlimit="4" on="true" color="#000000"/>
                <v:fill on="false" color="#000000" opacity="0"/>
              </v:shape>
              <w10:wrap type="square"/>
            </v:group>
          </w:pict>
        </mc:Fallback>
      </mc:AlternateContent>
    </w:r>
    <w:r>
      <w:rPr>
        <w:sz w:val="16"/>
      </w:rPr>
      <w:t xml:space="preserve">Influence of Andean Shortening on Magmatism and Basin Evolution in Argentina </w:t>
    </w:r>
    <w:r>
      <w:rPr>
        <w:sz w:val="36"/>
      </w:rPr>
      <w:t>|</w:t>
    </w:r>
    <w:r>
      <w:rPr>
        <w:sz w:val="16"/>
      </w:rPr>
      <w:t xml:space="preserve"> </w:t>
    </w:r>
    <w:r>
      <w:rPr>
        <w:sz w:val="36"/>
      </w:rPr>
      <w:t>RESEARCH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C6B0A" w14:textId="77777777" w:rsidR="00CF37A3" w:rsidRDefault="006C56C7">
    <w:pPr>
      <w:spacing w:after="0"/>
      <w:ind w:right="38"/>
      <w:jc w:val="right"/>
    </w:pPr>
    <w:r>
      <w:rPr>
        <w:noProof/>
      </w:rPr>
      <mc:AlternateContent>
        <mc:Choice Requires="wpg">
          <w:drawing>
            <wp:anchor distT="0" distB="0" distL="114300" distR="114300" simplePos="0" relativeHeight="251660288" behindDoc="0" locked="0" layoutInCell="1" allowOverlap="1" wp14:anchorId="605A936C" wp14:editId="0DD66E21">
              <wp:simplePos x="0" y="0"/>
              <wp:positionH relativeFrom="page">
                <wp:posOffset>457200</wp:posOffset>
              </wp:positionH>
              <wp:positionV relativeFrom="page">
                <wp:posOffset>537210</wp:posOffset>
              </wp:positionV>
              <wp:extent cx="6705600" cy="7620"/>
              <wp:effectExtent l="0" t="0" r="0" b="0"/>
              <wp:wrapSquare wrapText="bothSides"/>
              <wp:docPr id="64227" name="Group 64227"/>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64228" name="Shape 64228"/>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227" style="width:528pt;height:0.6pt;position:absolute;mso-position-horizontal-relative:page;mso-position-horizontal:absolute;margin-left:36pt;mso-position-vertical-relative:page;margin-top:42.3pt;" coordsize="67056,76">
              <v:shape id="Shape 64228" style="position:absolute;width:67056;height:0;left:0;top:0;" coordsize="6705600,0" path="m0,0l6705600,0">
                <v:stroke weight="0.6pt" endcap="flat" joinstyle="miter" miterlimit="4" on="true" color="#000000"/>
                <v:fill on="false" color="#000000" opacity="0"/>
              </v:shape>
              <w10:wrap type="square"/>
            </v:group>
          </w:pict>
        </mc:Fallback>
      </mc:AlternateContent>
    </w:r>
    <w:r>
      <w:rPr>
        <w:sz w:val="36"/>
      </w:rPr>
      <w:t>RESEARCH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2F38AD"/>
    <w:multiLevelType w:val="hybridMultilevel"/>
    <w:tmpl w:val="1D5E25EA"/>
    <w:lvl w:ilvl="0" w:tplc="08D67E1A">
      <w:start w:val="1"/>
      <w:numFmt w:val="decimal"/>
      <w:lvlText w:val="%1."/>
      <w:lvlJc w:val="left"/>
      <w:pPr>
        <w:ind w:left="1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C640AFA">
      <w:start w:val="1"/>
      <w:numFmt w:val="lowerLetter"/>
      <w:lvlText w:val="%2"/>
      <w:lvlJc w:val="left"/>
      <w:pPr>
        <w:ind w:left="13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842F2D6">
      <w:start w:val="1"/>
      <w:numFmt w:val="lowerRoman"/>
      <w:lvlText w:val="%3"/>
      <w:lvlJc w:val="left"/>
      <w:pPr>
        <w:ind w:left="20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18E3176">
      <w:start w:val="1"/>
      <w:numFmt w:val="decimal"/>
      <w:lvlText w:val="%4"/>
      <w:lvlJc w:val="left"/>
      <w:pPr>
        <w:ind w:left="27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B48A1F6">
      <w:start w:val="1"/>
      <w:numFmt w:val="lowerLetter"/>
      <w:lvlText w:val="%5"/>
      <w:lvlJc w:val="left"/>
      <w:pPr>
        <w:ind w:left="349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D6D8D644">
      <w:start w:val="1"/>
      <w:numFmt w:val="lowerRoman"/>
      <w:lvlText w:val="%6"/>
      <w:lvlJc w:val="left"/>
      <w:pPr>
        <w:ind w:left="421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7BD4179A">
      <w:start w:val="1"/>
      <w:numFmt w:val="decimal"/>
      <w:lvlText w:val="%7"/>
      <w:lvlJc w:val="left"/>
      <w:pPr>
        <w:ind w:left="49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B2AE4B8">
      <w:start w:val="1"/>
      <w:numFmt w:val="lowerLetter"/>
      <w:lvlText w:val="%8"/>
      <w:lvlJc w:val="left"/>
      <w:pPr>
        <w:ind w:left="56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924B88C">
      <w:start w:val="1"/>
      <w:numFmt w:val="lowerRoman"/>
      <w:lvlText w:val="%9"/>
      <w:lvlJc w:val="left"/>
      <w:pPr>
        <w:ind w:left="63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7549452F"/>
    <w:multiLevelType w:val="hybridMultilevel"/>
    <w:tmpl w:val="D78A4D76"/>
    <w:lvl w:ilvl="0" w:tplc="3372F312">
      <w:start w:val="1"/>
      <w:numFmt w:val="upperLetter"/>
      <w:lvlText w:val="%1."/>
      <w:lvlJc w:val="left"/>
      <w:pPr>
        <w:ind w:left="1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189418">
      <w:start w:val="1"/>
      <w:numFmt w:val="lowerLetter"/>
      <w:lvlText w:val="%2"/>
      <w:lvlJc w:val="left"/>
      <w:pPr>
        <w:ind w:left="1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D1A7298">
      <w:start w:val="1"/>
      <w:numFmt w:val="lowerRoman"/>
      <w:lvlText w:val="%3"/>
      <w:lvlJc w:val="left"/>
      <w:pPr>
        <w:ind w:left="1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3327BA0">
      <w:start w:val="1"/>
      <w:numFmt w:val="decimal"/>
      <w:lvlText w:val="%4"/>
      <w:lvlJc w:val="left"/>
      <w:pPr>
        <w:ind w:left="2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2E7D22">
      <w:start w:val="1"/>
      <w:numFmt w:val="lowerLetter"/>
      <w:lvlText w:val="%5"/>
      <w:lvlJc w:val="left"/>
      <w:pPr>
        <w:ind w:left="3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66912A">
      <w:start w:val="1"/>
      <w:numFmt w:val="lowerRoman"/>
      <w:lvlText w:val="%6"/>
      <w:lvlJc w:val="left"/>
      <w:pPr>
        <w:ind w:left="39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CFC9BE4">
      <w:start w:val="1"/>
      <w:numFmt w:val="decimal"/>
      <w:lvlText w:val="%7"/>
      <w:lvlJc w:val="left"/>
      <w:pPr>
        <w:ind w:left="46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5AA752">
      <w:start w:val="1"/>
      <w:numFmt w:val="lowerLetter"/>
      <w:lvlText w:val="%8"/>
      <w:lvlJc w:val="left"/>
      <w:pPr>
        <w:ind w:left="54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A87F2C">
      <w:start w:val="1"/>
      <w:numFmt w:val="lowerRoman"/>
      <w:lvlText w:val="%9"/>
      <w:lvlJc w:val="left"/>
      <w:pPr>
        <w:ind w:left="61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A3"/>
    <w:rsid w:val="006C56C7"/>
    <w:rsid w:val="00CF3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E3364A"/>
  <w15:docId w15:val="{6FA85AAA-270C-4175-83CA-A02F5F5AB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214" w:line="263" w:lineRule="auto"/>
      <w:ind w:left="30" w:hanging="10"/>
      <w:outlineLvl w:val="0"/>
    </w:pPr>
    <w:rPr>
      <w:rFonts w:ascii="Calibri" w:eastAsia="Calibri" w:hAnsi="Calibri" w:cs="Calibri"/>
      <w:b/>
      <w:color w:val="000000"/>
      <w:sz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b/>
      <w:color w:val="000000"/>
      <w:sz w:val="17"/>
    </w:rPr>
  </w:style>
  <w:style w:type="paragraph" w:customStyle="1" w:styleId="footnotedescription">
    <w:name w:val="footnote description"/>
    <w:next w:val="a"/>
    <w:link w:val="footnotedescriptionChar"/>
    <w:hidden/>
    <w:pPr>
      <w:spacing w:line="268" w:lineRule="auto"/>
      <w:ind w:left="15" w:right="67"/>
      <w:jc w:val="both"/>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orcid.org/"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www.geosociety.org/datarepository/2017/" TargetMode="External"/><Relationship Id="rId2" Type="http://schemas.openxmlformats.org/officeDocument/2006/relationships/styles" Target="styles.xml"/><Relationship Id="rId16" Type="http://schemas.openxmlformats.org/officeDocument/2006/relationships/hyperlink" Target="http://www.geosociety.org/datarepository/2017/"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8949</Words>
  <Characters>51015</Characters>
  <Application>Microsoft Office Word</Application>
  <DocSecurity>0</DocSecurity>
  <Lines>425</Lines>
  <Paragraphs>119</Paragraphs>
  <ScaleCrop>false</ScaleCrop>
  <Company/>
  <LinksUpToDate>false</LinksUpToDate>
  <CharactersWithSpaces>59845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2021-02-13T08:30:00Z</dcterms:created>
  <dcterms:modified xsi:type="dcterms:W3CDTF">2021-02-13T08:30:00Z</dcterms:modified>
</cp:coreProperties>
</file>