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A8E6D" w14:textId="77777777" w:rsidR="0061727C" w:rsidRDefault="00B000E1">
      <w:pPr>
        <w:spacing w:after="757" w:line="265" w:lineRule="auto"/>
        <w:ind w:left="-5" w:right="5" w:hanging="10"/>
        <w:jc w:val="left"/>
      </w:pPr>
      <w:r>
        <w:rPr>
          <w:sz w:val="16"/>
        </w:rPr>
        <w:t>Journal of the Geological Society</w:t>
      </w:r>
      <w:r>
        <w:rPr>
          <w:sz w:val="16"/>
        </w:rPr>
        <w:t xml:space="preserve">, </w:t>
      </w:r>
      <w:r>
        <w:rPr>
          <w:sz w:val="16"/>
        </w:rPr>
        <w:t>London</w:t>
      </w:r>
      <w:r>
        <w:rPr>
          <w:sz w:val="16"/>
        </w:rPr>
        <w:t xml:space="preserve">, Vol. </w:t>
      </w:r>
      <w:r>
        <w:rPr>
          <w:sz w:val="16"/>
        </w:rPr>
        <w:t>166</w:t>
      </w:r>
      <w:r>
        <w:rPr>
          <w:sz w:val="16"/>
        </w:rPr>
        <w:t>, 2009, pp. 517–527. doi: 10.1144/0016-76492008-093.</w:t>
      </w:r>
    </w:p>
    <w:p w14:paraId="2216E9EE" w14:textId="77777777" w:rsidR="0061727C" w:rsidRDefault="00B000E1">
      <w:pPr>
        <w:spacing w:after="236" w:line="266" w:lineRule="auto"/>
        <w:ind w:left="429" w:right="0" w:firstLine="0"/>
        <w:jc w:val="center"/>
      </w:pPr>
      <w:r>
        <w:rPr>
          <w:sz w:val="28"/>
        </w:rPr>
        <w:t>Crustal affinities in the Arctic Uralides, northern Russia: significance of detrital zircon ages from Neoproterozoic and Palaeozoic sediments in Novaya Zemlya and Taimyr</w:t>
      </w:r>
    </w:p>
    <w:p w14:paraId="64190C87" w14:textId="77777777" w:rsidR="0061727C" w:rsidRDefault="00B000E1">
      <w:pPr>
        <w:spacing w:after="45" w:line="259" w:lineRule="auto"/>
        <w:ind w:left="683" w:right="0" w:firstLine="0"/>
        <w:jc w:val="center"/>
      </w:pPr>
      <w:r>
        <w:rPr>
          <w:sz w:val="20"/>
        </w:rPr>
        <w:t>V. PEASE</w:t>
      </w:r>
      <w:r>
        <w:rPr>
          <w:sz w:val="20"/>
          <w:vertAlign w:val="superscript"/>
        </w:rPr>
        <w:t>1</w:t>
      </w:r>
      <w:r>
        <w:rPr>
          <w:sz w:val="20"/>
        </w:rPr>
        <w:t>* &amp; R. A. SCOTT</w:t>
      </w:r>
      <w:r>
        <w:rPr>
          <w:sz w:val="20"/>
          <w:vertAlign w:val="superscript"/>
        </w:rPr>
        <w:t>2</w:t>
      </w:r>
    </w:p>
    <w:p w14:paraId="3002724F" w14:textId="77777777" w:rsidR="0061727C" w:rsidRDefault="00B000E1">
      <w:pPr>
        <w:pStyle w:val="1"/>
        <w:spacing w:after="67"/>
        <w:ind w:left="1228"/>
      </w:pPr>
      <w:r>
        <w:rPr>
          <w:vertAlign w:val="superscript"/>
        </w:rPr>
        <w:t>1</w:t>
      </w:r>
      <w:r>
        <w:t>Department of Geology and Geochemistry, Stockholm Universit</w:t>
      </w:r>
      <w:r>
        <w:t xml:space="preserve">y, 104 05 Stockholm, Sweden </w:t>
      </w:r>
      <w:r>
        <w:rPr>
          <w:vertAlign w:val="superscript"/>
        </w:rPr>
        <w:t>2</w:t>
      </w:r>
      <w:r>
        <w:t>CASP, University of Cambridge, West Building, 181a Huntingdon Road, Cambridge CB3 0DH, UK</w:t>
      </w:r>
    </w:p>
    <w:p w14:paraId="68E7FD50" w14:textId="77777777" w:rsidR="0061727C" w:rsidRDefault="00B000E1">
      <w:pPr>
        <w:spacing w:after="304" w:line="259" w:lineRule="auto"/>
        <w:ind w:left="693" w:right="0" w:firstLine="0"/>
        <w:jc w:val="center"/>
      </w:pPr>
      <w:r>
        <w:rPr>
          <w:sz w:val="20"/>
        </w:rPr>
        <w:t>*Corresponding author (e-mail: vicky.pease@geo.su.se)</w:t>
      </w:r>
    </w:p>
    <w:p w14:paraId="26EDE43E" w14:textId="77777777" w:rsidR="0061727C" w:rsidRDefault="00B000E1">
      <w:pPr>
        <w:spacing w:after="224" w:line="263" w:lineRule="auto"/>
        <w:ind w:left="1444" w:right="739" w:hanging="10"/>
      </w:pPr>
      <w:r>
        <w:rPr>
          <w:sz w:val="16"/>
        </w:rPr>
        <w:t xml:space="preserve">Abstract: </w:t>
      </w:r>
      <w:r>
        <w:rPr>
          <w:sz w:val="16"/>
        </w:rPr>
        <w:t>U–Pb ion microprobe detrital zircon provenance investigations of pre-Meso</w:t>
      </w:r>
      <w:r>
        <w:rPr>
          <w:sz w:val="16"/>
        </w:rPr>
        <w:t>zoic sediment samples from southern Novaya Zemlya and northern Taimyr, Arctic Russia, provide new constraints on the tectonic evolution of northern Eurasia. Sediments from both areas previously assigned a Neoproterozoic age are shown to be Palaeozoic (</w:t>
      </w:r>
      <w:r>
        <w:rPr>
          <w:sz w:val="16"/>
        </w:rPr>
        <w:t>&lt;</w:t>
      </w:r>
      <w:r>
        <w:rPr>
          <w:sz w:val="16"/>
        </w:rPr>
        <w:t>500</w:t>
      </w:r>
      <w:r>
        <w:rPr>
          <w:sz w:val="16"/>
        </w:rPr>
        <w:t xml:space="preserve"> Ma), changing our understanding of the timing of tectonic events and their regional correlation. Samples from Novaya Zemlya provide an </w:t>
      </w:r>
      <w:r>
        <w:rPr>
          <w:sz w:val="16"/>
        </w:rPr>
        <w:t xml:space="preserve">a priori </w:t>
      </w:r>
      <w:r>
        <w:rPr>
          <w:sz w:val="16"/>
        </w:rPr>
        <w:t>Baltica signature, and dominant cumulative probability age peaks between 610 and 530 Ma are consistent with der</w:t>
      </w:r>
      <w:r>
        <w:rPr>
          <w:sz w:val="16"/>
        </w:rPr>
        <w:t>ivation from Timanide sources. Samples from northern Taimyr also contain the unique Timanian ‘fingerprint’ and are also inferred to be derived from the continental slope of northeastern Baltica, implying that the North Kara block was a part of Baltica in t</w:t>
      </w:r>
      <w:r>
        <w:rPr>
          <w:sz w:val="16"/>
        </w:rPr>
        <w:t xml:space="preserve">he early Palaeozoic. These data constrain the timing of deformation, </w:t>
      </w:r>
      <w:proofErr w:type="gramStart"/>
      <w:r>
        <w:rPr>
          <w:sz w:val="16"/>
        </w:rPr>
        <w:t>metamorphism</w:t>
      </w:r>
      <w:proofErr w:type="gramEnd"/>
      <w:r>
        <w:rPr>
          <w:sz w:val="16"/>
        </w:rPr>
        <w:t xml:space="preserve"> and development of an unconformity in southern Novaya Zemlya to a restricted period no earlier than late Cambrian–early Ordovician and at least 50 Ma after the peak Timanian </w:t>
      </w:r>
      <w:r>
        <w:rPr>
          <w:sz w:val="16"/>
        </w:rPr>
        <w:t>event. The unconformity on Novaya Zemlya can be correlated in style and timing with an unconformity on Severnaya Zemlya and may record post-Timanian extensional collapse and onset of spreading in the Uralian Ocean.</w:t>
      </w:r>
    </w:p>
    <w:p w14:paraId="0F59F3DF" w14:textId="77777777" w:rsidR="0061727C" w:rsidRDefault="00B000E1">
      <w:pPr>
        <w:spacing w:after="3" w:line="265" w:lineRule="auto"/>
        <w:ind w:left="1444" w:right="5" w:hanging="10"/>
        <w:jc w:val="left"/>
      </w:pPr>
      <w:r>
        <w:rPr>
          <w:sz w:val="16"/>
        </w:rPr>
        <w:t xml:space="preserve">Supplementary material: </w:t>
      </w:r>
      <w:r>
        <w:rPr>
          <w:sz w:val="16"/>
        </w:rPr>
        <w:t>U–Th–Pb ion-micro</w:t>
      </w:r>
      <w:r>
        <w:rPr>
          <w:sz w:val="16"/>
        </w:rPr>
        <w:t>probe analytical results are available at http://www.geolsoc.</w:t>
      </w:r>
    </w:p>
    <w:p w14:paraId="08ED6138" w14:textId="77777777" w:rsidR="0061727C" w:rsidRDefault="0061727C">
      <w:pPr>
        <w:sectPr w:rsidR="0061727C">
          <w:headerReference w:type="even" r:id="rId7"/>
          <w:headerReference w:type="default" r:id="rId8"/>
          <w:footerReference w:type="even" r:id="rId9"/>
          <w:footerReference w:type="default" r:id="rId10"/>
          <w:headerReference w:type="first" r:id="rId11"/>
          <w:footerReference w:type="first" r:id="rId12"/>
          <w:pgSz w:w="11900" w:h="15640"/>
          <w:pgMar w:top="600" w:right="1595" w:bottom="818" w:left="957" w:header="720" w:footer="720" w:gutter="0"/>
          <w:pgNumType w:start="517"/>
          <w:cols w:space="720"/>
          <w:titlePg/>
        </w:sectPr>
      </w:pPr>
    </w:p>
    <w:p w14:paraId="15B76575" w14:textId="77777777" w:rsidR="0061727C" w:rsidRDefault="00B000E1">
      <w:pPr>
        <w:spacing w:after="735" w:line="265" w:lineRule="auto"/>
        <w:ind w:left="1494" w:right="5" w:hanging="10"/>
        <w:jc w:val="left"/>
      </w:pPr>
      <w:r>
        <w:rPr>
          <w:sz w:val="16"/>
        </w:rPr>
        <w:t>org.uk/SUP18340.</w:t>
      </w:r>
    </w:p>
    <w:p w14:paraId="37BBF140" w14:textId="77777777" w:rsidR="0061727C" w:rsidRDefault="00B000E1">
      <w:pPr>
        <w:ind w:left="-15" w:firstLine="0"/>
      </w:pPr>
      <w:r>
        <w:t xml:space="preserve">The Uralian orogen can be traced from the Aral Sea to the eastern end of the Taimyr Peninsula, </w:t>
      </w:r>
      <w:proofErr w:type="gramStart"/>
      <w:r>
        <w:t>a dis</w:t>
      </w:r>
      <w:r>
        <w:t xml:space="preserve">tance of </w:t>
      </w:r>
      <w:r>
        <w:t>c</w:t>
      </w:r>
      <w:r>
        <w:t>.</w:t>
      </w:r>
      <w:proofErr w:type="gramEnd"/>
      <w:r>
        <w:t xml:space="preserve"> 4000 km (Fig. 1). Using the time scale of Gradstein </w:t>
      </w:r>
      <w:r>
        <w:t>et al</w:t>
      </w:r>
      <w:r>
        <w:t xml:space="preserve">. (2004), the overall cause orogenesis was the late Palaeozoic collision of Euramerica (Laurussia) with Siberia (Hamilton 1970; Zonenshain </w:t>
      </w:r>
      <w:r>
        <w:t>et al</w:t>
      </w:r>
      <w:r>
        <w:t>. 1984), one of the final stages in the con</w:t>
      </w:r>
      <w:r>
        <w:t>struction of Pangaea. Within the broad framework of late Palaeozoic collision, there are significant differences in the timing and geometry of orogeny along this collision zone, as well as in the nature and affinity of accretionary blocks caught between th</w:t>
      </w:r>
      <w:r>
        <w:t>e converging palaeocontinents. The complexity is particularly relevant in the northern part of the orogen, where the scarcity of data has fuelled contradictory interpretations. For example, explanations of the geometry, timing and cause of deformation in t</w:t>
      </w:r>
      <w:r>
        <w:t xml:space="preserve">he Novaya Zemlya fold-and-thrust belt, which is offset from the remainder of the Uralian belt by </w:t>
      </w:r>
      <w:r>
        <w:t>c</w:t>
      </w:r>
      <w:r>
        <w:t>. 600 km (Fig. 1), vary widely in published tectonic models (</w:t>
      </w:r>
      <w:proofErr w:type="gramStart"/>
      <w:r>
        <w:t>e.g.</w:t>
      </w:r>
      <w:proofErr w:type="gramEnd"/>
      <w:r>
        <w:t xml:space="preserve"> Ziegler 1989; Otto &amp; Bailey 1995; Torsvik &amp; Cocks 2004). Furthermore, in both Novaya Zemlya </w:t>
      </w:r>
      <w:r>
        <w:t>and the Taimyr Peninsula, significant deformation events continued into the early Mesozoic, after the typical late Palaeozoic Uralian age (</w:t>
      </w:r>
      <w:proofErr w:type="gramStart"/>
      <w:r>
        <w:t>e.g.</w:t>
      </w:r>
      <w:proofErr w:type="gramEnd"/>
      <w:r>
        <w:t xml:space="preserve"> Korago </w:t>
      </w:r>
      <w:r>
        <w:t>et al</w:t>
      </w:r>
      <w:r>
        <w:t xml:space="preserve">. 1992; Inger </w:t>
      </w:r>
      <w:r>
        <w:t>et al</w:t>
      </w:r>
      <w:r>
        <w:t>. 1999). As the geodynamic relationship between (and relative significance of) th</w:t>
      </w:r>
      <w:r>
        <w:t>e late Palaeozoic and early Mesozoic deformation in different parts of the Russian Arctic is not yet fully understood, we use the term Uralides in its broadest sense encompassing both late Palaeozoic and early Mesozoic deformation. One approach to help cla</w:t>
      </w:r>
      <w:r>
        <w:t xml:space="preserve">rify these uncertainties is the study of crustal affinities, which is the </w:t>
      </w:r>
      <w:proofErr w:type="gramStart"/>
      <w:r>
        <w:t>main focus</w:t>
      </w:r>
      <w:proofErr w:type="gramEnd"/>
      <w:r>
        <w:t xml:space="preserve"> of this study.</w:t>
      </w:r>
    </w:p>
    <w:p w14:paraId="4023037C" w14:textId="77777777" w:rsidR="0061727C" w:rsidRDefault="00B000E1">
      <w:pPr>
        <w:spacing w:after="262"/>
        <w:ind w:left="-15" w:right="77"/>
      </w:pPr>
      <w:r>
        <w:t>The present-day topographic expression of the Uralian collision south of the Arctic Circle is the north–south-trending Ural</w:t>
      </w:r>
    </w:p>
    <w:p w14:paraId="1A4980B8" w14:textId="77777777" w:rsidR="0061727C" w:rsidRDefault="00B000E1">
      <w:pPr>
        <w:spacing w:after="0" w:line="259" w:lineRule="auto"/>
        <w:ind w:left="0" w:right="0" w:firstLine="0"/>
        <w:jc w:val="right"/>
      </w:pPr>
      <w:r>
        <w:rPr>
          <w:sz w:val="16"/>
        </w:rPr>
        <w:t>517</w:t>
      </w:r>
    </w:p>
    <w:p w14:paraId="10DBD010" w14:textId="77777777" w:rsidR="0061727C" w:rsidRDefault="00B000E1">
      <w:pPr>
        <w:ind w:left="-15" w:right="0" w:firstLine="0"/>
      </w:pPr>
      <w:r>
        <w:t>mountains (Fig. 1). This nar</w:t>
      </w:r>
      <w:r>
        <w:t xml:space="preserve">row mountain chain with subdued relief exposes the passive margin succession of Baltica deformed along the western boundary of the Uralian collision zone (Brown </w:t>
      </w:r>
      <w:r>
        <w:t>et al</w:t>
      </w:r>
      <w:r>
        <w:t>. 2002, and references therein). Baltica (western Eurasia in present-day coordinates) repr</w:t>
      </w:r>
      <w:r>
        <w:t xml:space="preserve">esents the eastern part of Euramerica and was a separate plate prior to Caledonian orogeny. Island arc fragments accreted to the margin of Baltica during the Palaeozoic are also exposed in the </w:t>
      </w:r>
      <w:proofErr w:type="gramStart"/>
      <w:r>
        <w:t>Ural mountains</w:t>
      </w:r>
      <w:proofErr w:type="gramEnd"/>
      <w:r>
        <w:t xml:space="preserve"> (see Brown </w:t>
      </w:r>
      <w:r>
        <w:t>et al</w:t>
      </w:r>
      <w:r>
        <w:t>. 2002, and references therein).</w:t>
      </w:r>
      <w:r>
        <w:t xml:space="preserve"> East of the Urals, a substantial quantity of accretionary crust, and the northern part of the Kazakhstan plate, was caught between Baltica and Siberia as they converged (Aplonov 1995; Allen </w:t>
      </w:r>
      <w:r>
        <w:t>et al</w:t>
      </w:r>
      <w:r>
        <w:t>. 2006). Most of this accretionary crust now forms the basem</w:t>
      </w:r>
      <w:r>
        <w:t>ent to the Mesozoic West Siberian Basin (Fig. 1) and rocks deformed during Uralian collision with a demonstrable Siberian affinity are not exposed.</w:t>
      </w:r>
    </w:p>
    <w:p w14:paraId="5BC9B8A6" w14:textId="77777777" w:rsidR="0061727C" w:rsidRDefault="00B000E1">
      <w:pPr>
        <w:ind w:left="-15" w:right="0"/>
      </w:pPr>
      <w:r>
        <w:t>In contrast, rocks deformed during Uralian collision of both Baltican and Siberian affinities are exposed no</w:t>
      </w:r>
      <w:r>
        <w:t xml:space="preserve">rth of the Arctic Circle: the margin of Ediacaran to Palaeozoic Baltica is present in the Polar Urals (Puchkov 1997), which are a direct continuation of the Urals further south, whereas the late Neoproterozoic to Palaeozoic margin of Siberia is exposed in </w:t>
      </w:r>
      <w:r>
        <w:t>southern and central Taimyr (</w:t>
      </w:r>
      <w:proofErr w:type="gramStart"/>
      <w:r>
        <w:t>e.g.</w:t>
      </w:r>
      <w:proofErr w:type="gramEnd"/>
      <w:r>
        <w:t xml:space="preserve"> Inger </w:t>
      </w:r>
      <w:r>
        <w:t>et al</w:t>
      </w:r>
      <w:r>
        <w:t xml:space="preserve">. 1999; Fig. 1). However, the crustal affinities of Novaya Zemlya, northern </w:t>
      </w:r>
      <w:proofErr w:type="gramStart"/>
      <w:r>
        <w:t>Taimyr</w:t>
      </w:r>
      <w:proofErr w:type="gramEnd"/>
      <w:r>
        <w:t xml:space="preserve"> and Severnaya Zemlya (Fig. 1) remain controversial. Some workers (</w:t>
      </w:r>
      <w:proofErr w:type="gramStart"/>
      <w:r>
        <w:t>e.g.</w:t>
      </w:r>
      <w:proofErr w:type="gramEnd"/>
      <w:r>
        <w:t xml:space="preserve"> Zonenshain </w:t>
      </w:r>
      <w:r>
        <w:t>et al</w:t>
      </w:r>
      <w:r>
        <w:t xml:space="preserve">. 1990; Metelkin </w:t>
      </w:r>
      <w:r>
        <w:t>et al</w:t>
      </w:r>
      <w:r>
        <w:t>. 2005, and referen</w:t>
      </w:r>
      <w:r>
        <w:t xml:space="preserve">ces therein) have suggested that the North Kara region (comprising northern Taimyr, Severnaya Zemlya and the northern Kara Sea) was an independent crustal block, </w:t>
      </w:r>
      <w:r>
        <w:lastRenderedPageBreak/>
        <w:t>named the North Kara Terrane or North Kara Massif, thus complicating the collisional history b</w:t>
      </w:r>
      <w:r>
        <w:t>etween Baltica and Siberia.</w:t>
      </w:r>
    </w:p>
    <w:p w14:paraId="64BD930A" w14:textId="77777777" w:rsidR="0061727C" w:rsidRDefault="00B000E1">
      <w:pPr>
        <w:spacing w:after="299" w:line="259" w:lineRule="auto"/>
        <w:ind w:left="6" w:right="0" w:firstLine="0"/>
        <w:jc w:val="left"/>
      </w:pPr>
      <w:r>
        <w:rPr>
          <w:noProof/>
        </w:rPr>
        <w:drawing>
          <wp:inline distT="0" distB="0" distL="0" distR="0" wp14:anchorId="458C046E" wp14:editId="2792D56A">
            <wp:extent cx="3010936" cy="3373199"/>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3"/>
                    <a:stretch>
                      <a:fillRect/>
                    </a:stretch>
                  </pic:blipFill>
                  <pic:spPr>
                    <a:xfrm>
                      <a:off x="0" y="0"/>
                      <a:ext cx="3010936" cy="3373199"/>
                    </a:xfrm>
                    <a:prstGeom prst="rect">
                      <a:avLst/>
                    </a:prstGeom>
                  </pic:spPr>
                </pic:pic>
              </a:graphicData>
            </a:graphic>
          </wp:inline>
        </w:drawing>
      </w:r>
    </w:p>
    <w:p w14:paraId="57BEE58F" w14:textId="77777777" w:rsidR="0061727C" w:rsidRDefault="00B000E1">
      <w:pPr>
        <w:spacing w:after="3" w:line="265" w:lineRule="auto"/>
        <w:ind w:left="-5" w:right="5" w:hanging="10"/>
        <w:jc w:val="left"/>
      </w:pPr>
      <w:r>
        <w:rPr>
          <w:sz w:val="16"/>
        </w:rPr>
        <w:t xml:space="preserve">Fig. 1. </w:t>
      </w:r>
      <w:r>
        <w:rPr>
          <w:sz w:val="16"/>
        </w:rPr>
        <w:t>Regional setting of the Uralian orogen showing the surface extent of the Uralian orogen (</w:t>
      </w:r>
      <w:r>
        <w:rPr>
          <w:sz w:val="16"/>
        </w:rPr>
        <w:t>sensu lato</w:t>
      </w:r>
      <w:r>
        <w:rPr>
          <w:sz w:val="16"/>
        </w:rPr>
        <w:t>), the Timanide orogen (bold dashed lines) and the hypothetical ‘North Kara block’ (dotted oval). In the subArctic Ural</w:t>
      </w:r>
      <w:r>
        <w:rPr>
          <w:sz w:val="16"/>
        </w:rPr>
        <w:t>ian mountains, the principal deformation occurred in late</w:t>
      </w:r>
    </w:p>
    <w:p w14:paraId="5179939D" w14:textId="77777777" w:rsidR="0061727C" w:rsidRDefault="00B000E1">
      <w:pPr>
        <w:spacing w:after="620" w:line="265" w:lineRule="auto"/>
        <w:ind w:left="-5" w:right="5" w:hanging="10"/>
        <w:jc w:val="left"/>
      </w:pPr>
      <w:r>
        <w:rPr>
          <w:sz w:val="16"/>
        </w:rPr>
        <w:t>Palaeozoic time; in Novaya Zemlya the main deformation is Early Mesozoic; in Taimyr both late Palaeozoic and early Mesozoic deformation is present. The study areas are indicated by boxes.</w:t>
      </w:r>
    </w:p>
    <w:p w14:paraId="4020C0C2" w14:textId="77777777" w:rsidR="0061727C" w:rsidRDefault="00B000E1">
      <w:pPr>
        <w:spacing w:after="526"/>
        <w:ind w:left="-15" w:right="0"/>
      </w:pPr>
      <w:r>
        <w:t xml:space="preserve">Understanding the nature, </w:t>
      </w:r>
      <w:proofErr w:type="gramStart"/>
      <w:r>
        <w:t>extent</w:t>
      </w:r>
      <w:proofErr w:type="gramEnd"/>
      <w:r>
        <w:t xml:space="preserve"> and amalgamation history of differe</w:t>
      </w:r>
      <w:r>
        <w:t>nt basement provinces in the Russian Arctic is essential for understanding the tectonic evolution of northern Eurasia, and for constraining Arctic plate reconstructions. Furthermore, the nature of the basement plays an important role in basin initiation an</w:t>
      </w:r>
      <w:r>
        <w:t xml:space="preserve">d development, of </w:t>
      </w:r>
      <w:proofErr w:type="gramStart"/>
      <w:r>
        <w:t>particular relevance</w:t>
      </w:r>
      <w:proofErr w:type="gramEnd"/>
      <w:r>
        <w:t xml:space="preserve"> in this region because the northern Uralian orogen is surrounded and, in part, overlain by some of the most important hydrocarbon basins in the Arctic (Barents Sea, Timan–Pechora, West Siberia, south Kara Sea). The pa</w:t>
      </w:r>
      <w:r>
        <w:t>laeogeographical affinities of sedimentary units can be constrained using detrital zircon age populations, which provide precise information on the timing of tectonomagmatic events within the sediment source areas. A robust provenance determination correla</w:t>
      </w:r>
      <w:r>
        <w:t xml:space="preserve">tes cumulative frequency profiles, which requires the analysis of </w:t>
      </w:r>
      <w:proofErr w:type="gramStart"/>
      <w:r>
        <w:t>a large number of</w:t>
      </w:r>
      <w:proofErr w:type="gramEnd"/>
      <w:r>
        <w:t xml:space="preserve"> grains to be confident that all major sedimentary source components are identified (Dodson </w:t>
      </w:r>
      <w:r>
        <w:t>et al</w:t>
      </w:r>
      <w:r>
        <w:t>. 1988; Vermeesch 2004). A maximum age for a sedimentary unit is provided by</w:t>
      </w:r>
      <w:r>
        <w:t xml:space="preserve"> the youngest detrital grains contained within it, where independent corroboration of the sediment age is unavailable. Thus, investigations of detrital zircon populations from Neoproterozoic and early Palaeozoic sediments involved in the Uralian orogen can</w:t>
      </w:r>
      <w:r>
        <w:t xml:space="preserve"> help determine basement affinity, especially when a unique age distribution (‘fingerprint’) can be identified. Detrital zircon data are presented from samples collected during expeditions to southern Novaya Zemlya and Taimyr, which provide important new c</w:t>
      </w:r>
      <w:r>
        <w:t xml:space="preserve">onstraints on crustal affinities in the Eurasian Arctic. Of particular significance in this study are zircons derived from the Timanides, an accretionary orogen along the eastern and </w:t>
      </w:r>
      <w:r>
        <w:t xml:space="preserve">northern margin of Baltica of late Neoproterozoic age (Gee &amp; Pease 2004, </w:t>
      </w:r>
      <w:r>
        <w:t xml:space="preserve">and references therein). Timanide basement is known to underlie the Timan–Pechora Basin, southern Novaya </w:t>
      </w:r>
      <w:proofErr w:type="gramStart"/>
      <w:r>
        <w:t>Zemlya</w:t>
      </w:r>
      <w:proofErr w:type="gramEnd"/>
      <w:r>
        <w:t xml:space="preserve"> and parts of the southeastern Barents Shelf (Fig. 1); however, its full extent and significance in the Russian Arctic is poorly constrained.</w:t>
      </w:r>
    </w:p>
    <w:p w14:paraId="438F9A55" w14:textId="77777777" w:rsidR="0061727C" w:rsidRDefault="00B000E1">
      <w:pPr>
        <w:pStyle w:val="1"/>
        <w:ind w:left="-5"/>
      </w:pPr>
      <w:r>
        <w:t>Geo</w:t>
      </w:r>
      <w:r>
        <w:t>logy of southern Novaya Zemlya</w:t>
      </w:r>
    </w:p>
    <w:p w14:paraId="77209022" w14:textId="77777777" w:rsidR="0061727C" w:rsidRDefault="00B000E1">
      <w:pPr>
        <w:ind w:left="-15" w:right="0" w:firstLine="1"/>
      </w:pPr>
      <w:r>
        <w:t>The Novaya Zemlya archipelago contains a predominantly westvergent fold-and-thrust belt that exposes a Precambrian to Early Triassic succession. The fold-and-thrust belt is part of the Uralian orogen but is significantly offs</w:t>
      </w:r>
      <w:r>
        <w:t>et from its general trend (Fig. 1). The depositional setting and fauna of the Ordovician to Permian stratigraphic record imply that the archipelago was located along the eastern margin of Baltica (present-day orientation) prior to deformation in Triassic t</w:t>
      </w:r>
      <w:r>
        <w:t>ime, with platform sediments predominant on the western side of the archipelago and slope deposits on the eastern side (</w:t>
      </w:r>
      <w:proofErr w:type="gramStart"/>
      <w:r>
        <w:t>e.g.</w:t>
      </w:r>
      <w:proofErr w:type="gramEnd"/>
      <w:r>
        <w:t xml:space="preserve"> Bondarev 1982). This west-to-east transition from platform to slope deposits is also characteristic of the main Uralian deformation</w:t>
      </w:r>
      <w:r>
        <w:t xml:space="preserve"> belt further south.</w:t>
      </w:r>
    </w:p>
    <w:p w14:paraId="37465FB7" w14:textId="77777777" w:rsidR="0061727C" w:rsidRDefault="00B000E1">
      <w:pPr>
        <w:ind w:left="-15" w:right="0"/>
      </w:pPr>
      <w:r>
        <w:t xml:space="preserve">Precambrian to early Palaeozoic basement is exposed at </w:t>
      </w:r>
      <w:proofErr w:type="gramStart"/>
      <w:r>
        <w:t>a number of</w:t>
      </w:r>
      <w:proofErr w:type="gramEnd"/>
      <w:r>
        <w:t xml:space="preserve"> localities along the length of the Novaya Zemlya archipelago (Fig. 2a). In the southernmost part of the archipelago, folded, cleaved and weakly metamorphosed turbidites</w:t>
      </w:r>
      <w:r>
        <w:t xml:space="preserve"> containing intrusive bodies of gabbro–dolerite and lamprophyre have been mapped at the base of the succession in the core of a NW–SE-trending early Mesozoic antiformal structure (Fig. 2b) named the Yuzhnonovozemel’sky, or Southern Novaya Zemlya, Anticlino</w:t>
      </w:r>
      <w:r>
        <w:t>rium in Russian literature (</w:t>
      </w:r>
      <w:proofErr w:type="gramStart"/>
      <w:r>
        <w:t>e.g.</w:t>
      </w:r>
      <w:proofErr w:type="gramEnd"/>
      <w:r>
        <w:t xml:space="preserve"> Korago </w:t>
      </w:r>
      <w:r>
        <w:t>et al</w:t>
      </w:r>
      <w:r>
        <w:t xml:space="preserve">. 1992). These strata, assigned a Neoproterozoic age </w:t>
      </w:r>
      <w:proofErr w:type="gramStart"/>
      <w:r>
        <w:t>on the basis of</w:t>
      </w:r>
      <w:proofErr w:type="gramEnd"/>
      <w:r>
        <w:t xml:space="preserve"> a varied assemblage of acritarchs and filamentous algae, have been described by Povysheva (1982), Smirnova </w:t>
      </w:r>
      <w:r>
        <w:t>et al</w:t>
      </w:r>
      <w:r>
        <w:t xml:space="preserve">. (1982) and Kovaleva </w:t>
      </w:r>
      <w:r>
        <w:t>et al</w:t>
      </w:r>
      <w:r>
        <w:t>. (</w:t>
      </w:r>
      <w:r>
        <w:t xml:space="preserve">1984). A review in English has been provided by Korago </w:t>
      </w:r>
      <w:r>
        <w:t>et al</w:t>
      </w:r>
      <w:r>
        <w:t>. (2004). The turbidites are texturally immature, and contain abundant igneous lithic fragments and varied heavy mineral suites consistent with a heterogeneous source that may have included volcan</w:t>
      </w:r>
      <w:r>
        <w:t xml:space="preserve">ic arcs, ophiolite belts and crystalline basement (Kovaleva </w:t>
      </w:r>
      <w:r>
        <w:t>et al</w:t>
      </w:r>
      <w:r>
        <w:t xml:space="preserve">. 1984). Korago </w:t>
      </w:r>
      <w:r>
        <w:t>et al</w:t>
      </w:r>
      <w:r>
        <w:t>. (1992) recognized two deformation phases in these basement rocks, and described interference patterns in which approximately east–west-trending folds concentrated along</w:t>
      </w:r>
      <w:r>
        <w:t xml:space="preserve"> dislocation zones are overprinted by NW–SE-trending early Mesozoic folding that affected all rocks exposed in southern Novaya Zemlya.</w:t>
      </w:r>
    </w:p>
    <w:p w14:paraId="21D2B098" w14:textId="77777777" w:rsidR="0061727C" w:rsidRDefault="00B000E1">
      <w:pPr>
        <w:ind w:left="-15" w:right="0"/>
      </w:pPr>
      <w:r>
        <w:t xml:space="preserve">A prominent angular unconformity terminates the basement turbidite succession and is well exposed at </w:t>
      </w:r>
      <w:proofErr w:type="gramStart"/>
      <w:r>
        <w:t>a number of</w:t>
      </w:r>
      <w:proofErr w:type="gramEnd"/>
      <w:r>
        <w:t xml:space="preserve"> localiti</w:t>
      </w:r>
      <w:r>
        <w:t>es in southern Novaya Zemlya (Fig. 3a). Variegated clastic sediments of Early Ordovician age (conglomerates, sandstones, siltstones), with minor fossiliferous calcareous units, overlie the unconformity. These Ordovician units are involved in the NW– SE-tre</w:t>
      </w:r>
      <w:r>
        <w:t>nding folds, but are unmetamorphosed and do not contain the east–west structural trends recognized in strata beneath the unconformity. The base of the Ordovician succession is diachronous. Early Ordovician sediments have been interpreted to be continental,</w:t>
      </w:r>
      <w:r>
        <w:t xml:space="preserve"> lagoonal and coastal marine deposits reflecting a diachronous transgression onto a pre-existing fold belt (</w:t>
      </w:r>
      <w:proofErr w:type="gramStart"/>
      <w:r>
        <w:t>e.g.</w:t>
      </w:r>
      <w:proofErr w:type="gramEnd"/>
      <w:r>
        <w:t xml:space="preserve"> Bondarev 1982).</w:t>
      </w:r>
    </w:p>
    <w:p w14:paraId="2ACD8B24" w14:textId="77777777" w:rsidR="0061727C" w:rsidRDefault="00B000E1">
      <w:pPr>
        <w:ind w:left="-15" w:right="0"/>
      </w:pPr>
      <w:r>
        <w:t xml:space="preserve">The age constraints from existing studies suggest that the time gap represented by the angular unconformity spans at least the </w:t>
      </w:r>
      <w:r>
        <w:t xml:space="preserve">Cambrian Period. On this basis, it has been assumed that the unconformity is of Timanide age (Korago </w:t>
      </w:r>
      <w:r>
        <w:t>et al</w:t>
      </w:r>
      <w:r>
        <w:t>. 1992, 2004), generated in response to the orogeny that peaked during Ediacaran time (600–550 Ma) and is well documented to the SW</w:t>
      </w:r>
    </w:p>
    <w:p w14:paraId="2A5FA857" w14:textId="77777777" w:rsidR="0061727C" w:rsidRDefault="00B000E1">
      <w:pPr>
        <w:spacing w:after="374" w:line="259" w:lineRule="auto"/>
        <w:ind w:left="62" w:right="0" w:firstLine="0"/>
        <w:jc w:val="left"/>
      </w:pPr>
      <w:r>
        <w:rPr>
          <w:noProof/>
        </w:rPr>
        <w:lastRenderedPageBreak/>
        <w:drawing>
          <wp:inline distT="0" distB="0" distL="0" distR="0" wp14:anchorId="47121B19" wp14:editId="1CA674E3">
            <wp:extent cx="3026664" cy="1917192"/>
            <wp:effectExtent l="0" t="0" r="0" b="0"/>
            <wp:docPr id="23420" name="Picture 23420"/>
            <wp:cNvGraphicFramePr/>
            <a:graphic xmlns:a="http://schemas.openxmlformats.org/drawingml/2006/main">
              <a:graphicData uri="http://schemas.openxmlformats.org/drawingml/2006/picture">
                <pic:pic xmlns:pic="http://schemas.openxmlformats.org/drawingml/2006/picture">
                  <pic:nvPicPr>
                    <pic:cNvPr id="23420" name="Picture 23420"/>
                    <pic:cNvPicPr/>
                  </pic:nvPicPr>
                  <pic:blipFill>
                    <a:blip r:embed="rId14"/>
                    <a:stretch>
                      <a:fillRect/>
                    </a:stretch>
                  </pic:blipFill>
                  <pic:spPr>
                    <a:xfrm>
                      <a:off x="0" y="0"/>
                      <a:ext cx="3026664" cy="1917192"/>
                    </a:xfrm>
                    <a:prstGeom prst="rect">
                      <a:avLst/>
                    </a:prstGeom>
                  </pic:spPr>
                </pic:pic>
              </a:graphicData>
            </a:graphic>
          </wp:inline>
        </w:drawing>
      </w:r>
    </w:p>
    <w:p w14:paraId="32C9D74A" w14:textId="77777777" w:rsidR="0061727C" w:rsidRDefault="00B000E1">
      <w:pPr>
        <w:spacing w:after="265" w:line="259" w:lineRule="auto"/>
        <w:ind w:left="62" w:right="0" w:firstLine="0"/>
        <w:jc w:val="left"/>
      </w:pPr>
      <w:r>
        <w:rPr>
          <w:noProof/>
        </w:rPr>
        <w:drawing>
          <wp:inline distT="0" distB="0" distL="0" distR="0" wp14:anchorId="38DEE409" wp14:editId="59DEF041">
            <wp:extent cx="3019362" cy="190010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5"/>
                    <a:stretch>
                      <a:fillRect/>
                    </a:stretch>
                  </pic:blipFill>
                  <pic:spPr>
                    <a:xfrm flipV="1">
                      <a:off x="0" y="0"/>
                      <a:ext cx="3019362" cy="1900105"/>
                    </a:xfrm>
                    <a:prstGeom prst="rect">
                      <a:avLst/>
                    </a:prstGeom>
                  </pic:spPr>
                </pic:pic>
              </a:graphicData>
            </a:graphic>
          </wp:inline>
        </w:drawing>
      </w:r>
    </w:p>
    <w:tbl>
      <w:tblPr>
        <w:tblStyle w:val="TableGrid"/>
        <w:tblpPr w:vertAnchor="text" w:horzAnchor="margin"/>
        <w:tblOverlap w:val="never"/>
        <w:tblW w:w="10043" w:type="dxa"/>
        <w:tblInd w:w="0" w:type="dxa"/>
        <w:tblCellMar>
          <w:top w:w="0" w:type="dxa"/>
          <w:left w:w="0" w:type="dxa"/>
          <w:bottom w:w="0" w:type="dxa"/>
          <w:right w:w="12" w:type="dxa"/>
        </w:tblCellMar>
        <w:tblLook w:val="04A0" w:firstRow="1" w:lastRow="0" w:firstColumn="1" w:lastColumn="0" w:noHBand="0" w:noVBand="1"/>
      </w:tblPr>
      <w:tblGrid>
        <w:gridCol w:w="10043"/>
      </w:tblGrid>
      <w:tr w:rsidR="0061727C" w14:paraId="35261682" w14:textId="77777777">
        <w:trPr>
          <w:trHeight w:val="2954"/>
        </w:trPr>
        <w:tc>
          <w:tcPr>
            <w:tcW w:w="2858" w:type="dxa"/>
            <w:tcBorders>
              <w:top w:val="nil"/>
              <w:left w:val="nil"/>
              <w:bottom w:val="nil"/>
              <w:right w:val="nil"/>
            </w:tcBorders>
            <w:vAlign w:val="bottom"/>
          </w:tcPr>
          <w:p w14:paraId="045508E1" w14:textId="77777777" w:rsidR="0061727C" w:rsidRDefault="00B000E1">
            <w:pPr>
              <w:spacing w:after="5" w:line="259" w:lineRule="auto"/>
              <w:ind w:left="7173" w:right="0" w:firstLine="0"/>
              <w:jc w:val="left"/>
            </w:pPr>
            <w:r>
              <w:rPr>
                <w:noProof/>
              </w:rPr>
              <w:drawing>
                <wp:anchor distT="0" distB="0" distL="114300" distR="114300" simplePos="0" relativeHeight="251658240" behindDoc="0" locked="0" layoutInCell="1" allowOverlap="0" wp14:anchorId="58B3D649" wp14:editId="0630A536">
                  <wp:simplePos x="0" y="0"/>
                  <wp:positionH relativeFrom="column">
                    <wp:posOffset>0</wp:posOffset>
                  </wp:positionH>
                  <wp:positionV relativeFrom="paragraph">
                    <wp:posOffset>-1010405</wp:posOffset>
                  </wp:positionV>
                  <wp:extent cx="4327605" cy="2851200"/>
                  <wp:effectExtent l="0" t="0" r="0" b="0"/>
                  <wp:wrapSquare wrapText="bothSides"/>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6"/>
                          <a:stretch>
                            <a:fillRect/>
                          </a:stretch>
                        </pic:blipFill>
                        <pic:spPr>
                          <a:xfrm>
                            <a:off x="0" y="0"/>
                            <a:ext cx="4327605" cy="2851200"/>
                          </a:xfrm>
                          <a:prstGeom prst="rect">
                            <a:avLst/>
                          </a:prstGeom>
                        </pic:spPr>
                      </pic:pic>
                    </a:graphicData>
                  </a:graphic>
                </wp:anchor>
              </w:drawing>
            </w:r>
            <w:r>
              <w:rPr>
                <w:sz w:val="16"/>
              </w:rPr>
              <w:t xml:space="preserve">Fig. 2. </w:t>
            </w:r>
            <w:r>
              <w:rPr>
                <w:sz w:val="16"/>
              </w:rPr>
              <w:t>(</w:t>
            </w:r>
            <w:r>
              <w:rPr>
                <w:sz w:val="16"/>
              </w:rPr>
              <w:t>a</w:t>
            </w:r>
            <w:r>
              <w:rPr>
                <w:sz w:val="16"/>
              </w:rPr>
              <w:t>) Distribution of Precambrian–</w:t>
            </w:r>
          </w:p>
          <w:p w14:paraId="4D424ECB" w14:textId="77777777" w:rsidR="0061727C" w:rsidRDefault="00B000E1">
            <w:pPr>
              <w:spacing w:after="20" w:line="259" w:lineRule="auto"/>
              <w:ind w:left="7173" w:right="0" w:firstLine="0"/>
              <w:jc w:val="left"/>
            </w:pPr>
            <w:r>
              <w:rPr>
                <w:sz w:val="16"/>
              </w:rPr>
              <w:t>Cambrian basement units in Novaya</w:t>
            </w:r>
          </w:p>
          <w:p w14:paraId="03D59E49" w14:textId="77777777" w:rsidR="0061727C" w:rsidRDefault="00B000E1">
            <w:pPr>
              <w:spacing w:after="0" w:line="259" w:lineRule="auto"/>
              <w:ind w:left="7173" w:right="0" w:firstLine="0"/>
              <w:jc w:val="left"/>
            </w:pPr>
            <w:r>
              <w:rPr>
                <w:sz w:val="16"/>
              </w:rPr>
              <w:t xml:space="preserve">Zemlya (after Korago </w:t>
            </w:r>
            <w:r>
              <w:rPr>
                <w:sz w:val="16"/>
              </w:rPr>
              <w:t xml:space="preserve">et al. </w:t>
            </w:r>
            <w:r>
              <w:rPr>
                <w:sz w:val="16"/>
              </w:rPr>
              <w:t>1992). (</w:t>
            </w:r>
            <w:r>
              <w:rPr>
                <w:sz w:val="16"/>
              </w:rPr>
              <w:t>b</w:t>
            </w:r>
            <w:r>
              <w:rPr>
                <w:sz w:val="16"/>
              </w:rPr>
              <w:t xml:space="preserve">) </w:t>
            </w:r>
            <w:r>
              <w:rPr>
                <w:sz w:val="16"/>
              </w:rPr>
              <w:t>Distribution of Pre-Ordovician basement and overlying Palaeozoic rocks in southern Novaya Zemlya. (</w:t>
            </w:r>
            <w:r>
              <w:rPr>
                <w:sz w:val="16"/>
              </w:rPr>
              <w:t>c</w:t>
            </w:r>
            <w:r>
              <w:rPr>
                <w:sz w:val="16"/>
              </w:rPr>
              <w:t>) Geological sketch map of the Tikhomirova Peninsula, where Ordovician strata have a pronounced unconformable contact with pre-Ordovician strata around an a</w:t>
            </w:r>
            <w:r>
              <w:rPr>
                <w:sz w:val="16"/>
              </w:rPr>
              <w:t>ntiformal hinge. The contact along the SW side is a zone of high strain and early Ordovician strata above the unconformity are near vertical (see Fig. 3a). Sample locations: 1, VP04-019; 2, VP04020; 3, VP04-021.</w:t>
            </w:r>
          </w:p>
        </w:tc>
      </w:tr>
    </w:tbl>
    <w:p w14:paraId="113A57B7" w14:textId="77777777" w:rsidR="0061727C" w:rsidRDefault="00B000E1">
      <w:pPr>
        <w:spacing w:after="3" w:line="265" w:lineRule="auto"/>
        <w:ind w:left="-5" w:right="5" w:hanging="10"/>
        <w:jc w:val="left"/>
      </w:pPr>
      <w:r>
        <w:rPr>
          <w:sz w:val="16"/>
        </w:rPr>
        <w:t xml:space="preserve">Fig. 3. </w:t>
      </w:r>
      <w:r>
        <w:rPr>
          <w:sz w:val="16"/>
        </w:rPr>
        <w:t>Field exposure. (</w:t>
      </w:r>
      <w:r>
        <w:rPr>
          <w:sz w:val="16"/>
        </w:rPr>
        <w:t>a</w:t>
      </w:r>
      <w:r>
        <w:rPr>
          <w:sz w:val="16"/>
        </w:rPr>
        <w:t>) Southern Novaya</w:t>
      </w:r>
      <w:r>
        <w:rPr>
          <w:sz w:val="16"/>
        </w:rPr>
        <w:t xml:space="preserve"> Zemlya unconformity. The unconformity (indicated by dotted line) is defined by NE-dipping, greenschist-facies metagreywackes of inferred Precambrian age below (in the background), in contact with vertically dipping oxidized Ordovician sandstone above, whi</w:t>
      </w:r>
      <w:r>
        <w:rPr>
          <w:sz w:val="16"/>
        </w:rPr>
        <w:t>ch give way to younger shelf carbonates in the foreground (person in foreground circled for scale). Location of sample VP04-020 is shown. (</w:t>
      </w:r>
      <w:r>
        <w:rPr>
          <w:sz w:val="16"/>
        </w:rPr>
        <w:t>b</w:t>
      </w:r>
      <w:r>
        <w:rPr>
          <w:sz w:val="16"/>
        </w:rPr>
        <w:t xml:space="preserve">) Northern Taimyr greenschist-facies, vertically dipping metapsammites (thicker beds) and metapelites (thin, highly </w:t>
      </w:r>
      <w:r>
        <w:rPr>
          <w:sz w:val="16"/>
        </w:rPr>
        <w:t>sheared beds). Location of sample VP98-055 is shown; hammer for scale.</w:t>
      </w:r>
    </w:p>
    <w:p w14:paraId="0643BCD5" w14:textId="77777777" w:rsidR="0061727C" w:rsidRDefault="00B000E1">
      <w:pPr>
        <w:ind w:left="-15" w:right="0" w:firstLine="0"/>
      </w:pPr>
      <w:r>
        <w:t xml:space="preserve">in the Timan–Pechora Basin and adjacent regions (for an overview see Gee &amp; Pease 2004; Pease </w:t>
      </w:r>
      <w:r>
        <w:t>et al</w:t>
      </w:r>
      <w:r>
        <w:t>. 2008).</w:t>
      </w:r>
    </w:p>
    <w:p w14:paraId="6FAFF771" w14:textId="77777777" w:rsidR="0061727C" w:rsidRDefault="00B000E1">
      <w:pPr>
        <w:spacing w:after="315"/>
        <w:ind w:left="-15" w:right="0"/>
      </w:pPr>
      <w:r>
        <w:t>To understand the age and affinities of strata above and below the angular unc</w:t>
      </w:r>
      <w:r>
        <w:t>onformity in southernmost Novaya Zemlya, a sample of sandstone below the unconformity, a sample immediately above the unconformity, and one sample about 100 m above the unconformity were collected for U–Pb isotopic dating of detrital zircons (Figs 2c and 3</w:t>
      </w:r>
      <w:r>
        <w:t>a).</w:t>
      </w:r>
    </w:p>
    <w:p w14:paraId="4CB48F81" w14:textId="77777777" w:rsidR="0061727C" w:rsidRDefault="00B000E1">
      <w:pPr>
        <w:pStyle w:val="1"/>
        <w:ind w:left="-5"/>
      </w:pPr>
      <w:r>
        <w:t>Geology of Taimyr</w:t>
      </w:r>
    </w:p>
    <w:p w14:paraId="45F21F9B" w14:textId="77777777" w:rsidR="0061727C" w:rsidRDefault="00B000E1">
      <w:pPr>
        <w:ind w:left="-15" w:right="0" w:firstLine="0"/>
      </w:pPr>
      <w:r>
        <w:t>The Taimyr Peninsula is generally divided into three NE–SWtrending structural zones (Fig. 4; Vernikovsky 1996). Southern Taimyr contains a weakly to unmetamorphosed Ordovician to mid-Carboniferous shallow-marine, carbonate-dominated s</w:t>
      </w:r>
      <w:r>
        <w:t xml:space="preserve">helf succession that was deposited on the passive margin of Siberia (Bezzubtsev </w:t>
      </w:r>
      <w:r>
        <w:t>et al</w:t>
      </w:r>
      <w:r>
        <w:t xml:space="preserve">. 1983; Inger </w:t>
      </w:r>
      <w:r>
        <w:t>et al</w:t>
      </w:r>
      <w:r>
        <w:t>. 1999; Torsvik &amp; Andersen 2002). Previously claimed Baltican affinities for Ordovician fossils from this succession (Cocks &amp; Modzalevskaya 1997) have b</w:t>
      </w:r>
      <w:r>
        <w:t>een reassessed and a Siberian affinity is now inferred (Fortey &amp; Cocks 2003), consistent with stratigraphic and structural evidence. The passive margin succession is overlain by a package of late Carboniferous to early Triassic shallow-marine and continent</w:t>
      </w:r>
      <w:r>
        <w:t xml:space="preserve">al siliciclastic rocks interleaved with the Permian–Triassic extrusive and intrusive rocks of the Taimyr igneous suite (Inger </w:t>
      </w:r>
      <w:r>
        <w:t>et al</w:t>
      </w:r>
      <w:r>
        <w:t xml:space="preserve">. 1999; Walderhaug </w:t>
      </w:r>
      <w:r>
        <w:t>et al</w:t>
      </w:r>
      <w:r>
        <w:t>. 2005). This siliciclastic package records the influx of detritus, possibly generated by unroofing o</w:t>
      </w:r>
      <w:r>
        <w:t xml:space="preserve">f the northern Siberian margin in the south, but more probably caused by erosion of the developing Uralian collision belt to the north and west; however, it is not possible to demonstrate unequivocal foreland geometry (Inger </w:t>
      </w:r>
      <w:r>
        <w:t>et al</w:t>
      </w:r>
      <w:r>
        <w:t>. 1999). Rare thrust fault</w:t>
      </w:r>
      <w:r>
        <w:t xml:space="preserve">s observed within the Palaeozoic carbonate succession </w:t>
      </w:r>
      <w:proofErr w:type="gramStart"/>
      <w:r>
        <w:t>are considered to be</w:t>
      </w:r>
      <w:proofErr w:type="gramEnd"/>
      <w:r>
        <w:t xml:space="preserve"> Late Palaeozoic structures of Uralian age (Inger </w:t>
      </w:r>
      <w:r>
        <w:t>et al</w:t>
      </w:r>
      <w:r>
        <w:t xml:space="preserve">. 1999). </w:t>
      </w:r>
      <w:proofErr w:type="gramStart"/>
      <w:r>
        <w:t>All of</w:t>
      </w:r>
      <w:proofErr w:type="gramEnd"/>
      <w:r>
        <w:t xml:space="preserve"> the Triassic and older rocks in southern Taimyr were then folded and faulted during a phase of endTriassic to e</w:t>
      </w:r>
      <w:r>
        <w:t xml:space="preserve">arliest Jurassic dextral transpression (Inger </w:t>
      </w:r>
      <w:r>
        <w:t>et al</w:t>
      </w:r>
      <w:r>
        <w:t xml:space="preserve">. 1999; Torsvik &amp; Andersen 2002; Walderhaug </w:t>
      </w:r>
      <w:r>
        <w:t>et al</w:t>
      </w:r>
      <w:r>
        <w:t>. 2005).</w:t>
      </w:r>
    </w:p>
    <w:tbl>
      <w:tblPr>
        <w:tblStyle w:val="TableGrid"/>
        <w:tblpPr w:vertAnchor="text" w:horzAnchor="margin" w:tblpY="581"/>
        <w:tblOverlap w:val="never"/>
        <w:tblW w:w="10044" w:type="dxa"/>
        <w:tblInd w:w="0" w:type="dxa"/>
        <w:tblCellMar>
          <w:top w:w="0" w:type="dxa"/>
          <w:left w:w="0" w:type="dxa"/>
          <w:bottom w:w="0" w:type="dxa"/>
          <w:right w:w="48" w:type="dxa"/>
        </w:tblCellMar>
        <w:tblLook w:val="04A0" w:firstRow="1" w:lastRow="0" w:firstColumn="1" w:lastColumn="0" w:noHBand="0" w:noVBand="1"/>
      </w:tblPr>
      <w:tblGrid>
        <w:gridCol w:w="10044"/>
      </w:tblGrid>
      <w:tr w:rsidR="0061727C" w14:paraId="1D6B5244" w14:textId="77777777">
        <w:trPr>
          <w:trHeight w:val="1161"/>
        </w:trPr>
        <w:tc>
          <w:tcPr>
            <w:tcW w:w="2823" w:type="dxa"/>
            <w:tcBorders>
              <w:top w:val="nil"/>
              <w:left w:val="nil"/>
              <w:bottom w:val="nil"/>
              <w:right w:val="nil"/>
            </w:tcBorders>
            <w:vAlign w:val="bottom"/>
          </w:tcPr>
          <w:p w14:paraId="74B34BAE" w14:textId="77777777" w:rsidR="0061727C" w:rsidRDefault="00B000E1">
            <w:pPr>
              <w:spacing w:after="0" w:line="259" w:lineRule="auto"/>
              <w:ind w:left="7173" w:right="0" w:firstLine="0"/>
              <w:jc w:val="left"/>
            </w:pPr>
            <w:r>
              <w:rPr>
                <w:noProof/>
              </w:rPr>
              <w:lastRenderedPageBreak/>
              <w:drawing>
                <wp:anchor distT="0" distB="0" distL="114300" distR="114300" simplePos="0" relativeHeight="251659264" behindDoc="0" locked="0" layoutInCell="1" allowOverlap="0" wp14:anchorId="133EB14E" wp14:editId="6724C903">
                  <wp:simplePos x="0" y="0"/>
                  <wp:positionH relativeFrom="column">
                    <wp:posOffset>0</wp:posOffset>
                  </wp:positionH>
                  <wp:positionV relativeFrom="paragraph">
                    <wp:posOffset>-931072</wp:posOffset>
                  </wp:positionV>
                  <wp:extent cx="4327605" cy="1632960"/>
                  <wp:effectExtent l="0" t="0" r="0" b="0"/>
                  <wp:wrapSquare wrapText="bothSides"/>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7"/>
                          <a:stretch>
                            <a:fillRect/>
                          </a:stretch>
                        </pic:blipFill>
                        <pic:spPr>
                          <a:xfrm>
                            <a:off x="0" y="0"/>
                            <a:ext cx="4327605" cy="1632960"/>
                          </a:xfrm>
                          <a:prstGeom prst="rect">
                            <a:avLst/>
                          </a:prstGeom>
                        </pic:spPr>
                      </pic:pic>
                    </a:graphicData>
                  </a:graphic>
                </wp:anchor>
              </w:drawing>
            </w:r>
            <w:r>
              <w:rPr>
                <w:sz w:val="16"/>
              </w:rPr>
              <w:t xml:space="preserve">Fig. 4. </w:t>
            </w:r>
            <w:r>
              <w:rPr>
                <w:sz w:val="16"/>
              </w:rPr>
              <w:t xml:space="preserve">Generalized geological map of the Taimyr Peninsula (after Bezzubtsev </w:t>
            </w:r>
            <w:r>
              <w:rPr>
                <w:sz w:val="16"/>
              </w:rPr>
              <w:t xml:space="preserve">et al. </w:t>
            </w:r>
            <w:r>
              <w:rPr>
                <w:sz w:val="16"/>
              </w:rPr>
              <w:t xml:space="preserve">1983). </w:t>
            </w:r>
            <w:r>
              <w:rPr>
                <w:sz w:val="16"/>
              </w:rPr>
              <w:t>ND</w:t>
            </w:r>
            <w:r>
              <w:rPr>
                <w:sz w:val="16"/>
              </w:rPr>
              <w:t xml:space="preserve">, northern structural domain; </w:t>
            </w:r>
            <w:r>
              <w:rPr>
                <w:sz w:val="16"/>
              </w:rPr>
              <w:t>CD</w:t>
            </w:r>
            <w:r>
              <w:rPr>
                <w:sz w:val="16"/>
              </w:rPr>
              <w:t xml:space="preserve">, central structural </w:t>
            </w:r>
            <w:r>
              <w:rPr>
                <w:sz w:val="16"/>
              </w:rPr>
              <w:t xml:space="preserve">domain. </w:t>
            </w:r>
            <w:r>
              <w:rPr>
                <w:sz w:val="16"/>
              </w:rPr>
              <w:t>MP</w:t>
            </w:r>
            <w:r>
              <w:rPr>
                <w:sz w:val="16"/>
              </w:rPr>
              <w:t>, Mikilova Peninsula. Sample locations: 1, VP98-055; 2, VP98-078; 3, VP98-009.</w:t>
            </w:r>
          </w:p>
        </w:tc>
      </w:tr>
    </w:tbl>
    <w:p w14:paraId="393FBE84" w14:textId="77777777" w:rsidR="0061727C" w:rsidRDefault="00B000E1">
      <w:pPr>
        <w:ind w:left="-15" w:right="0"/>
      </w:pPr>
      <w:r>
        <w:t xml:space="preserve">Central Taimyr is structurally complex and lithologically diverse. It contains a weakly to unmetamorphosed latest Neoproterozoic (Vendian) to early Palaeozoic continental margin succession. Compared with units of equivalent age in southern Taimyr, central </w:t>
      </w:r>
      <w:r>
        <w:t xml:space="preserve">Taimyr strata document more distal, deeperwater depositional environments. This succession is interpreted to represent the continental slope of Siberia (Inger </w:t>
      </w:r>
      <w:r>
        <w:t>et al</w:t>
      </w:r>
      <w:r>
        <w:t>. 1999), and indicates that central–southern Taimyr has been a coherent part of Siberia sinc</w:t>
      </w:r>
      <w:r>
        <w:t>e at least latest Neoproterozoic time.</w:t>
      </w:r>
    </w:p>
    <w:p w14:paraId="5D7C9030" w14:textId="77777777" w:rsidR="0061727C" w:rsidRDefault="00B000E1">
      <w:pPr>
        <w:ind w:left="-15" w:right="0"/>
      </w:pPr>
      <w:r>
        <w:t>Unconformably below the continental slope succession is a varied assemblage of Precambrian crystalline units. Greenschistfacies Neoproterozoic volcano-sedimentary successions predominate, including fragmented ophiolit</w:t>
      </w:r>
      <w:r>
        <w:t xml:space="preserve">es, island-arc volcanic rocks and continental crust (Zonenshain &amp; Natapov 1987; Zonenshain </w:t>
      </w:r>
      <w:r>
        <w:t>et al</w:t>
      </w:r>
      <w:r>
        <w:t xml:space="preserve">. 1990; Uflyand </w:t>
      </w:r>
      <w:r>
        <w:t>et al</w:t>
      </w:r>
      <w:r>
        <w:t xml:space="preserve">. 1991; Vernikovsky </w:t>
      </w:r>
      <w:r>
        <w:t>et al</w:t>
      </w:r>
      <w:r>
        <w:t>. 2004). Associated with them are Mesoproterozoic to early Neoproterozoic amphibolite-facies metasedimentary units</w:t>
      </w:r>
      <w:r>
        <w:t xml:space="preserve"> intruded by </w:t>
      </w:r>
      <w:r>
        <w:t>c</w:t>
      </w:r>
      <w:r>
        <w:t xml:space="preserve">. 900 Ma granites (Pease </w:t>
      </w:r>
      <w:r>
        <w:t>et al</w:t>
      </w:r>
      <w:r>
        <w:t xml:space="preserve">. 2001). It has been demonstrated that the Neoproterozoic volcano-sedimentary successions locally lie unconformably on these higher-grade complexes (Pease </w:t>
      </w:r>
      <w:r>
        <w:t>et al</w:t>
      </w:r>
      <w:r>
        <w:t>. 2001). Previous workers (</w:t>
      </w:r>
      <w:proofErr w:type="gramStart"/>
      <w:r>
        <w:t>e.g.</w:t>
      </w:r>
      <w:proofErr w:type="gramEnd"/>
      <w:r>
        <w:t xml:space="preserve"> Bezzubtsev </w:t>
      </w:r>
      <w:r>
        <w:t>et al</w:t>
      </w:r>
      <w:r>
        <w:t>. 19</w:t>
      </w:r>
      <w:r>
        <w:t>83, 1986) inferred that these higher-grade complexes were Archaean or Palaeoproterozoic in age, and therefore related to the Siberian craton exposed 600 km to the south. However, metamorphism and granite genesis of early Neoproterozoic (Tonian) age imply t</w:t>
      </w:r>
      <w:r>
        <w:t xml:space="preserve">hat these continental fragments within central Taimyr are unrelated to the Siberian craton (Pease </w:t>
      </w:r>
      <w:r>
        <w:t>et al</w:t>
      </w:r>
      <w:r>
        <w:t>. 2001).</w:t>
      </w:r>
    </w:p>
    <w:p w14:paraId="0EB47129" w14:textId="77777777" w:rsidR="0061727C" w:rsidRDefault="00B000E1">
      <w:pPr>
        <w:ind w:left="-15" w:right="0"/>
      </w:pPr>
      <w:r>
        <w:t>The youngest published igneous ages (</w:t>
      </w:r>
      <w:r>
        <w:t>c</w:t>
      </w:r>
      <w:r>
        <w:t>. 630 Ma) from central Taimyr are from metamorphosed felsic volcanic rocks (Pease &amp; Vernikovsky 2000). How</w:t>
      </w:r>
      <w:r>
        <w:t xml:space="preserve">ever, unpublished ages (V. Pease) suggest that rhyolitic volcanism at the eastern end of central Taimyr is as young as 625–600 Ma. These ages are </w:t>
      </w:r>
      <w:proofErr w:type="gramStart"/>
      <w:r>
        <w:t>similar to</w:t>
      </w:r>
      <w:proofErr w:type="gramEnd"/>
      <w:r>
        <w:t xml:space="preserve"> the age of regional metamorphism in central Taimyr, which reached 600– 700 </w:t>
      </w:r>
      <w:r>
        <w:t>8</w:t>
      </w:r>
      <w:r>
        <w:t>C and 6–9 kbar (Vernikovsky 1995). As these metamorphic rocks are overlain by unmetamorphosed latest Neoproterozoic continental slope deposits of Siberian affinity, it can reasonably be assumed that the regional metamorphism records the endPrecambrian accr</w:t>
      </w:r>
      <w:r>
        <w:t>etion of the allochthonous basement of central Taimyr to the Siberian margin.</w:t>
      </w:r>
    </w:p>
    <w:p w14:paraId="3B65DEB4" w14:textId="77777777" w:rsidR="0061727C" w:rsidRDefault="00B000E1">
      <w:pPr>
        <w:ind w:left="-15" w:right="0"/>
      </w:pPr>
      <w:r>
        <w:t xml:space="preserve">There is no recorded evidence of tectonic activity in central Taimyr between the late Neoproterozoic and mid-Carboniferous, suggesting that, like southern Taimyr, it was part of </w:t>
      </w:r>
      <w:r>
        <w:t>the stable passive margin of Siberia during this time. Central Taimyr, however, was involved in the Carboniferous–Permian Uralian orogeny during which compressional tectonism was accompanied by the intrusion of syn- and post-tectonic granitoids (Vernikovsk</w:t>
      </w:r>
      <w:r>
        <w:t xml:space="preserve">y </w:t>
      </w:r>
      <w:r>
        <w:t>et al</w:t>
      </w:r>
      <w:r>
        <w:t>. 1995; Pease 2001). Contact metamorphic aureoles associated with granitoid intrusion are locally superimposed on the regionally metamorphosed host rocks. Central Taimyr was also subjected to Early Mesozoic transpression, but the absence of Mesozoic</w:t>
      </w:r>
      <w:r>
        <w:t xml:space="preserve"> strata in this part of Taimyr makes this deformation phase difficult to isolate from earlier deformation events.</w:t>
      </w:r>
    </w:p>
    <w:p w14:paraId="4E1D6AB1" w14:textId="77777777" w:rsidR="0061727C" w:rsidRDefault="00B000E1">
      <w:pPr>
        <w:ind w:left="-15" w:right="0"/>
      </w:pPr>
      <w:r>
        <w:t xml:space="preserve">Northern Taimyr (Fig. 4) is dominated by rhythmically interbedded clastic metasediments (sandstones, </w:t>
      </w:r>
      <w:proofErr w:type="gramStart"/>
      <w:r>
        <w:t>siltstones</w:t>
      </w:r>
      <w:proofErr w:type="gramEnd"/>
      <w:r>
        <w:t xml:space="preserve"> and mudstones) interpreted to </w:t>
      </w:r>
      <w:r>
        <w:t xml:space="preserve">represent turbidites formed on a continental slope (Bezzubtsev </w:t>
      </w:r>
      <w:r>
        <w:t>et al</w:t>
      </w:r>
      <w:r>
        <w:t>. 1986). Despite deformation and regional greenschist- to amphibolite-facies metamorphism associated with the late Palaeozoic Uralian orogeny, acritarchs and anabarites have been interpret</w:t>
      </w:r>
      <w:r>
        <w:t xml:space="preserve">ed to suggest a late Neoproterozoic (Vendian)–Cambrian age (Bezzubtsev </w:t>
      </w:r>
      <w:r>
        <w:t>et al</w:t>
      </w:r>
      <w:r>
        <w:t xml:space="preserve">. 1986). Thermobarometry indicates that temperatures associated with Uralian garnet- to sillimanite-grade metamorphism vary from 460 to 650 </w:t>
      </w:r>
      <w:r>
        <w:t>8</w:t>
      </w:r>
      <w:r>
        <w:t>C, at pressures of 3–6.5 kbar (Vernikov</w:t>
      </w:r>
      <w:r>
        <w:t>sky 1995).</w:t>
      </w:r>
    </w:p>
    <w:p w14:paraId="5992F732" w14:textId="77777777" w:rsidR="0061727C" w:rsidRDefault="00B000E1">
      <w:pPr>
        <w:ind w:left="-15" w:right="0"/>
      </w:pPr>
      <w:r>
        <w:t>Older igneous rocks constitute a volumetrically minor part of northern Taimyr, but are present in the west–central region near Mikilova Peninsula (Fig. 4). These intrusive and extrusive rocks represent 700 Ma island arc volcanism (Pease &amp; Persso</w:t>
      </w:r>
      <w:r>
        <w:t>n 2006), presumably exposed in a tectonic window to central Taimyr basement. Local migmatization as a result of later Uralian synto post-tectonic Carboniferous–Permian granitoid plutonism complicates the structure of northern Taimyr sedimentary deposits (V</w:t>
      </w:r>
      <w:r>
        <w:t xml:space="preserve">ernikovsky </w:t>
      </w:r>
      <w:r>
        <w:t>et al</w:t>
      </w:r>
      <w:r>
        <w:t xml:space="preserve">. 1995; Pease 2001). These Uralian plutons have typical volcanic arc geochemical characteristics (Vernikovsky </w:t>
      </w:r>
      <w:r>
        <w:t>et al</w:t>
      </w:r>
      <w:r>
        <w:t>. 1995) and are intruded across both northern and central Taimyr. Hence, the Carboniferous–Permian granitic magmatism is inte</w:t>
      </w:r>
      <w:r>
        <w:t xml:space="preserve">rpreted as ‘stitching’ plutonism that reflects the collision of northern Taimyr with southern–central Taimyr (Zonenshain &amp; Natapov 1987; Zonenshain </w:t>
      </w:r>
      <w:r>
        <w:t>et al</w:t>
      </w:r>
      <w:r>
        <w:t xml:space="preserve">. 1990; Uflyand </w:t>
      </w:r>
      <w:r>
        <w:t>et al</w:t>
      </w:r>
      <w:r>
        <w:t xml:space="preserve">. 1991; Sengo¨r </w:t>
      </w:r>
      <w:r>
        <w:t>et al</w:t>
      </w:r>
      <w:r>
        <w:t xml:space="preserve">. 1993; Inger </w:t>
      </w:r>
      <w:r>
        <w:t>et al</w:t>
      </w:r>
      <w:r>
        <w:t>. 1999).</w:t>
      </w:r>
    </w:p>
    <w:p w14:paraId="76220C68" w14:textId="77777777" w:rsidR="0061727C" w:rsidRDefault="00B000E1">
      <w:pPr>
        <w:spacing w:after="320"/>
        <w:ind w:left="-15" w:right="0"/>
      </w:pPr>
      <w:r>
        <w:t>There is no doubt that northern T</w:t>
      </w:r>
      <w:r>
        <w:t>aimyr is allochthonous with respect to central–southern Taimyr; however, the affinities of this block are uncertain and controversial. Sandstone samples were therefore collected for U–Pb detrital zircon provenance investigations from exposures representing</w:t>
      </w:r>
      <w:r>
        <w:t xml:space="preserve"> the lowermost parts of the stratigraphic succession at several sites across northern Taimyr (Figs 3b and 4).</w:t>
      </w:r>
    </w:p>
    <w:p w14:paraId="1342EA6B" w14:textId="77777777" w:rsidR="0061727C" w:rsidRDefault="00B000E1">
      <w:pPr>
        <w:pStyle w:val="1"/>
        <w:ind w:left="-5"/>
      </w:pPr>
      <w:r>
        <w:t>Methods</w:t>
      </w:r>
    </w:p>
    <w:p w14:paraId="0927CF6F" w14:textId="77777777" w:rsidR="0061727C" w:rsidRDefault="00B000E1">
      <w:pPr>
        <w:ind w:left="-15" w:right="0" w:firstLine="1"/>
      </w:pPr>
      <w:r>
        <w:t>Zircons were separated from about 2 kg of sample using conventional magnetic and heavy liquid mineral separation techniques. Methods for s</w:t>
      </w:r>
      <w:r>
        <w:t xml:space="preserve">ample preparation and analytical procedures follow those described by Whitehouse </w:t>
      </w:r>
      <w:r>
        <w:t>et al</w:t>
      </w:r>
      <w:r>
        <w:t>. (1999) and Whitehouse &amp; Kamber (2005). U–Th–Pb zircon analysis was made using a Cameca IMS1270 ion-microprobe at the NORDSIM facility in Stockholm, Sweden. Owing to the</w:t>
      </w:r>
      <w:r>
        <w:t xml:space="preserve"> generally small grain size, a small ion-beam set-up was used (</w:t>
      </w:r>
      <w:proofErr w:type="gramStart"/>
      <w:r>
        <w:t>i.e.</w:t>
      </w:r>
      <w:proofErr w:type="gramEnd"/>
      <w:r>
        <w:t xml:space="preserve"> 15 m) for all samples.</w:t>
      </w:r>
    </w:p>
    <w:p w14:paraId="574D9084" w14:textId="77777777" w:rsidR="0061727C" w:rsidRDefault="00B000E1">
      <w:pPr>
        <w:ind w:left="-15" w:right="0"/>
      </w:pPr>
      <w:r>
        <w:t xml:space="preserve">U/Pb ratios were calibrated against the 1065 Ma Geostandards 91500 zircon (Wiedenbeck </w:t>
      </w:r>
      <w:r>
        <w:t>et al</w:t>
      </w:r>
      <w:r>
        <w:t>. 1995). A correction for common lead was made using the model lead compos</w:t>
      </w:r>
      <w:r>
        <w:t xml:space="preserve">ition of Stacey &amp; Kramers (1975) when measured </w:t>
      </w:r>
      <w:r>
        <w:rPr>
          <w:vertAlign w:val="superscript"/>
        </w:rPr>
        <w:t>204</w:t>
      </w:r>
      <w:r>
        <w:t>Pb counts were greater than average background by 3. Common lead probably represents surface contamination during sample preparation (</w:t>
      </w:r>
      <w:proofErr w:type="gramStart"/>
      <w:r>
        <w:t>e.g.</w:t>
      </w:r>
      <w:proofErr w:type="gramEnd"/>
      <w:r>
        <w:t xml:space="preserve"> Zeck &amp; Whitehouse 1999). Even for grains where </w:t>
      </w:r>
      <w:r>
        <w:rPr>
          <w:vertAlign w:val="superscript"/>
        </w:rPr>
        <w:t>204</w:t>
      </w:r>
      <w:r>
        <w:t xml:space="preserve">Pb counts were </w:t>
      </w:r>
      <w:r>
        <w:lastRenderedPageBreak/>
        <w:t>st</w:t>
      </w:r>
      <w:r>
        <w:t xml:space="preserve">atistically significant, relatively low levels of radiogenic lead in young grains make them susceptible to over-correction and large error propagation. Consequently, ‘207-corrected ages’ (derived by projecting a line from the assumed common Pb composition </w:t>
      </w:r>
      <w:r>
        <w:t xml:space="preserve">through the uncorrected </w:t>
      </w:r>
      <w:r>
        <w:rPr>
          <w:vertAlign w:val="superscript"/>
        </w:rPr>
        <w:t>238</w:t>
      </w:r>
      <w:r>
        <w:t>U/</w:t>
      </w:r>
      <w:r>
        <w:rPr>
          <w:vertAlign w:val="superscript"/>
        </w:rPr>
        <w:t>206</w:t>
      </w:r>
      <w:r>
        <w:t xml:space="preserve">Pb and </w:t>
      </w:r>
      <w:r>
        <w:rPr>
          <w:vertAlign w:val="superscript"/>
        </w:rPr>
        <w:t>207</w:t>
      </w:r>
      <w:r>
        <w:t>Pb/</w:t>
      </w:r>
      <w:r>
        <w:rPr>
          <w:vertAlign w:val="superscript"/>
        </w:rPr>
        <w:t>206</w:t>
      </w:r>
      <w:r>
        <w:t xml:space="preserve">Pb ratios onto concordia; Ludwig 2004) are reported for ages </w:t>
      </w:r>
      <w:r>
        <w:t>,</w:t>
      </w:r>
      <w:r>
        <w:t xml:space="preserve">1 Ga; this approach </w:t>
      </w:r>
      <w:r>
        <w:t xml:space="preserve">a priori </w:t>
      </w:r>
      <w:r>
        <w:t>assumes that the analysed grains are concordant, which is not unreasonable for low-U detrital zircon. Such an assumpt</w:t>
      </w:r>
      <w:r>
        <w:t xml:space="preserve">ion is less robust for highly discordant analyses in which Pb loss cannot be discounted; consequently, analyses </w:t>
      </w:r>
      <w:r>
        <w:t>.</w:t>
      </w:r>
      <w:r>
        <w:t xml:space="preserve">10% discordant (2) </w:t>
      </w:r>
      <w:proofErr w:type="gramStart"/>
      <w:r>
        <w:t>on the basis of</w:t>
      </w:r>
      <w:proofErr w:type="gramEnd"/>
      <w:r>
        <w:t xml:space="preserve"> their uncorrected ratios were excluded from further data synthesis. </w:t>
      </w:r>
      <w:r>
        <w:rPr>
          <w:vertAlign w:val="superscript"/>
        </w:rPr>
        <w:t>207</w:t>
      </w:r>
      <w:r>
        <w:t>Pb/</w:t>
      </w:r>
      <w:r>
        <w:rPr>
          <w:vertAlign w:val="superscript"/>
        </w:rPr>
        <w:t xml:space="preserve">206 </w:t>
      </w:r>
      <w:r>
        <w:t>Pb ages are reported for analy</w:t>
      </w:r>
      <w:r>
        <w:t xml:space="preserve">ses </w:t>
      </w:r>
      <w:r>
        <w:t>.</w:t>
      </w:r>
      <w:r>
        <w:t xml:space="preserve">1 Ga. The ages obtained represent combined </w:t>
      </w:r>
      <w:r>
        <w:rPr>
          <w:vertAlign w:val="superscript"/>
        </w:rPr>
        <w:t>207</w:t>
      </w:r>
      <w:r>
        <w:t xml:space="preserve">Pb-corrected and </w:t>
      </w:r>
      <w:r>
        <w:rPr>
          <w:vertAlign w:val="superscript"/>
        </w:rPr>
        <w:t>207</w:t>
      </w:r>
      <w:r>
        <w:t>Pb/</w:t>
      </w:r>
      <w:r>
        <w:rPr>
          <w:vertAlign w:val="superscript"/>
        </w:rPr>
        <w:t>206</w:t>
      </w:r>
      <w:r>
        <w:t>Pb ages and were used to determine the cumulative frequency curves for each sample.</w:t>
      </w:r>
    </w:p>
    <w:p w14:paraId="55AE04D3" w14:textId="77777777" w:rsidR="0061727C" w:rsidRDefault="00B000E1">
      <w:pPr>
        <w:spacing w:after="527"/>
        <w:ind w:left="-15" w:right="0"/>
      </w:pPr>
      <w:r>
        <w:t>Data plotting was performed using Isoplot (Ludwig 2004). Weighted average ages for each peak su</w:t>
      </w:r>
      <w:r>
        <w:t>ggest that the variation in age associated with most cumulative probability peaks is approximately 10 Ma; this was determined by iterative exclusion around the peak age until an acceptable statistical result (</w:t>
      </w:r>
      <w:proofErr w:type="gramStart"/>
      <w:r>
        <w:t xml:space="preserve">MSWD </w:t>
      </w:r>
      <w:r>
        <w:t>,</w:t>
      </w:r>
      <w:proofErr w:type="gramEnd"/>
      <w:r>
        <w:t xml:space="preserve"> </w:t>
      </w:r>
      <w:r>
        <w:t>2) was achieved. Given that fewer than 1</w:t>
      </w:r>
      <w:r>
        <w:t>25 grains per sample were analysed, it is statistically possible that the samples may contain unrecognized age populations (Vermeesch 2004).</w:t>
      </w:r>
    </w:p>
    <w:p w14:paraId="0FFBE993" w14:textId="77777777" w:rsidR="0061727C" w:rsidRDefault="00B000E1">
      <w:pPr>
        <w:spacing w:after="165" w:line="259" w:lineRule="auto"/>
        <w:ind w:left="-5" w:right="0" w:hanging="10"/>
        <w:jc w:val="left"/>
      </w:pPr>
      <w:r>
        <w:rPr>
          <w:sz w:val="20"/>
        </w:rPr>
        <w:t>Analytical results</w:t>
      </w:r>
    </w:p>
    <w:p w14:paraId="4E3C547D" w14:textId="77777777" w:rsidR="0061727C" w:rsidRDefault="00B000E1">
      <w:pPr>
        <w:pStyle w:val="1"/>
        <w:spacing w:after="67"/>
        <w:ind w:left="-5"/>
      </w:pPr>
      <w:r>
        <w:t>Southern Novaya Zemlya</w:t>
      </w:r>
    </w:p>
    <w:p w14:paraId="7B822010" w14:textId="77777777" w:rsidR="0061727C" w:rsidRDefault="00B000E1">
      <w:pPr>
        <w:ind w:left="-15" w:right="0" w:firstLine="0"/>
      </w:pPr>
      <w:proofErr w:type="gramStart"/>
      <w:r>
        <w:t>All of</w:t>
      </w:r>
      <w:proofErr w:type="gramEnd"/>
      <w:r>
        <w:t xml:space="preserve"> the southern Novaya Zemlya samples represent typical detrital populations containing rounded and broken zircon crystals with a wide range of crystal morphology and cathodoluminescence (CL) characteristics. Most samples contain crystals that show res</w:t>
      </w:r>
      <w:r>
        <w:t>orption at crystal edges, such as grain 60 of VP04-019, grain 15 and adjacent crystal to the SW of VP04-020, and grains 5, 46 and 58 in VP04-021 (Fig. 5).</w:t>
      </w:r>
    </w:p>
    <w:p w14:paraId="4A151227" w14:textId="77777777" w:rsidR="0061727C" w:rsidRDefault="00B000E1">
      <w:pPr>
        <w:ind w:left="-15" w:right="0"/>
      </w:pPr>
      <w:r>
        <w:t>Sample VP04-019 is from below the unconformity (Figs 2 and 3a). In this fine-grained greenschist-faci</w:t>
      </w:r>
      <w:r>
        <w:t xml:space="preserve">es greywacke, 53 of 65 analyses were used in the final synthesis. More than 95% of the grains analysed define the four dominant cumulative frequency age peaks of </w:t>
      </w:r>
      <w:r>
        <w:t>c</w:t>
      </w:r>
      <w:r>
        <w:t xml:space="preserve">. 530, 600, 670 and 750 Ma (Fig. 6). The youngest grains of </w:t>
      </w:r>
      <w:r>
        <w:t>c</w:t>
      </w:r>
      <w:r>
        <w:t>. 520 Ma are within 2</w:t>
      </w:r>
      <w:r>
        <w:rPr>
          <w:rFonts w:ascii="Calibri" w:eastAsia="Calibri" w:hAnsi="Calibri" w:cs="Calibri"/>
        </w:rPr>
        <w:t xml:space="preserve"> </w:t>
      </w:r>
      <w:r>
        <w:t>error limits of the youngest age peak of 530 Ma. Only two analyses yield ages older than 750 Ma.</w:t>
      </w:r>
    </w:p>
    <w:p w14:paraId="25664440" w14:textId="77777777" w:rsidR="0061727C" w:rsidRDefault="00B000E1">
      <w:pPr>
        <w:ind w:left="-15" w:right="0"/>
      </w:pPr>
      <w:r>
        <w:t>Sample VP04-020, an oxidized medium-grained sandstone from immediately above the unconformity (Figs 2 and 3a) used 79 of 87 analyses in the final synthesis. Ap</w:t>
      </w:r>
      <w:r>
        <w:t xml:space="preserve">proximately 80% of the accepted analyses define the four main cumulative frequency age peaks of </w:t>
      </w:r>
      <w:r>
        <w:t>c</w:t>
      </w:r>
      <w:r>
        <w:t xml:space="preserve">. 500, 530, 600 and 650 Ma, with a lesser peak at </w:t>
      </w:r>
      <w:r>
        <w:t>c</w:t>
      </w:r>
      <w:r>
        <w:t xml:space="preserve">. 745 Ma (Fig. 6). The maximum age derived from the youngest grains in the sediment is </w:t>
      </w:r>
      <w:r>
        <w:t>c</w:t>
      </w:r>
      <w:r>
        <w:t>. 500 Ma. The remain</w:t>
      </w:r>
      <w:r>
        <w:t xml:space="preserve">ing analyses yield ages of 800–900, </w:t>
      </w:r>
      <w:r>
        <w:t>c</w:t>
      </w:r>
      <w:r>
        <w:t>. 1200 and 1700–1850 Ma.</w:t>
      </w:r>
    </w:p>
    <w:p w14:paraId="5F551C2C" w14:textId="77777777" w:rsidR="0061727C" w:rsidRDefault="00B000E1">
      <w:pPr>
        <w:ind w:left="-15" w:right="0"/>
      </w:pPr>
      <w:r>
        <w:t xml:space="preserve">Sample VP04-021, a fine-grained, carbonate-cemented sandstone with herringbone cross-bedding, lies well above the unconformity (Figs 2 and 3a). The final synthesis used 74 of 77 analyses. About </w:t>
      </w:r>
      <w:r>
        <w:t xml:space="preserve">70% of the accepted analyses define the three major cumulative frequency age peaks of </w:t>
      </w:r>
      <w:r>
        <w:t>c</w:t>
      </w:r>
      <w:r>
        <w:t xml:space="preserve">. 505, 560 and 610 Ma, with lesser peaks at </w:t>
      </w:r>
      <w:r>
        <w:t>c</w:t>
      </w:r>
      <w:r>
        <w:t xml:space="preserve">. 680 and 1440 Ma (Fig. 6). The maximum age derived from the youngest grains in the sediment is </w:t>
      </w:r>
      <w:r>
        <w:t>c</w:t>
      </w:r>
      <w:r>
        <w:t>. 490 Ma. The remaining ana</w:t>
      </w:r>
      <w:r>
        <w:t>lyses yield ages of 760, 960, 1570–1970, 2380 and 2540 Ma.</w:t>
      </w:r>
    </w:p>
    <w:p w14:paraId="5F26A46A" w14:textId="77777777" w:rsidR="0061727C" w:rsidRDefault="00B000E1">
      <w:pPr>
        <w:ind w:left="-15" w:right="0"/>
      </w:pPr>
      <w:r>
        <w:t>The detrital zircon age spectra from southern Novaya Zemlya reveal the following.</w:t>
      </w:r>
    </w:p>
    <w:p w14:paraId="687E6DF1" w14:textId="77777777" w:rsidR="0061727C" w:rsidRDefault="00B000E1">
      <w:pPr>
        <w:numPr>
          <w:ilvl w:val="0"/>
          <w:numId w:val="1"/>
        </w:numPr>
        <w:ind w:right="0"/>
      </w:pPr>
      <w:r>
        <w:t xml:space="preserve">All three samples have a large proportion of zircons within the age range of 750–510 Ma (VP04-019, 100%; VP04-020, </w:t>
      </w:r>
      <w:r>
        <w:t xml:space="preserve">84%; VP04-021, 50%), consistent with derivation from local sources typical of the Timanide orogen (see Gee &amp; Pease 2004; Pease </w:t>
      </w:r>
      <w:r>
        <w:t>et al</w:t>
      </w:r>
      <w:r>
        <w:t>. 2008). Only zircons within this age range are present in the sample from below the unconformity (VP04-019). The pre-unconf</w:t>
      </w:r>
      <w:r>
        <w:t>ormity sample also contains a greater proportion of euhedral zircons compared with the two post-unconformity samples, consistent with the entirely juvenile nature of the zircon population.</w:t>
      </w:r>
    </w:p>
    <w:p w14:paraId="554CA4EB" w14:textId="77777777" w:rsidR="0061727C" w:rsidRDefault="00B000E1">
      <w:pPr>
        <w:numPr>
          <w:ilvl w:val="0"/>
          <w:numId w:val="1"/>
        </w:numPr>
        <w:ind w:right="0"/>
      </w:pPr>
      <w:r>
        <w:t>Samples above the unconformity (VP04-020 and VP04021) contain a sma</w:t>
      </w:r>
      <w:r>
        <w:t xml:space="preserve">ll population of </w:t>
      </w:r>
      <w:r>
        <w:t>.</w:t>
      </w:r>
      <w:r>
        <w:t>1000 Ma zircons, which become more significant with stratigraphic height above the unconformity (VP04-020, 6%; VP04-021, 16%). The age spectra of this older zircon population closely match the expected signal from the Baltic Shield (Cawoo</w:t>
      </w:r>
      <w:r>
        <w:t xml:space="preserve">d </w:t>
      </w:r>
      <w:r>
        <w:t>et al</w:t>
      </w:r>
      <w:r>
        <w:t>. 2007).</w:t>
      </w:r>
    </w:p>
    <w:p w14:paraId="785FBA90" w14:textId="77777777" w:rsidR="0061727C" w:rsidRDefault="00B000E1">
      <w:pPr>
        <w:numPr>
          <w:ilvl w:val="0"/>
          <w:numId w:val="1"/>
        </w:numPr>
        <w:ind w:right="0"/>
      </w:pPr>
      <w:r>
        <w:t>Deformed and weakly metamorphosed strata below the unconformity are mapped as Neoproterozoic (</w:t>
      </w:r>
      <w:proofErr w:type="gramStart"/>
      <w:r>
        <w:t>e.g.</w:t>
      </w:r>
      <w:proofErr w:type="gramEnd"/>
      <w:r>
        <w:t xml:space="preserve"> Korago </w:t>
      </w:r>
      <w:r>
        <w:t>et al</w:t>
      </w:r>
      <w:r>
        <w:t>. 2004), but the detrital zircon ages show that at least some of the succession is Cambrian or younger (</w:t>
      </w:r>
      <w:r>
        <w:t>&lt;</w:t>
      </w:r>
      <w:r>
        <w:t>530 Ma). The existence o</w:t>
      </w:r>
      <w:r>
        <w:t>f exposed Neoproterozoic sediments in southern Novaya Zemlya must now be open to doubt.</w:t>
      </w:r>
    </w:p>
    <w:p w14:paraId="0B85156F" w14:textId="77777777" w:rsidR="0061727C" w:rsidRDefault="00B000E1">
      <w:pPr>
        <w:numPr>
          <w:ilvl w:val="0"/>
          <w:numId w:val="1"/>
        </w:numPr>
        <w:ind w:right="0"/>
      </w:pPr>
      <w:r>
        <w:t>The maximum age of strata overlying the unconformity is late Cambrian–early Ordovician (</w:t>
      </w:r>
      <w:r>
        <w:t>&lt;</w:t>
      </w:r>
      <w:r>
        <w:t xml:space="preserve">490 Ma), in good agreement with palaeontological data that indicate a Tremadoc </w:t>
      </w:r>
      <w:r>
        <w:t>age (Bondarev 1982).</w:t>
      </w:r>
    </w:p>
    <w:p w14:paraId="0B940531" w14:textId="77777777" w:rsidR="0061727C" w:rsidRDefault="00B000E1">
      <w:pPr>
        <w:numPr>
          <w:ilvl w:val="0"/>
          <w:numId w:val="1"/>
        </w:numPr>
        <w:spacing w:after="314"/>
        <w:ind w:right="0"/>
      </w:pPr>
      <w:r>
        <w:t xml:space="preserve">The angular unconformity between early Ordovician and older rocks in southern Novaya Zemlya has previously been attributed to the Timanide orogeny (Korago </w:t>
      </w:r>
      <w:r>
        <w:t>et al</w:t>
      </w:r>
      <w:r>
        <w:t xml:space="preserve">. 1992, 2004), which peaked during Ediacaran (mid–late Vendian) time (610– </w:t>
      </w:r>
      <w:r>
        <w:t>530 Ma) (Gee &amp; Pease 2004, and references therein). However, the detrital zircon data indicate that the unconformity is of midto late Cambrian age. The potential cause of this unconformity is discussed below.</w:t>
      </w:r>
    </w:p>
    <w:p w14:paraId="4897CF50" w14:textId="77777777" w:rsidR="0061727C" w:rsidRDefault="00B000E1">
      <w:pPr>
        <w:pStyle w:val="1"/>
        <w:spacing w:after="67"/>
        <w:ind w:left="-5"/>
      </w:pPr>
      <w:r>
        <w:t>Northern Taimyr</w:t>
      </w:r>
    </w:p>
    <w:p w14:paraId="02F917D8" w14:textId="77777777" w:rsidR="0061727C" w:rsidRDefault="00B000E1">
      <w:pPr>
        <w:ind w:left="-15" w:right="0" w:firstLine="0"/>
      </w:pPr>
      <w:r>
        <w:t>Sample VP98-055, the easternmos</w:t>
      </w:r>
      <w:r>
        <w:t>t greenschist-facies sandstone sample (Fig. 3b and location 1 in Fig. 4), is medium to coarse grained. Its zircons are predominantly euhedral to subhedral (Fig. 5b), indicating a proximal source. The zircons generally lack resorption features (Fig. 5b). Th</w:t>
      </w:r>
      <w:r>
        <w:t xml:space="preserve">e final synthesis used 62 of 67 analyses. Dominant cumulative frequency age peaks occur between </w:t>
      </w:r>
      <w:r>
        <w:t>c</w:t>
      </w:r>
      <w:r>
        <w:t xml:space="preserve">. 550 and 565 Ma, with more than 50% of the grains analysed contributing to these populations (Fig. 7). The youngest grains analysed provide a maximum age of </w:t>
      </w:r>
      <w:r>
        <w:t>c</w:t>
      </w:r>
      <w:r>
        <w:t xml:space="preserve">. 500 Ma for the sample. Less dominant peaks occur at </w:t>
      </w:r>
      <w:r>
        <w:t>c</w:t>
      </w:r>
      <w:r>
        <w:t xml:space="preserve">. 625–735 Ma and </w:t>
      </w:r>
      <w:r>
        <w:t>c</w:t>
      </w:r>
      <w:r>
        <w:t>. 1.2 Ga, the latter defined by a single grain.</w:t>
      </w:r>
    </w:p>
    <w:p w14:paraId="29145C89" w14:textId="77777777" w:rsidR="0061727C" w:rsidRDefault="00B000E1">
      <w:pPr>
        <w:ind w:left="-15" w:right="0"/>
      </w:pPr>
      <w:r>
        <w:t>Sample VP98-078, also a medium- to coarse-grained greenschist-facies sandstone (location 2 in Fig. 4), contains zircons with very simil</w:t>
      </w:r>
      <w:r>
        <w:t xml:space="preserve">ar morphology and CL characteristics to VP98055 and a notable absence of irregular (resorbed) crystal edges (Fig. 5b). The final synthesis used 66 of 69 analyses. The most dominant cumulative frequency age peak occurs at </w:t>
      </w:r>
      <w:r>
        <w:t>c</w:t>
      </w:r>
      <w:r>
        <w:t>. 550 Ma, with about 80% of the to</w:t>
      </w:r>
      <w:r>
        <w:t xml:space="preserve">tal number of acceptable analyses defining this age peak (Fig. 7). A second peak occurs at 665 Ma and a single grain of 1620 Ma is also present. Multiple grains at </w:t>
      </w:r>
      <w:r>
        <w:t>c</w:t>
      </w:r>
      <w:r>
        <w:t>. 530 Ma confidently define a robust maximum age for this sample; it should be noted that a</w:t>
      </w:r>
      <w:r>
        <w:t xml:space="preserve"> single grain as young as </w:t>
      </w:r>
      <w:r>
        <w:t>c</w:t>
      </w:r>
      <w:r>
        <w:t>. 500 Ma may be significant.</w:t>
      </w:r>
    </w:p>
    <w:p w14:paraId="0D2ECDEA" w14:textId="77777777" w:rsidR="0061727C" w:rsidRDefault="0061727C">
      <w:pPr>
        <w:sectPr w:rsidR="0061727C">
          <w:type w:val="continuous"/>
          <w:pgSz w:w="11900" w:h="15640"/>
          <w:pgMar w:top="919" w:right="900" w:bottom="818" w:left="907" w:header="720" w:footer="720" w:gutter="0"/>
          <w:cols w:num="2" w:space="720" w:equalWidth="0">
            <w:col w:w="5183" w:space="103"/>
            <w:col w:w="4807"/>
          </w:cols>
        </w:sectPr>
      </w:pPr>
    </w:p>
    <w:p w14:paraId="579E41D4" w14:textId="77777777" w:rsidR="0061727C" w:rsidRDefault="00B000E1">
      <w:pPr>
        <w:spacing w:after="6551" w:line="259" w:lineRule="auto"/>
        <w:ind w:left="-1440" w:right="431"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14:anchorId="09406377" wp14:editId="06348AE0">
                <wp:simplePos x="0" y="0"/>
                <wp:positionH relativeFrom="page">
                  <wp:posOffset>6751031</wp:posOffset>
                </wp:positionH>
                <wp:positionV relativeFrom="page">
                  <wp:posOffset>866557</wp:posOffset>
                </wp:positionV>
                <wp:extent cx="218012" cy="8208764"/>
                <wp:effectExtent l="0" t="0" r="0" b="0"/>
                <wp:wrapTopAndBottom/>
                <wp:docPr id="18995" name="Group 18995"/>
                <wp:cNvGraphicFramePr/>
                <a:graphic xmlns:a="http://schemas.openxmlformats.org/drawingml/2006/main">
                  <a:graphicData uri="http://schemas.microsoft.com/office/word/2010/wordprocessingGroup">
                    <wpg:wgp>
                      <wpg:cNvGrpSpPr/>
                      <wpg:grpSpPr>
                        <a:xfrm>
                          <a:off x="0" y="0"/>
                          <a:ext cx="218012" cy="8208764"/>
                          <a:chOff x="0" y="0"/>
                          <a:chExt cx="218012" cy="8208764"/>
                        </a:xfrm>
                      </wpg:grpSpPr>
                      <wps:wsp>
                        <wps:cNvPr id="958" name="Rectangle 958"/>
                        <wps:cNvSpPr/>
                        <wps:spPr>
                          <a:xfrm rot="-5399999">
                            <a:off x="-118439" y="7969018"/>
                            <a:ext cx="361428" cy="118067"/>
                          </a:xfrm>
                          <a:prstGeom prst="rect">
                            <a:avLst/>
                          </a:prstGeom>
                          <a:ln>
                            <a:noFill/>
                          </a:ln>
                        </wps:spPr>
                        <wps:txbx>
                          <w:txbxContent>
                            <w:p w14:paraId="783D37B0" w14:textId="77777777" w:rsidR="0061727C" w:rsidRDefault="00B000E1">
                              <w:pPr>
                                <w:spacing w:after="160" w:line="259" w:lineRule="auto"/>
                                <w:ind w:left="0" w:right="0" w:firstLine="0"/>
                                <w:jc w:val="left"/>
                              </w:pPr>
                              <w:r>
                                <w:rPr>
                                  <w:sz w:val="16"/>
                                </w:rPr>
                                <w:t>Fig.5.</w:t>
                              </w:r>
                            </w:p>
                          </w:txbxContent>
                        </wps:txbx>
                        <wps:bodyPr horzOverflow="overflow" vert="horz" lIns="0" tIns="0" rIns="0" bIns="0" rtlCol="0">
                          <a:noAutofit/>
                        </wps:bodyPr>
                      </wps:wsp>
                      <wps:wsp>
                        <wps:cNvPr id="959" name="Rectangle 959"/>
                        <wps:cNvSpPr/>
                        <wps:spPr>
                          <a:xfrm rot="-5399999">
                            <a:off x="38772" y="7823480"/>
                            <a:ext cx="44831" cy="122374"/>
                          </a:xfrm>
                          <a:prstGeom prst="rect">
                            <a:avLst/>
                          </a:prstGeom>
                          <a:ln>
                            <a:noFill/>
                          </a:ln>
                        </wps:spPr>
                        <wps:txbx>
                          <w:txbxContent>
                            <w:p w14:paraId="6F9F5009" w14:textId="77777777" w:rsidR="0061727C" w:rsidRDefault="00B000E1">
                              <w:pPr>
                                <w:spacing w:after="160" w:line="259" w:lineRule="auto"/>
                                <w:ind w:left="0" w:right="0" w:firstLine="0"/>
                                <w:jc w:val="left"/>
                              </w:pPr>
                              <w:r>
                                <w:rPr>
                                  <w:sz w:val="16"/>
                                </w:rPr>
                                <w:t>(</w:t>
                              </w:r>
                            </w:p>
                          </w:txbxContent>
                        </wps:txbx>
                        <wps:bodyPr horzOverflow="overflow" vert="horz" lIns="0" tIns="0" rIns="0" bIns="0" rtlCol="0">
                          <a:noAutofit/>
                        </wps:bodyPr>
                      </wps:wsp>
                      <wps:wsp>
                        <wps:cNvPr id="960" name="Rectangle 960"/>
                        <wps:cNvSpPr/>
                        <wps:spPr>
                          <a:xfrm rot="-5399999">
                            <a:off x="28616" y="7780556"/>
                            <a:ext cx="67312" cy="118066"/>
                          </a:xfrm>
                          <a:prstGeom prst="rect">
                            <a:avLst/>
                          </a:prstGeom>
                          <a:ln>
                            <a:noFill/>
                          </a:ln>
                        </wps:spPr>
                        <wps:txbx>
                          <w:txbxContent>
                            <w:p w14:paraId="035AB127" w14:textId="77777777" w:rsidR="0061727C" w:rsidRDefault="00B000E1">
                              <w:pPr>
                                <w:spacing w:after="160" w:line="259" w:lineRule="auto"/>
                                <w:ind w:left="0" w:right="0" w:firstLine="0"/>
                                <w:jc w:val="left"/>
                              </w:pPr>
                              <w:r>
                                <w:rPr>
                                  <w:sz w:val="16"/>
                                </w:rPr>
                                <w:t>a</w:t>
                              </w:r>
                            </w:p>
                          </w:txbxContent>
                        </wps:txbx>
                        <wps:bodyPr horzOverflow="overflow" vert="horz" lIns="0" tIns="0" rIns="0" bIns="0" rtlCol="0">
                          <a:noAutofit/>
                        </wps:bodyPr>
                      </wps:wsp>
                      <wps:wsp>
                        <wps:cNvPr id="18968" name="Rectangle 18968"/>
                        <wps:cNvSpPr/>
                        <wps:spPr>
                          <a:xfrm rot="-5399999">
                            <a:off x="-1022518" y="6677954"/>
                            <a:ext cx="8599474" cy="122374"/>
                          </a:xfrm>
                          <a:prstGeom prst="rect">
                            <a:avLst/>
                          </a:prstGeom>
                          <a:ln>
                            <a:noFill/>
                          </a:ln>
                        </wps:spPr>
                        <wps:txbx>
                          <w:txbxContent>
                            <w:p w14:paraId="577A22B5" w14:textId="77777777" w:rsidR="0061727C" w:rsidRDefault="00B000E1">
                              <w:pPr>
                                <w:spacing w:after="160" w:line="259" w:lineRule="auto"/>
                                <w:ind w:left="0" w:right="0" w:firstLine="0"/>
                                <w:jc w:val="left"/>
                              </w:pPr>
                              <w:r>
                                <w:rPr>
                                  <w:sz w:val="16"/>
                                </w:rPr>
                                <w:t>)</w:t>
                              </w:r>
                            </w:p>
                          </w:txbxContent>
                        </wps:txbx>
                        <wps:bodyPr horzOverflow="overflow" vert="horz" lIns="0" tIns="0" rIns="0" bIns="0" rtlCol="0">
                          <a:noAutofit/>
                        </wps:bodyPr>
                      </wps:wsp>
                      <wps:wsp>
                        <wps:cNvPr id="18973" name="Rectangle 18973"/>
                        <wps:cNvSpPr/>
                        <wps:spPr>
                          <a:xfrm rot="-5399999">
                            <a:off x="-4127209" y="3573261"/>
                            <a:ext cx="8599474" cy="122374"/>
                          </a:xfrm>
                          <a:prstGeom prst="rect">
                            <a:avLst/>
                          </a:prstGeom>
                          <a:ln>
                            <a:noFill/>
                          </a:ln>
                        </wps:spPr>
                        <wps:txbx>
                          <w:txbxContent>
                            <w:p w14:paraId="20F9903F" w14:textId="77777777" w:rsidR="0061727C" w:rsidRDefault="00B000E1">
                              <w:pPr>
                                <w:spacing w:after="160" w:line="259" w:lineRule="auto"/>
                                <w:ind w:left="0" w:right="0" w:firstLine="0"/>
                                <w:jc w:val="left"/>
                              </w:pPr>
                              <w:r>
                                <w:rPr>
                                  <w:sz w:val="16"/>
                                </w:rPr>
                                <w:t>RepresentativecathodoluminescenceimagesofzirconsfromNovayaZemla(VP04-019,VP04-020,VP04-021)andNorthernTaimyr(VP98-009,VP</w:t>
                              </w:r>
                            </w:p>
                          </w:txbxContent>
                        </wps:txbx>
                        <wps:bodyPr horzOverflow="overflow" vert="horz" lIns="0" tIns="0" rIns="0" bIns="0" rtlCol="0">
                          <a:noAutofit/>
                        </wps:bodyPr>
                      </wps:wsp>
                      <wps:wsp>
                        <wps:cNvPr id="18970" name="Rectangle 18970"/>
                        <wps:cNvSpPr/>
                        <wps:spPr>
                          <a:xfrm rot="-5399999">
                            <a:off x="-7328052" y="372419"/>
                            <a:ext cx="8599473" cy="122374"/>
                          </a:xfrm>
                          <a:prstGeom prst="rect">
                            <a:avLst/>
                          </a:prstGeom>
                          <a:ln>
                            <a:noFill/>
                          </a:ln>
                        </wps:spPr>
                        <wps:txbx>
                          <w:txbxContent>
                            <w:p w14:paraId="4EB1861A" w14:textId="77777777" w:rsidR="0061727C" w:rsidRDefault="00B000E1">
                              <w:pPr>
                                <w:spacing w:after="160" w:line="259" w:lineRule="auto"/>
                                <w:ind w:left="0" w:right="0" w:firstLine="0"/>
                                <w:jc w:val="left"/>
                              </w:pPr>
                              <w:r>
                                <w:rPr>
                                  <w:sz w:val="16"/>
                                </w:rPr>
                                <w:t>98-055</w:t>
                              </w:r>
                            </w:p>
                          </w:txbxContent>
                        </wps:txbx>
                        <wps:bodyPr horzOverflow="overflow" vert="horz" lIns="0" tIns="0" rIns="0" bIns="0" rtlCol="0">
                          <a:noAutofit/>
                        </wps:bodyPr>
                      </wps:wsp>
                      <wps:wsp>
                        <wps:cNvPr id="962" name="Rectangle 962"/>
                        <wps:cNvSpPr/>
                        <wps:spPr>
                          <a:xfrm rot="-5399999">
                            <a:off x="-841410" y="393505"/>
                            <a:ext cx="1805197" cy="122374"/>
                          </a:xfrm>
                          <a:prstGeom prst="rect">
                            <a:avLst/>
                          </a:prstGeom>
                          <a:ln>
                            <a:noFill/>
                          </a:ln>
                        </wps:spPr>
                        <wps:txbx>
                          <w:txbxContent>
                            <w:p w14:paraId="42DC9867" w14:textId="77777777" w:rsidR="0061727C" w:rsidRDefault="00B000E1">
                              <w:pPr>
                                <w:spacing w:after="160" w:line="259" w:lineRule="auto"/>
                                <w:ind w:left="0" w:right="0" w:firstLine="0"/>
                                <w:jc w:val="left"/>
                              </w:pPr>
                              <w:r>
                                <w:rPr>
                                  <w:sz w:val="16"/>
                                </w:rPr>
                                <w:t>,VP98-078).Analyticalnumbers</w:t>
                              </w:r>
                            </w:p>
                          </w:txbxContent>
                        </wps:txbx>
                        <wps:bodyPr horzOverflow="overflow" vert="horz" lIns="0" tIns="0" rIns="0" bIns="0" rtlCol="0">
                          <a:noAutofit/>
                        </wps:bodyPr>
                      </wps:wsp>
                      <wps:wsp>
                        <wps:cNvPr id="963" name="Rectangle 963"/>
                        <wps:cNvSpPr/>
                        <wps:spPr>
                          <a:xfrm rot="-5399999">
                            <a:off x="-423986" y="7536401"/>
                            <a:ext cx="1222351" cy="122375"/>
                          </a:xfrm>
                          <a:prstGeom prst="rect">
                            <a:avLst/>
                          </a:prstGeom>
                          <a:ln>
                            <a:noFill/>
                          </a:ln>
                        </wps:spPr>
                        <wps:txbx>
                          <w:txbxContent>
                            <w:p w14:paraId="6B25AC91" w14:textId="77777777" w:rsidR="0061727C" w:rsidRDefault="00B000E1">
                              <w:pPr>
                                <w:spacing w:after="160" w:line="259" w:lineRule="auto"/>
                                <w:ind w:left="0" w:right="0" w:firstLine="0"/>
                                <w:jc w:val="left"/>
                              </w:pPr>
                              <w:r>
                                <w:rPr>
                                  <w:sz w:val="16"/>
                                </w:rPr>
                                <w:t>correlatetodatatable.</w:t>
                              </w:r>
                            </w:p>
                          </w:txbxContent>
                        </wps:txbx>
                        <wps:bodyPr horzOverflow="overflow" vert="horz" lIns="0" tIns="0" rIns="0" bIns="0" rtlCol="0">
                          <a:noAutofit/>
                        </wps:bodyPr>
                      </wps:wsp>
                    </wpg:wgp>
                  </a:graphicData>
                </a:graphic>
              </wp:anchor>
            </w:drawing>
          </mc:Choice>
          <mc:Fallback xmlns:a="http://schemas.openxmlformats.org/drawingml/2006/main">
            <w:pict>
              <v:group id="Group 18995" style="width:17.1663pt;height:646.359pt;position:absolute;mso-position-horizontal-relative:page;mso-position-horizontal:absolute;margin-left:531.577pt;mso-position-vertical-relative:page;margin-top:68.2328pt;" coordsize="2180,82087">
                <v:rect id="Rectangle 958" style="position:absolute;width:3614;height:1180;left:-1184;top:79690;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sz w:val="16"/>
                          </w:rPr>
                          <w:t xml:space="preserve">Fig.5.</w:t>
                        </w:r>
                      </w:p>
                    </w:txbxContent>
                  </v:textbox>
                </v:rect>
                <v:rect id="Rectangle 959" style="position:absolute;width:448;height:1223;left:387;top:78234;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960" style="position:absolute;width:673;height:1180;left:286;top:77805;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sz w:val="16"/>
                          </w:rPr>
                          <w:t xml:space="preserve">a</w:t>
                        </w:r>
                      </w:p>
                    </w:txbxContent>
                  </v:textbox>
                </v:rect>
                <v:rect id="Rectangle 18968" style="position:absolute;width:85994;height:1223;left:-10225;top:66779;rotation:270;" filled="f" stroked="f">
                  <v:textbox inset="0,0,0,0" style="layout-flow:vertical;mso-layout-flow-alt:bottom-to-top">
                    <w:txbxContent>
                      <w:p>
                        <w:pPr>
                          <w:spacing w:before="0" w:after="160" w:line="259" w:lineRule="auto"/>
                          <w:ind w:left="0" w:right="0" w:firstLine="0"/>
                          <w:jc w:val="left"/>
                        </w:pPr>
                        <w:r>
                          <w:rPr>
                            <w:sz w:val="16"/>
                          </w:rPr>
                          <w:t xml:space="preserve">)</w:t>
                        </w:r>
                      </w:p>
                    </w:txbxContent>
                  </v:textbox>
                </v:rect>
                <v:rect id="Rectangle 18973" style="position:absolute;width:85994;height:1223;left:-41272;top:35732;rotation:270;" filled="f" stroked="f">
                  <v:textbox inset="0,0,0,0" style="layout-flow:vertical;mso-layout-flow-alt:bottom-to-top">
                    <w:txbxContent>
                      <w:p>
                        <w:pPr>
                          <w:spacing w:before="0" w:after="160" w:line="259" w:lineRule="auto"/>
                          <w:ind w:left="0" w:right="0" w:firstLine="0"/>
                          <w:jc w:val="left"/>
                        </w:pPr>
                        <w:r>
                          <w:rPr>
                            <w:sz w:val="16"/>
                          </w:rPr>
                          <w:t xml:space="preserve">RepresentativecathodoluminescenceimagesofzirconsfromNovayaZemla(VP04-019,VP04-020,VP04-021)andNorthernTaimyr(VP98-009,VP</w:t>
                        </w:r>
                      </w:p>
                    </w:txbxContent>
                  </v:textbox>
                </v:rect>
                <v:rect id="Rectangle 18970" style="position:absolute;width:85994;height:1223;left:-73280;top:3724;rotation:270;" filled="f" stroked="f">
                  <v:textbox inset="0,0,0,0" style="layout-flow:vertical;mso-layout-flow-alt:bottom-to-top">
                    <w:txbxContent>
                      <w:p>
                        <w:pPr>
                          <w:spacing w:before="0" w:after="160" w:line="259" w:lineRule="auto"/>
                          <w:ind w:left="0" w:right="0" w:firstLine="0"/>
                          <w:jc w:val="left"/>
                        </w:pPr>
                        <w:r>
                          <w:rPr>
                            <w:sz w:val="16"/>
                          </w:rPr>
                          <w:t xml:space="preserve">98-055</w:t>
                        </w:r>
                      </w:p>
                    </w:txbxContent>
                  </v:textbox>
                </v:rect>
                <v:rect id="Rectangle 962" style="position:absolute;width:18051;height:1223;left:-8414;top:3935;rotation:270;" filled="f" stroked="f">
                  <v:textbox inset="0,0,0,0" style="layout-flow:vertical;mso-layout-flow-alt:bottom-to-top">
                    <w:txbxContent>
                      <w:p>
                        <w:pPr>
                          <w:spacing w:before="0" w:after="160" w:line="259" w:lineRule="auto"/>
                          <w:ind w:left="0" w:right="0" w:firstLine="0"/>
                          <w:jc w:val="left"/>
                        </w:pPr>
                        <w:r>
                          <w:rPr>
                            <w:sz w:val="16"/>
                          </w:rPr>
                          <w:t xml:space="preserve">,VP98-078).Analyticalnumbers</w:t>
                        </w:r>
                      </w:p>
                    </w:txbxContent>
                  </v:textbox>
                </v:rect>
                <v:rect id="Rectangle 963" style="position:absolute;width:12223;height:1223;left:-4239;top:75364;rotation:270;" filled="f" stroked="f">
                  <v:textbox inset="0,0,0,0" style="layout-flow:vertical;mso-layout-flow-alt:bottom-to-top">
                    <w:txbxContent>
                      <w:p>
                        <w:pPr>
                          <w:spacing w:before="0" w:after="160" w:line="259" w:lineRule="auto"/>
                          <w:ind w:left="0" w:right="0" w:firstLine="0"/>
                          <w:jc w:val="left"/>
                        </w:pPr>
                        <w:r>
                          <w:rPr>
                            <w:sz w:val="16"/>
                          </w:rPr>
                          <w:t xml:space="preserve">correlatetodatatable.</w:t>
                        </w:r>
                      </w:p>
                    </w:txbxContent>
                  </v:textbox>
                </v:rect>
                <w10:wrap type="topAndBottom"/>
              </v:group>
            </w:pict>
          </mc:Fallback>
        </mc:AlternateContent>
      </w:r>
      <w:r>
        <w:rPr>
          <w:noProof/>
        </w:rPr>
        <w:drawing>
          <wp:anchor distT="0" distB="0" distL="114300" distR="114300" simplePos="0" relativeHeight="251661312" behindDoc="0" locked="0" layoutInCell="1" allowOverlap="0" wp14:anchorId="28C06128" wp14:editId="775C14B1">
            <wp:simplePos x="0" y="0"/>
            <wp:positionH relativeFrom="column">
              <wp:posOffset>-350073</wp:posOffset>
            </wp:positionH>
            <wp:positionV relativeFrom="paragraph">
              <wp:posOffset>0</wp:posOffset>
            </wp:positionV>
            <wp:extent cx="5806440" cy="4114801"/>
            <wp:effectExtent l="0" t="0" r="0" b="0"/>
            <wp:wrapSquare wrapText="bothSides"/>
            <wp:docPr id="23421" name="Picture 23421"/>
            <wp:cNvGraphicFramePr/>
            <a:graphic xmlns:a="http://schemas.openxmlformats.org/drawingml/2006/main">
              <a:graphicData uri="http://schemas.openxmlformats.org/drawingml/2006/picture">
                <pic:pic xmlns:pic="http://schemas.openxmlformats.org/drawingml/2006/picture">
                  <pic:nvPicPr>
                    <pic:cNvPr id="23421" name="Picture 23421"/>
                    <pic:cNvPicPr/>
                  </pic:nvPicPr>
                  <pic:blipFill>
                    <a:blip r:embed="rId18"/>
                    <a:stretch>
                      <a:fillRect/>
                    </a:stretch>
                  </pic:blipFill>
                  <pic:spPr>
                    <a:xfrm>
                      <a:off x="0" y="0"/>
                      <a:ext cx="5806440" cy="4114801"/>
                    </a:xfrm>
                    <a:prstGeom prst="rect">
                      <a:avLst/>
                    </a:prstGeom>
                  </pic:spPr>
                </pic:pic>
              </a:graphicData>
            </a:graphic>
          </wp:anchor>
        </w:drawing>
      </w:r>
    </w:p>
    <w:p w14:paraId="6D504837" w14:textId="77777777" w:rsidR="0061727C" w:rsidRDefault="00B000E1">
      <w:pPr>
        <w:spacing w:after="0" w:line="259" w:lineRule="auto"/>
        <w:ind w:left="-551" w:right="0" w:firstLine="0"/>
        <w:jc w:val="left"/>
      </w:pPr>
      <w:r>
        <w:rPr>
          <w:noProof/>
        </w:rPr>
        <w:lastRenderedPageBreak/>
        <w:drawing>
          <wp:inline distT="0" distB="0" distL="0" distR="0" wp14:anchorId="2292D05A" wp14:editId="754FBE85">
            <wp:extent cx="3992102" cy="5804137"/>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9"/>
                    <a:stretch>
                      <a:fillRect/>
                    </a:stretch>
                  </pic:blipFill>
                  <pic:spPr>
                    <a:xfrm rot="-5399999" flipV="1">
                      <a:off x="0" y="0"/>
                      <a:ext cx="3992102" cy="5804137"/>
                    </a:xfrm>
                    <a:prstGeom prst="rect">
                      <a:avLst/>
                    </a:prstGeom>
                  </pic:spPr>
                </pic:pic>
              </a:graphicData>
            </a:graphic>
          </wp:inline>
        </w:drawing>
      </w:r>
    </w:p>
    <w:p w14:paraId="3BEF5CE4" w14:textId="77777777" w:rsidR="0061727C" w:rsidRDefault="0061727C">
      <w:pPr>
        <w:sectPr w:rsidR="0061727C">
          <w:type w:val="continuous"/>
          <w:pgSz w:w="11900" w:h="15640"/>
          <w:pgMar w:top="1440" w:right="1440" w:bottom="1383" w:left="1440" w:header="720" w:footer="720" w:gutter="0"/>
          <w:cols w:space="720"/>
        </w:sectPr>
      </w:pPr>
    </w:p>
    <w:p w14:paraId="68CB7ADB" w14:textId="77777777" w:rsidR="0061727C" w:rsidRDefault="00B000E1">
      <w:pPr>
        <w:spacing w:after="249" w:line="259" w:lineRule="auto"/>
        <w:ind w:left="56" w:right="0" w:firstLine="0"/>
        <w:jc w:val="left"/>
      </w:pPr>
      <w:r>
        <w:rPr>
          <w:noProof/>
        </w:rPr>
        <w:lastRenderedPageBreak/>
        <w:drawing>
          <wp:inline distT="0" distB="0" distL="0" distR="0" wp14:anchorId="0F4CEC81" wp14:editId="1519D1D4">
            <wp:extent cx="3029368" cy="5081039"/>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0"/>
                    <a:stretch>
                      <a:fillRect/>
                    </a:stretch>
                  </pic:blipFill>
                  <pic:spPr>
                    <a:xfrm>
                      <a:off x="0" y="0"/>
                      <a:ext cx="3029368" cy="5081039"/>
                    </a:xfrm>
                    <a:prstGeom prst="rect">
                      <a:avLst/>
                    </a:prstGeom>
                  </pic:spPr>
                </pic:pic>
              </a:graphicData>
            </a:graphic>
          </wp:inline>
        </w:drawing>
      </w:r>
    </w:p>
    <w:p w14:paraId="61351034" w14:textId="77777777" w:rsidR="0061727C" w:rsidRDefault="00B000E1">
      <w:pPr>
        <w:spacing w:after="671" w:line="265" w:lineRule="auto"/>
        <w:ind w:left="-5" w:right="5" w:hanging="10"/>
        <w:jc w:val="left"/>
      </w:pPr>
      <w:r>
        <w:rPr>
          <w:sz w:val="16"/>
        </w:rPr>
        <w:t xml:space="preserve">Fig. 6. </w:t>
      </w:r>
      <w:r>
        <w:rPr>
          <w:sz w:val="16"/>
        </w:rPr>
        <w:t>Cumulative frequency diagrams (with histograms) of U–Pb detrital zircon ages from Novaya Zemlya. It should be noted that the youngest dominant peak in each sample is used to determine the maximum age.</w:t>
      </w:r>
    </w:p>
    <w:p w14:paraId="4BBB8344" w14:textId="77777777" w:rsidR="0061727C" w:rsidRDefault="00B000E1">
      <w:pPr>
        <w:ind w:left="-15" w:right="0"/>
      </w:pPr>
      <w:r>
        <w:t xml:space="preserve">Sample VP98-009, the westernmost sample (location 3 in </w:t>
      </w:r>
      <w:r>
        <w:t>Fig. 4), is finer grained than the other Taimyr samples. Its zircons vary from euhedral to subhedral and preserve a variety of CL textures including a higher proportion of CL dark crystals (</w:t>
      </w:r>
      <w:proofErr w:type="gramStart"/>
      <w:r>
        <w:t>e.g.</w:t>
      </w:r>
      <w:proofErr w:type="gramEnd"/>
      <w:r>
        <w:t xml:space="preserve"> grains 22, 28, 55, Fig. 5b), apparently reflecting a greater </w:t>
      </w:r>
      <w:r>
        <w:t xml:space="preserve">number of highly radioactive grains (2000–4000 ppm U). The final synthesis used 65 of 66 analyses. The dominant cumulative frequency peak occurs at </w:t>
      </w:r>
      <w:r>
        <w:t>c</w:t>
      </w:r>
      <w:r>
        <w:t xml:space="preserve">. 516 Ma with an inflection at </w:t>
      </w:r>
      <w:r>
        <w:t>c</w:t>
      </w:r>
      <w:r>
        <w:t>. 560 Ma; more than 50% of the grains analysed contribute to this peak (Fig</w:t>
      </w:r>
      <w:r>
        <w:t>. 7). The three youngest grains provide a mean age of 450 Ma. Less dominant peaks with ages of 580, 655, 690 and 750 Ma also occur. No older grains are present.</w:t>
      </w:r>
    </w:p>
    <w:p w14:paraId="73A7A283" w14:textId="77777777" w:rsidR="0061727C" w:rsidRDefault="00B000E1">
      <w:pPr>
        <w:ind w:left="-15" w:right="0"/>
      </w:pPr>
      <w:r>
        <w:t>The detrital zircon age spectra from northern Taimyr reveal the following.</w:t>
      </w:r>
    </w:p>
    <w:p w14:paraId="0112817E" w14:textId="77777777" w:rsidR="0061727C" w:rsidRDefault="00B000E1">
      <w:pPr>
        <w:numPr>
          <w:ilvl w:val="0"/>
          <w:numId w:val="2"/>
        </w:numPr>
        <w:ind w:right="0"/>
      </w:pPr>
      <w:r>
        <w:t>The westernmost samp</w:t>
      </w:r>
      <w:r>
        <w:t xml:space="preserve">le (VP98-009) is not stratigraphically equivalent to the other two samples. This is consistent with its </w:t>
      </w:r>
      <w:r>
        <w:t xml:space="preserve">younger maximum age of </w:t>
      </w:r>
      <w:r>
        <w:t>c</w:t>
      </w:r>
      <w:r>
        <w:t>. 450 Ma and the presence of a notably distinct, U-rich, zircon population (</w:t>
      </w:r>
      <w:proofErr w:type="gramStart"/>
      <w:r>
        <w:t>i.e.</w:t>
      </w:r>
      <w:proofErr w:type="gramEnd"/>
      <w:r>
        <w:t xml:space="preserve"> a different</w:t>
      </w:r>
    </w:p>
    <w:p w14:paraId="3DFE62AA" w14:textId="77777777" w:rsidR="0061727C" w:rsidRDefault="00B000E1">
      <w:pPr>
        <w:spacing w:after="249" w:line="259" w:lineRule="auto"/>
        <w:ind w:left="6" w:right="0" w:firstLine="0"/>
        <w:jc w:val="left"/>
      </w:pPr>
      <w:r>
        <w:rPr>
          <w:noProof/>
        </w:rPr>
        <w:drawing>
          <wp:inline distT="0" distB="0" distL="0" distR="0" wp14:anchorId="1A937800" wp14:editId="266F6481">
            <wp:extent cx="3029368" cy="5993999"/>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21"/>
                    <a:stretch>
                      <a:fillRect/>
                    </a:stretch>
                  </pic:blipFill>
                  <pic:spPr>
                    <a:xfrm>
                      <a:off x="0" y="0"/>
                      <a:ext cx="3029368" cy="5993999"/>
                    </a:xfrm>
                    <a:prstGeom prst="rect">
                      <a:avLst/>
                    </a:prstGeom>
                  </pic:spPr>
                </pic:pic>
              </a:graphicData>
            </a:graphic>
          </wp:inline>
        </w:drawing>
      </w:r>
    </w:p>
    <w:p w14:paraId="631BEDD2" w14:textId="77777777" w:rsidR="0061727C" w:rsidRDefault="00B000E1">
      <w:pPr>
        <w:spacing w:after="488" w:line="265" w:lineRule="auto"/>
        <w:ind w:left="-5" w:right="5" w:hanging="10"/>
        <w:jc w:val="left"/>
      </w:pPr>
      <w:r>
        <w:rPr>
          <w:sz w:val="16"/>
        </w:rPr>
        <w:t xml:space="preserve">Fig. 7. </w:t>
      </w:r>
      <w:r>
        <w:rPr>
          <w:sz w:val="16"/>
        </w:rPr>
        <w:t>Cumulative frequency diag</w:t>
      </w:r>
      <w:r>
        <w:rPr>
          <w:sz w:val="16"/>
        </w:rPr>
        <w:t>rams (with histograms) of U–Pb detrital zircon ages from the northern domain of the Taimyr Peninsula. It should be noted that the youngest dominant peak in each sample is used to determine the maximum age.</w:t>
      </w:r>
    </w:p>
    <w:p w14:paraId="417F8355" w14:textId="77777777" w:rsidR="0061727C" w:rsidRDefault="00B000E1">
      <w:pPr>
        <w:ind w:left="-15" w:right="0" w:firstLine="0"/>
      </w:pPr>
      <w:r>
        <w:t>provenance). Although all samples were collected a</w:t>
      </w:r>
      <w:r>
        <w:t>s close to the base of the exposed stratigraphic section at each locality as possible, at 450–500 km from the other sample locations there is no reason to assume that the same stratigraphic level is exposed along the entire length of the thrust.</w:t>
      </w:r>
    </w:p>
    <w:p w14:paraId="53DE18E3" w14:textId="77777777" w:rsidR="0061727C" w:rsidRDefault="00B000E1">
      <w:pPr>
        <w:numPr>
          <w:ilvl w:val="0"/>
          <w:numId w:val="2"/>
        </w:numPr>
        <w:ind w:right="0"/>
      </w:pPr>
      <w:r>
        <w:t>Despite be</w:t>
      </w:r>
      <w:r>
        <w:t xml:space="preserve">ing separated by over 500 km, </w:t>
      </w:r>
      <w:proofErr w:type="gramStart"/>
      <w:r>
        <w:t>all of</w:t>
      </w:r>
      <w:proofErr w:type="gramEnd"/>
      <w:r>
        <w:t xml:space="preserve"> the samples define peaks at 550–570 Ma (VP98-055, 70%; VP98-078, 80%; VP98-009, 35%) and older peaks from 625 to 750 Ma. Their age </w:t>
      </w:r>
      <w:r>
        <w:lastRenderedPageBreak/>
        <w:t xml:space="preserve">spectra are surprisingly </w:t>
      </w:r>
      <w:proofErr w:type="gramStart"/>
      <w:r>
        <w:t>similar to</w:t>
      </w:r>
      <w:proofErr w:type="gramEnd"/>
      <w:r>
        <w:t xml:space="preserve"> those from Novaya Zemlya, the implications of which </w:t>
      </w:r>
      <w:r>
        <w:t>are further discussed below.</w:t>
      </w:r>
    </w:p>
    <w:p w14:paraId="0A6DA179" w14:textId="77777777" w:rsidR="0061727C" w:rsidRDefault="00B000E1">
      <w:pPr>
        <w:numPr>
          <w:ilvl w:val="0"/>
          <w:numId w:val="2"/>
        </w:numPr>
        <w:ind w:right="0"/>
      </w:pPr>
      <w:r>
        <w:t>The generally subhedral to euhedral zircon morphologies combined with a notable lack of ‘older’ ages in the northern Taimyr samples is consistent with a juvenile source of zircons close to a continental slope environment that w</w:t>
      </w:r>
      <w:r>
        <w:t>as not receiving far-travelled material eroded from the shield.</w:t>
      </w:r>
    </w:p>
    <w:p w14:paraId="2AD84CBD" w14:textId="77777777" w:rsidR="0061727C" w:rsidRDefault="00B000E1">
      <w:pPr>
        <w:numPr>
          <w:ilvl w:val="0"/>
          <w:numId w:val="2"/>
        </w:numPr>
        <w:spacing w:after="738"/>
        <w:ind w:right="0"/>
      </w:pPr>
      <w:r>
        <w:t xml:space="preserve">All three samples are supposed to be Neoproterozoic in age (Bezzubtsev </w:t>
      </w:r>
      <w:r>
        <w:t>et al</w:t>
      </w:r>
      <w:r>
        <w:t>. 1983, 1986). Detrital zircon ages, however, consistently indicate a maximum age of less than 450–500 Ma, suggestin</w:t>
      </w:r>
      <w:r>
        <w:t xml:space="preserve">g that this unit is </w:t>
      </w:r>
      <w:proofErr w:type="gramStart"/>
      <w:r>
        <w:t>actually Cambrian</w:t>
      </w:r>
      <w:proofErr w:type="gramEnd"/>
      <w:r>
        <w:t>–Ordovician, or younger.</w:t>
      </w:r>
    </w:p>
    <w:p w14:paraId="4704C7D3" w14:textId="77777777" w:rsidR="0061727C" w:rsidRDefault="00B000E1">
      <w:pPr>
        <w:spacing w:after="163" w:line="259" w:lineRule="auto"/>
        <w:ind w:left="-5" w:right="0" w:hanging="10"/>
        <w:jc w:val="left"/>
      </w:pPr>
      <w:r>
        <w:rPr>
          <w:sz w:val="20"/>
        </w:rPr>
        <w:t>Discussion</w:t>
      </w:r>
    </w:p>
    <w:p w14:paraId="1D72C957" w14:textId="77777777" w:rsidR="0061727C" w:rsidRDefault="00B000E1">
      <w:pPr>
        <w:pStyle w:val="1"/>
        <w:spacing w:after="67"/>
        <w:ind w:left="-5"/>
      </w:pPr>
      <w:r>
        <w:t>Duration of Timanide orogeny</w:t>
      </w:r>
    </w:p>
    <w:p w14:paraId="57A2C05B" w14:textId="77777777" w:rsidR="0061727C" w:rsidRDefault="00B000E1">
      <w:pPr>
        <w:ind w:left="-15" w:right="0" w:firstLine="0"/>
      </w:pPr>
      <w:r>
        <w:t>Given the pre-Caledonian age of the southern Novaya Zemlya samples and their proximity to the Timan–Pechora region and the Baltic Shield, it was assumed that they would provide unequivocal reference data for Baltica and the Timanide orogen. The detrital zi</w:t>
      </w:r>
      <w:r>
        <w:t>rcon results corroborate this assumption, with Timanide ‘fingerprints’ present in all samples and evidence for partial input to early Ordovician sediment from the Baltic Shield. However, the detrital zircon data have significantly changed our understanding</w:t>
      </w:r>
      <w:r>
        <w:t xml:space="preserve"> of the angular unconformity that separates early Ordovician clastic strata from older rocks in southern Novaya Zemlya.</w:t>
      </w:r>
    </w:p>
    <w:p w14:paraId="19BA5447" w14:textId="77777777" w:rsidR="0061727C" w:rsidRDefault="00B000E1">
      <w:pPr>
        <w:ind w:left="-15" w:right="0"/>
      </w:pPr>
      <w:r>
        <w:t xml:space="preserve">The lithological associations, </w:t>
      </w:r>
      <w:proofErr w:type="gramStart"/>
      <w:r>
        <w:t>petrography</w:t>
      </w:r>
      <w:proofErr w:type="gramEnd"/>
      <w:r>
        <w:t xml:space="preserve"> and heavy mineral assemblages (Scott, unpubl. data), absence of ‘cratonic’ age zircon detritu</w:t>
      </w:r>
      <w:r>
        <w:t>s, and proximity to the Timanide orogen on the margin of Baltica are all consistent with an arc-related continental margin setting for pre-unconformity clastic strata and associated igneous rocks in southern Novaya Zemlya. The previous dating of these stra</w:t>
      </w:r>
      <w:r>
        <w:t xml:space="preserve">ta as Neoproterozoic led to the conclusion that the deformation and weak metamorphism that they exhibit, and the unconformity that terminates the succession, were the consequence of Ediacaran Timanide orogeny (Korago </w:t>
      </w:r>
      <w:r>
        <w:t>et al</w:t>
      </w:r>
      <w:r>
        <w:t>. 1992, 2004; Bogolepova &amp; Gee 200</w:t>
      </w:r>
      <w:r>
        <w:t>4; Roberts &amp; Olovyanishnikov 2004). It is now clear, however, that the deformation, metamorphism and development of the unconformity are no older than mid-Cambrian (</w:t>
      </w:r>
      <w:proofErr w:type="gramStart"/>
      <w:r>
        <w:t>i.e.</w:t>
      </w:r>
      <w:proofErr w:type="gramEnd"/>
      <w:r>
        <w:t xml:space="preserve"> at least 50 Ma after the peak Timanide event), requiring a reassessment of their signi</w:t>
      </w:r>
      <w:r>
        <w:t>ficance.</w:t>
      </w:r>
    </w:p>
    <w:p w14:paraId="1C3FECE1" w14:textId="77777777" w:rsidR="0061727C" w:rsidRDefault="00B000E1">
      <w:pPr>
        <w:ind w:left="-15" w:right="0"/>
      </w:pPr>
      <w:r>
        <w:t>The late Neoproterozoic Timanide orogeny was the product of accretionary collision with the eastern and northern margin of Baltica, with the onset of convergence linked to a subduction polarity reversal in the adjacent ocean (</w:t>
      </w:r>
      <w:proofErr w:type="gramStart"/>
      <w:r>
        <w:t>e.g.</w:t>
      </w:r>
      <w:proofErr w:type="gramEnd"/>
      <w:r>
        <w:t xml:space="preserve"> Scarrow </w:t>
      </w:r>
      <w:r>
        <w:t>et al</w:t>
      </w:r>
      <w:r>
        <w:t>. 2</w:t>
      </w:r>
      <w:r>
        <w:t>001; Roberts &amp; Olovyanishnikov 2004). As southern Novaya Zemlya is located at the outer margin of the known extent of the Timanide accretionary belt (Figs 1 and 2), it can be argued that it is likely to record the youngest collisional age. The logical conc</w:t>
      </w:r>
      <w:r>
        <w:t>lusion of this argument is that ‘Timanide’ accretion to the margin of Baltica continued until mid- to late Cambrian time. In support of this argument, a significant proportion of the detrital zircons found in the post-unconformity early Ordovician strata o</w:t>
      </w:r>
      <w:r>
        <w:t>f southern Novaya Zemlya yield the same age as the time span represented by the unconformity, suggesting that it represents a significant tectonomagmatic event. Our unequivocal evidence of Cambrian compressional deformation below the unconformity in southe</w:t>
      </w:r>
      <w:r>
        <w:t xml:space="preserve">rn Novaya Zemlya suggests that late Cambrian magmatism in the easternmost Timanides could still be the product of a convergent </w:t>
      </w:r>
      <w:r>
        <w:t xml:space="preserve">setting. For example, zircon ages of </w:t>
      </w:r>
      <w:r>
        <w:t>c</w:t>
      </w:r>
      <w:r>
        <w:t>. 490 Ma from metagranites in the Polar Urals, previously interpreted to represent incipien</w:t>
      </w:r>
      <w:r>
        <w:t xml:space="preserve">t post-Timanian rifting (Glodny </w:t>
      </w:r>
      <w:r>
        <w:t>et al</w:t>
      </w:r>
      <w:r>
        <w:t xml:space="preserve">. 2004), may need to be reconsidered </w:t>
      </w:r>
      <w:proofErr w:type="gramStart"/>
      <w:r>
        <w:t>in light of</w:t>
      </w:r>
      <w:proofErr w:type="gramEnd"/>
      <w:r>
        <w:t xml:space="preserve"> longer-lived Timanian convergence.</w:t>
      </w:r>
    </w:p>
    <w:p w14:paraId="5B6F3958" w14:textId="77777777" w:rsidR="0061727C" w:rsidRDefault="00B000E1">
      <w:pPr>
        <w:pStyle w:val="1"/>
        <w:spacing w:after="67"/>
        <w:ind w:left="-5"/>
      </w:pPr>
      <w:r>
        <w:t>Correlation of the North Kara region with Baltica</w:t>
      </w:r>
    </w:p>
    <w:p w14:paraId="54F7DB5B" w14:textId="77777777" w:rsidR="0061727C" w:rsidRDefault="00B000E1">
      <w:pPr>
        <w:ind w:left="-15" w:right="0" w:firstLine="1"/>
      </w:pPr>
      <w:r>
        <w:t>In offshore areas of the Eurasian Arctic such as the eastern Barents Shelf and the no</w:t>
      </w:r>
      <w:r>
        <w:t xml:space="preserve">rthern Kara Sea Shelf, the </w:t>
      </w:r>
      <w:proofErr w:type="gramStart"/>
      <w:r>
        <w:t>nature</w:t>
      </w:r>
      <w:proofErr w:type="gramEnd"/>
      <w:r>
        <w:t xml:space="preserve"> and affinities of late Precambrian and early Palaeozoic basement are unknown. Consequently, there is still much to understand about late Precambrian and early Palaeozoic tectonic evolution and regional palaeogeographical r</w:t>
      </w:r>
      <w:r>
        <w:t>elationships in the Eurasian Arctic. This investigation provides a robust link between northern Taimyr, Severnaya Zemlya and Novaya Zemlya that can be tied to the Timanian margin of Baltica.</w:t>
      </w:r>
    </w:p>
    <w:p w14:paraId="43A70B99" w14:textId="77777777" w:rsidR="0061727C" w:rsidRDefault="00B000E1">
      <w:pPr>
        <w:ind w:left="-15" w:right="0"/>
      </w:pPr>
      <w:r>
        <w:t>Comparison of detrital zircon spectra from Taimyr and southern No</w:t>
      </w:r>
      <w:r>
        <w:t>vaya Zemlya reveals a striking similarity between the late Neoproterozoic–Cambrian continental slope deposits of northern Taimyr and the turbidites below the unconformity in southern Novaya Zemlya. The cumulative frequency peaks of 550– 565 Ma that dominat</w:t>
      </w:r>
      <w:r>
        <w:t xml:space="preserve">e the northern Taimyr samples are consistent with Timanide ages: Granitoids with crystallization ages of 560– 565 Ma (Gee </w:t>
      </w:r>
      <w:r>
        <w:t>et al</w:t>
      </w:r>
      <w:r>
        <w:t>. 2000) occur in the basement to the Timan– Pechora Basin (Fig. 1). No other contemporaneous source for these zircons is known; c</w:t>
      </w:r>
      <w:r>
        <w:t>onsequently, northern Taimyr appears to represent a part of the continental slope of eastern Euramerica–</w:t>
      </w:r>
    </w:p>
    <w:p w14:paraId="7A74C8BE" w14:textId="77777777" w:rsidR="0061727C" w:rsidRDefault="00B000E1">
      <w:pPr>
        <w:ind w:left="-15" w:right="0" w:firstLine="0"/>
      </w:pPr>
      <w:r>
        <w:t>Baltica.</w:t>
      </w:r>
    </w:p>
    <w:p w14:paraId="6D460AE5" w14:textId="77777777" w:rsidR="0061727C" w:rsidRDefault="00B000E1">
      <w:pPr>
        <w:spacing w:after="319"/>
        <w:ind w:left="-15" w:right="0"/>
      </w:pPr>
      <w:r>
        <w:t>This conclusion is further supported by the integration of U– Pb magmatic zircons ages and palaeontological data from the Severnaya Zemlya arc</w:t>
      </w:r>
      <w:r>
        <w:t xml:space="preserve">hipelago. Lorenz </w:t>
      </w:r>
      <w:r>
        <w:t>et al</w:t>
      </w:r>
      <w:r>
        <w:t>. (2007) described a pronounced angular unconformity from October Revolution Island, for which isotopic ages obtained from igneous rocks below and above the unconformity surface tightly constrain its age to the vicinity of the Cambria</w:t>
      </w:r>
      <w:r>
        <w:t>n–Ordovician boundary, in good agreement with Tremadoc fauna obtained from associated sediments. Rocks beneath the unconformity are strongly folded, implying that a short-lived phase of deformation was responsible for generating the hiatus. Thus, the uncon</w:t>
      </w:r>
      <w:r>
        <w:t>formity on Severnaya Zemlya is apparently similar in terms of timing and style of deformation (compressional) to the unconformity on southern Novaya Zemlya. These similarities imply that the North Kara block (of which northern Taimyr and Severnaya Zemlya a</w:t>
      </w:r>
      <w:r>
        <w:t xml:space="preserve">re a part) was a continuation of Baltica in the Cambrian–Ordovician, rather than an independent microplate (see Metelkin </w:t>
      </w:r>
      <w:r>
        <w:t>et al</w:t>
      </w:r>
      <w:r>
        <w:t>. 2005).</w:t>
      </w:r>
    </w:p>
    <w:p w14:paraId="331CE65B" w14:textId="77777777" w:rsidR="0061727C" w:rsidRDefault="00B000E1">
      <w:pPr>
        <w:pStyle w:val="1"/>
        <w:spacing w:after="67"/>
        <w:ind w:left="-5"/>
      </w:pPr>
      <w:r>
        <w:t>Changing tectonic regimes around the Cambrian– Ordovician boundary</w:t>
      </w:r>
    </w:p>
    <w:p w14:paraId="76BE11F0" w14:textId="77777777" w:rsidR="0061727C" w:rsidRDefault="00B000E1">
      <w:pPr>
        <w:ind w:left="-15" w:right="0" w:firstLine="1"/>
      </w:pPr>
      <w:r>
        <w:t>The presence of a late Cambrian unconformity in southern Novaya Zemlya truncating older metasediments that have been demonstrably deformed in the Cambrian provides new insights into the Tim</w:t>
      </w:r>
      <w:r>
        <w:t xml:space="preserve">anide orogen, suggesting that accretion to the margin of Baltica may have continued throughout the Cambrian Period. It also provides a potential explanation for the coeval Cambrian– Ordovician boundary unconformity on Severnaya Zemlya. Lorenz </w:t>
      </w:r>
      <w:r>
        <w:t>et al</w:t>
      </w:r>
      <w:r>
        <w:t>. (2007,</w:t>
      </w:r>
      <w:r>
        <w:t xml:space="preserve"> 2008) referred to the Severnaya Zemlya unconformity as an ‘early Caledonian’ feature and suggested that it reflects far-field stresses coincident with the late Cambrian to early Ordovician (</w:t>
      </w:r>
      <w:r>
        <w:t>c</w:t>
      </w:r>
      <w:r>
        <w:t>. 500–480 Ma) Finnmarkian deformation previously described in th</w:t>
      </w:r>
      <w:r>
        <w:t xml:space="preserve">e northern Scandinavian Caledonides (Sturt </w:t>
      </w:r>
      <w:r>
        <w:t>et al</w:t>
      </w:r>
      <w:r>
        <w:t xml:space="preserve">. 1978; Roberts 2003). The Finnmarkian deformation was interpreted to result from the collision of a magmatic arc with the Baltoscandian margin </w:t>
      </w:r>
      <w:r>
        <w:lastRenderedPageBreak/>
        <w:t>(Dallmeyer &amp; Gee 1986; Sturt &amp; Roberts 1991); however, recent wo</w:t>
      </w:r>
      <w:r>
        <w:t>rk has cast doubt on the existence of a Finnmarkian deformation phase (</w:t>
      </w:r>
      <w:proofErr w:type="gramStart"/>
      <w:r>
        <w:t>e.g.</w:t>
      </w:r>
      <w:proofErr w:type="gramEnd"/>
      <w:r>
        <w:t xml:space="preserve"> Kirkland </w:t>
      </w:r>
      <w:r>
        <w:t>et al</w:t>
      </w:r>
      <w:r>
        <w:t>. 2006). Observations in southern Novaya Zemlya provide an alternative explanation for the unconformity in Severnaya Zemlya: Cambrian deformation and magmatism are re</w:t>
      </w:r>
      <w:r>
        <w:t>lated to a late Timanian accretionary event on the opposing margin of Baltica to the Caledonides. Given the lack of knowledge regarding basement beneath the Barents Shelf, it is possible that the effects of late Timanian deformation could be widespread thr</w:t>
      </w:r>
      <w:r>
        <w:t>oughout this region. Without more data, however, this possibility remains speculative.</w:t>
      </w:r>
    </w:p>
    <w:p w14:paraId="74C31F11" w14:textId="77777777" w:rsidR="0061727C" w:rsidRDefault="00B000E1">
      <w:pPr>
        <w:ind w:left="-15" w:right="0"/>
      </w:pPr>
      <w:r>
        <w:t>The late Cambrian to early Ordovician event is also linked with the continental break-up that generated the Uralian Ocean. It is well established that the Uralian passiv</w:t>
      </w:r>
      <w:r>
        <w:t>e margin of Baltica to the south of Novaya Zemlya developed as a consequence of late Cambrian to early Ordovician rifting (</w:t>
      </w:r>
      <w:proofErr w:type="gramStart"/>
      <w:r>
        <w:t>e.g.</w:t>
      </w:r>
      <w:proofErr w:type="gramEnd"/>
      <w:r>
        <w:t xml:space="preserve"> Puchkov 2002, and references therein), which progressed to sea-floor spreading and development of the Uralian Ocean. The fact th</w:t>
      </w:r>
      <w:r>
        <w:t xml:space="preserve">at Timanide structural trends in the Timan–Pechora region terminate against this newly formed continental margin in the Polar Urals provides compelling evidence that a continental fragment of significant size was separated from Baltica during formation of </w:t>
      </w:r>
      <w:r>
        <w:t>this ocean (Puchkov 2002). This late Cambrian to early Ordovician rift– drift transition is penecontemporaneous with the age of the unconformity in southern Novaya Zemlya and Severnaya Zemlya. Consequently, it can be argued that the final Cambrian accretio</w:t>
      </w:r>
      <w:r>
        <w:t>nary event on the Baltica margin recorded in southern Novaya Zemlya was intimately related to the end of the ‘Timanide’ compressional regime, and the subsequent onset of orogenic collapse and continental break-up around the Cambrian–Ordovician boundary was</w:t>
      </w:r>
      <w:r>
        <w:t xml:space="preserve"> regionally significant. Aspects of the post-unconformity geology of southern Novaya Zemlya are consistent with this hypothesis, as follows.</w:t>
      </w:r>
    </w:p>
    <w:p w14:paraId="7C8BCB2E" w14:textId="77777777" w:rsidR="0061727C" w:rsidRDefault="00B000E1">
      <w:pPr>
        <w:numPr>
          <w:ilvl w:val="0"/>
          <w:numId w:val="3"/>
        </w:numPr>
        <w:ind w:right="0"/>
      </w:pPr>
      <w:r>
        <w:t>Early Ordovician strata above the unconformity in southern Novaya Zemlya accumulated in coastal environments and sh</w:t>
      </w:r>
      <w:r>
        <w:t xml:space="preserve">ow significant thickness variations. A late Cambrian to early Ordovician extensional event is the most likely explanation of the differential subsidence, creating the accommodation space for the early Ordovician and subsequent Palaeozoic successions to be </w:t>
      </w:r>
      <w:r>
        <w:t>deposited and preserved. This is also consistent with late Cambrian to early Ordovician continental break-up.</w:t>
      </w:r>
    </w:p>
    <w:p w14:paraId="19FE953B" w14:textId="77777777" w:rsidR="0061727C" w:rsidRDefault="00B000E1">
      <w:pPr>
        <w:numPr>
          <w:ilvl w:val="0"/>
          <w:numId w:val="3"/>
        </w:numPr>
        <w:ind w:right="0"/>
      </w:pPr>
      <w:r>
        <w:t>The older zircons in the post-unconformity early Ordovician sediments indicate derivation from the Baltic Shield, suggesting that clastic detritus</w:t>
      </w:r>
      <w:r>
        <w:t xml:space="preserve"> crossed Timan–Pechora and adjacent shelf areas to reach the coastal environments preserved in southern Novaya Zemlya. This is taken as circumstantial evidence that the late Cambrian to early Ordovician extensional event, and associated onset of early Ordo</w:t>
      </w:r>
      <w:r>
        <w:t>vician sedimentation, may have been linked with collapse of the Timanide orogen and is consistent with the later deposition of Ordovician shallowmarine deposits across the Timan–Pechora region (</w:t>
      </w:r>
      <w:proofErr w:type="gramStart"/>
      <w:r>
        <w:t>e.g.</w:t>
      </w:r>
      <w:proofErr w:type="gramEnd"/>
      <w:r>
        <w:t xml:space="preserve"> Larionova </w:t>
      </w:r>
      <w:r>
        <w:t>et al</w:t>
      </w:r>
      <w:r>
        <w:t>. 2002).</w:t>
      </w:r>
    </w:p>
    <w:p w14:paraId="56AFB31A" w14:textId="77777777" w:rsidR="0061727C" w:rsidRDefault="00B000E1">
      <w:pPr>
        <w:ind w:left="-15" w:right="0"/>
      </w:pPr>
      <w:r>
        <w:t>It is interesting to speculate on</w:t>
      </w:r>
      <w:r>
        <w:t xml:space="preserve"> the tectonic implications resulting from correlation of the Cambrian–Ordovician unconformities on Severnaya and Novaya Zemlya. It not only extends the duration of Timanian orogeny by </w:t>
      </w:r>
      <w:r>
        <w:t>c</w:t>
      </w:r>
      <w:r>
        <w:t>. 50 Ma, but it may also extend the supposed regional limit of Timanian</w:t>
      </w:r>
      <w:r>
        <w:t xml:space="preserve"> deformation (see Fig. 1), and/or imply that northern Taimyr and Severnaya Zemlya were closer to southern Novaya Zemlya. Taimyr is characterized by Late Triassic dextral transpression (Inger </w:t>
      </w:r>
      <w:r>
        <w:t>et al</w:t>
      </w:r>
      <w:r>
        <w:t>. 1999), implying that Severnaya Zemlya and eastern parts of</w:t>
      </w:r>
      <w:r>
        <w:t xml:space="preserve"> Taimyr may have been translated to some degree. Although further study of these early Palaeozoic relationships is required, a picture of complex Neoproterozoic to </w:t>
      </w:r>
      <w:r>
        <w:t>early Palaeozoic accretionary and rifting events around the margins of Baltica is emerging t</w:t>
      </w:r>
      <w:r>
        <w:t xml:space="preserve">hat raises important questions regarding the nature, </w:t>
      </w:r>
      <w:proofErr w:type="gramStart"/>
      <w:r>
        <w:t>extent</w:t>
      </w:r>
      <w:proofErr w:type="gramEnd"/>
      <w:r>
        <w:t xml:space="preserve"> and timing of amalgamation of basement elements beneath the Russian</w:t>
      </w:r>
    </w:p>
    <w:p w14:paraId="2D76CEE7" w14:textId="77777777" w:rsidR="0061727C" w:rsidRDefault="00B000E1">
      <w:pPr>
        <w:ind w:left="-15" w:right="0" w:firstLine="0"/>
      </w:pPr>
      <w:r>
        <w:t>Arctic Shelf.</w:t>
      </w:r>
    </w:p>
    <w:p w14:paraId="41EC4152" w14:textId="77777777" w:rsidR="0061727C" w:rsidRDefault="00B000E1">
      <w:pPr>
        <w:pStyle w:val="1"/>
        <w:ind w:left="-5"/>
      </w:pPr>
      <w:r>
        <w:t>Conclusions</w:t>
      </w:r>
    </w:p>
    <w:p w14:paraId="1F92B29E" w14:textId="77777777" w:rsidR="0061727C" w:rsidRDefault="00B000E1">
      <w:pPr>
        <w:ind w:left="-15" w:right="0" w:firstLine="0"/>
      </w:pPr>
      <w:r>
        <w:t>Deformed and weakly metamorphosed turbidites derived from a juvenile arc-related source are unconformably overlain by an unmetamorphosed Ordovician clastic–carbonate succession in southern Novaya Zemlya. Detrital zircon ages demonstrate that the turbidites</w:t>
      </w:r>
      <w:r>
        <w:t xml:space="preserve"> beneath the unconformity are Cambrian, not Neoproterozoic as has previously been suggested, and that the age of the unconformity is Late Cambrian to Early Ordovician. Strata above and below the unconformity preserve a unique Timanide ‘fingerprint’ and thu</w:t>
      </w:r>
      <w:r>
        <w:t>s confirm a Baltica provenance.</w:t>
      </w:r>
    </w:p>
    <w:p w14:paraId="59DB2A58" w14:textId="77777777" w:rsidR="0061727C" w:rsidRDefault="00B000E1">
      <w:pPr>
        <w:ind w:left="-15" w:right="0"/>
      </w:pPr>
      <w:r>
        <w:t xml:space="preserve">Detrital zircons from northern Taimyr also preserve a unique Timanide (Baltica) signature, displaying age spectra remarkably </w:t>
      </w:r>
      <w:proofErr w:type="gramStart"/>
      <w:r>
        <w:t>similar to</w:t>
      </w:r>
      <w:proofErr w:type="gramEnd"/>
      <w:r>
        <w:t xml:space="preserve"> those of the samples from southern Novaya Zemlya. As northern Taimyr is part of the Kara</w:t>
      </w:r>
      <w:r>
        <w:t xml:space="preserve"> block, it follows that the Kara block was part of Baltica and not an independent microcontinent as has previously been suggested.</w:t>
      </w:r>
    </w:p>
    <w:p w14:paraId="47F44EBB" w14:textId="77777777" w:rsidR="0061727C" w:rsidRDefault="00B000E1">
      <w:pPr>
        <w:ind w:left="-15" w:right="0"/>
      </w:pPr>
      <w:r>
        <w:t>The deposition of early Ordovician strata unconformably upon folded and metamorphosed Cambrian strata in southern Novaya Zeml</w:t>
      </w:r>
      <w:r>
        <w:t xml:space="preserve">ya brackets a relatively short interval for deformation and exhumation. A comparable unconformity has been reported from the Severnaya Zemlya archipelago NE of Taimyr. Severnaya Zemlya is also part of the Kara block and the similarity of the late Cambrian </w:t>
      </w:r>
      <w:r>
        <w:t>to early Ordovician unconformity further strengthens the argument that the Kara block was part of Baltica.</w:t>
      </w:r>
    </w:p>
    <w:p w14:paraId="027D30D5" w14:textId="77777777" w:rsidR="0061727C" w:rsidRDefault="00B000E1">
      <w:pPr>
        <w:spacing w:after="145"/>
        <w:ind w:left="-15" w:right="0"/>
      </w:pPr>
      <w:r>
        <w:t>The late Cambrian to early Ordovician unconformity appears to have regional significance. It is interpreted to reflect the cessation of Timanian conv</w:t>
      </w:r>
      <w:r>
        <w:t>ergence and ultimate collapse of the orogen, which affected a greater area than previously recognized. Deformation related to Timanian convergence probably continued into late Cambrian time, extending duration of orogeny by about 50 Ma, and was followed by</w:t>
      </w:r>
      <w:r>
        <w:t xml:space="preserve"> a transition to an extensional regime as the Uralian Ocean began to open in the Ordovician.</w:t>
      </w:r>
    </w:p>
    <w:p w14:paraId="17C70724" w14:textId="77777777" w:rsidR="0061727C" w:rsidRDefault="00B000E1">
      <w:pPr>
        <w:spacing w:after="0" w:line="263" w:lineRule="auto"/>
        <w:ind w:left="-5" w:right="-15" w:hanging="10"/>
      </w:pPr>
      <w:r>
        <w:rPr>
          <w:sz w:val="16"/>
        </w:rPr>
        <w:t>Without the logistical and financial assistance of the Swedish Polar Research Secretariat, fieldwork in Taimyr would not have been possible. We thank the Captain a</w:t>
      </w:r>
      <w:r>
        <w:rPr>
          <w:sz w:val="16"/>
        </w:rPr>
        <w:t xml:space="preserve">nd crew of the research vessel </w:t>
      </w:r>
      <w:r>
        <w:rPr>
          <w:sz w:val="16"/>
        </w:rPr>
        <w:t>Gorizont</w:t>
      </w:r>
      <w:r>
        <w:rPr>
          <w:sz w:val="16"/>
        </w:rPr>
        <w:t>, operated by the Russian Hydrographic Office in Murmansk, for their logistic support in Novaya Zemlya. We also thank VNIIOkeangeologiya in St. Petersburg for their organizational role in the Novaya Zemlya expedition.</w:t>
      </w:r>
      <w:r>
        <w:rPr>
          <w:sz w:val="16"/>
        </w:rPr>
        <w:t xml:space="preserve"> Additional support from the Swedish National Science Research Council, the Royal Swedish Academy, the Swedish Museum of Natural History and EU INTAS grant (97-1139) is gratefully acknowledged. CASP acknowledges the industrial sponsors of its Arctic resear</w:t>
      </w:r>
      <w:r>
        <w:rPr>
          <w:sz w:val="16"/>
        </w:rPr>
        <w:t>ch with gratitude. F. Corfu and an anonymous reviewer provided constructive criticism that improved the quality of the manuscript. Thanks go to M. J. Whitehouse and the NORDSIM facility, which is funded by the research councils of Denmark, Norway and Swede</w:t>
      </w:r>
      <w:r>
        <w:rPr>
          <w:sz w:val="16"/>
        </w:rPr>
        <w:t>n, the Geological Survey of Finland, and the Swedish Museum of Natural History. This paper is NORDSIM</w:t>
      </w:r>
    </w:p>
    <w:p w14:paraId="4969A68E" w14:textId="77777777" w:rsidR="0061727C" w:rsidRDefault="00B000E1">
      <w:pPr>
        <w:spacing w:after="286" w:line="265" w:lineRule="auto"/>
        <w:ind w:left="-5" w:right="5" w:hanging="10"/>
        <w:jc w:val="left"/>
      </w:pPr>
      <w:r>
        <w:rPr>
          <w:sz w:val="16"/>
        </w:rPr>
        <w:t>Publication 224.</w:t>
      </w:r>
    </w:p>
    <w:p w14:paraId="75276216" w14:textId="77777777" w:rsidR="0061727C" w:rsidRDefault="00B000E1">
      <w:pPr>
        <w:pStyle w:val="1"/>
        <w:ind w:left="-5"/>
      </w:pPr>
      <w:r>
        <w:t>References</w:t>
      </w:r>
    </w:p>
    <w:p w14:paraId="02EAD14B" w14:textId="77777777" w:rsidR="0061727C" w:rsidRDefault="00B000E1">
      <w:pPr>
        <w:spacing w:after="10" w:line="280" w:lineRule="auto"/>
        <w:ind w:left="333" w:right="0" w:hanging="348"/>
      </w:pPr>
      <w:r>
        <w:rPr>
          <w:sz w:val="14"/>
        </w:rPr>
        <w:t>A</w:t>
      </w:r>
      <w:r>
        <w:rPr>
          <w:sz w:val="14"/>
        </w:rPr>
        <w:t xml:space="preserve">llen, </w:t>
      </w:r>
      <w:r>
        <w:rPr>
          <w:sz w:val="14"/>
        </w:rPr>
        <w:t>M.B., A</w:t>
      </w:r>
      <w:r>
        <w:rPr>
          <w:sz w:val="14"/>
        </w:rPr>
        <w:t xml:space="preserve">nderson, </w:t>
      </w:r>
      <w:r>
        <w:rPr>
          <w:sz w:val="14"/>
        </w:rPr>
        <w:t>L., S</w:t>
      </w:r>
      <w:r>
        <w:rPr>
          <w:sz w:val="14"/>
        </w:rPr>
        <w:t xml:space="preserve">earle, </w:t>
      </w:r>
      <w:r>
        <w:rPr>
          <w:sz w:val="14"/>
        </w:rPr>
        <w:t>R.C. &amp; B</w:t>
      </w:r>
      <w:r>
        <w:rPr>
          <w:sz w:val="14"/>
        </w:rPr>
        <w:t xml:space="preserve">uslov, </w:t>
      </w:r>
      <w:r>
        <w:rPr>
          <w:sz w:val="14"/>
        </w:rPr>
        <w:t>M.M. 2006. Oblique rift geometry of the West Siberian Basin: tectonic settin</w:t>
      </w:r>
      <w:r>
        <w:rPr>
          <w:sz w:val="14"/>
        </w:rPr>
        <w:t xml:space="preserve">g for the Siberian flood basalts. </w:t>
      </w:r>
      <w:r>
        <w:rPr>
          <w:sz w:val="14"/>
        </w:rPr>
        <w:t>Journal of the Geological Society, London</w:t>
      </w:r>
      <w:r>
        <w:rPr>
          <w:sz w:val="14"/>
        </w:rPr>
        <w:t xml:space="preserve">, </w:t>
      </w:r>
      <w:r>
        <w:rPr>
          <w:sz w:val="14"/>
        </w:rPr>
        <w:t>163</w:t>
      </w:r>
      <w:r>
        <w:rPr>
          <w:sz w:val="14"/>
        </w:rPr>
        <w:t>, 901–904.</w:t>
      </w:r>
    </w:p>
    <w:p w14:paraId="056BE1EC" w14:textId="77777777" w:rsidR="0061727C" w:rsidRDefault="00B000E1">
      <w:pPr>
        <w:spacing w:after="10" w:line="280" w:lineRule="auto"/>
        <w:ind w:left="333" w:right="0" w:hanging="348"/>
      </w:pPr>
      <w:r>
        <w:rPr>
          <w:sz w:val="14"/>
        </w:rPr>
        <w:t>A</w:t>
      </w:r>
      <w:r>
        <w:rPr>
          <w:sz w:val="14"/>
        </w:rPr>
        <w:t xml:space="preserve">plonov, </w:t>
      </w:r>
      <w:r>
        <w:rPr>
          <w:sz w:val="14"/>
        </w:rPr>
        <w:t xml:space="preserve">S.V. 1995. The tectonic evolution of West Siberia: An attempt at a geophysical analysis. </w:t>
      </w:r>
      <w:r>
        <w:rPr>
          <w:sz w:val="14"/>
        </w:rPr>
        <w:t>Tectonophysics</w:t>
      </w:r>
      <w:r>
        <w:rPr>
          <w:sz w:val="14"/>
        </w:rPr>
        <w:t xml:space="preserve">, </w:t>
      </w:r>
      <w:r>
        <w:rPr>
          <w:sz w:val="14"/>
        </w:rPr>
        <w:t>245</w:t>
      </w:r>
      <w:r>
        <w:rPr>
          <w:sz w:val="14"/>
        </w:rPr>
        <w:t>, 61–84.</w:t>
      </w:r>
    </w:p>
    <w:p w14:paraId="16C6CCA4" w14:textId="77777777" w:rsidR="0061727C" w:rsidRDefault="00B000E1">
      <w:pPr>
        <w:spacing w:after="10" w:line="280" w:lineRule="auto"/>
        <w:ind w:left="333" w:right="0" w:hanging="348"/>
      </w:pPr>
      <w:r>
        <w:rPr>
          <w:sz w:val="14"/>
        </w:rPr>
        <w:lastRenderedPageBreak/>
        <w:t>B</w:t>
      </w:r>
      <w:r>
        <w:rPr>
          <w:sz w:val="14"/>
        </w:rPr>
        <w:t xml:space="preserve">ezzubtsev, </w:t>
      </w:r>
      <w:r>
        <w:rPr>
          <w:sz w:val="14"/>
        </w:rPr>
        <w:t>V.V., M</w:t>
      </w:r>
      <w:r>
        <w:rPr>
          <w:sz w:val="14"/>
        </w:rPr>
        <w:t xml:space="preserve">alitch, </w:t>
      </w:r>
      <w:r>
        <w:rPr>
          <w:sz w:val="14"/>
        </w:rPr>
        <w:t>N.S., M</w:t>
      </w:r>
      <w:r>
        <w:rPr>
          <w:sz w:val="14"/>
        </w:rPr>
        <w:t>arkov</w:t>
      </w:r>
      <w:r>
        <w:rPr>
          <w:sz w:val="14"/>
        </w:rPr>
        <w:t xml:space="preserve">, </w:t>
      </w:r>
      <w:r>
        <w:rPr>
          <w:sz w:val="14"/>
        </w:rPr>
        <w:t>F.G. &amp; P</w:t>
      </w:r>
      <w:r>
        <w:rPr>
          <w:sz w:val="14"/>
        </w:rPr>
        <w:t xml:space="preserve">ogrebitsky, </w:t>
      </w:r>
      <w:r>
        <w:rPr>
          <w:sz w:val="14"/>
        </w:rPr>
        <w:t>Y</w:t>
      </w:r>
      <w:r>
        <w:rPr>
          <w:sz w:val="14"/>
        </w:rPr>
        <w:t>u</w:t>
      </w:r>
      <w:r>
        <w:rPr>
          <w:sz w:val="14"/>
        </w:rPr>
        <w:t>.E. 1983. Geological map of mountainous Taimyr 1:500 000, Ministry of Geology of the USSR. Ministry of Geology of the Russian Federation (RSFSR),</w:t>
      </w:r>
    </w:p>
    <w:p w14:paraId="63A578FF" w14:textId="77777777" w:rsidR="0061727C" w:rsidRDefault="00B000E1">
      <w:pPr>
        <w:spacing w:after="10" w:line="280" w:lineRule="auto"/>
        <w:ind w:left="339" w:right="0" w:firstLine="0"/>
      </w:pPr>
      <w:r>
        <w:rPr>
          <w:sz w:val="14"/>
        </w:rPr>
        <w:t>Krasnoyarskgeologia, Krasnoyarsk [in Russian].</w:t>
      </w:r>
    </w:p>
    <w:p w14:paraId="5E1FBFE4" w14:textId="77777777" w:rsidR="0061727C" w:rsidRDefault="00B000E1">
      <w:pPr>
        <w:spacing w:after="10" w:line="280" w:lineRule="auto"/>
        <w:ind w:left="333" w:right="0" w:hanging="348"/>
      </w:pPr>
      <w:r>
        <w:rPr>
          <w:sz w:val="14"/>
        </w:rPr>
        <w:t>B</w:t>
      </w:r>
      <w:r>
        <w:rPr>
          <w:sz w:val="14"/>
        </w:rPr>
        <w:t xml:space="preserve">ezzubtsev, </w:t>
      </w:r>
      <w:r>
        <w:rPr>
          <w:sz w:val="14"/>
        </w:rPr>
        <w:t>V.V., Z</w:t>
      </w:r>
      <w:r>
        <w:rPr>
          <w:sz w:val="14"/>
        </w:rPr>
        <w:t xml:space="preserve">alyaleyev, </w:t>
      </w:r>
      <w:r>
        <w:rPr>
          <w:sz w:val="14"/>
        </w:rPr>
        <w:t>R. &amp; S</w:t>
      </w:r>
      <w:r>
        <w:rPr>
          <w:sz w:val="14"/>
        </w:rPr>
        <w:t xml:space="preserve">akovich, </w:t>
      </w:r>
      <w:r>
        <w:rPr>
          <w:sz w:val="14"/>
        </w:rPr>
        <w:t>A. 1986. Geological map of mountainous Taimyr 1:500 000: explanatory notes. Krasnoyarskgeologia, Krasnoyarsk [in Russian].</w:t>
      </w:r>
    </w:p>
    <w:p w14:paraId="0311698B" w14:textId="77777777" w:rsidR="0061727C" w:rsidRDefault="00B000E1">
      <w:pPr>
        <w:spacing w:after="35" w:line="280" w:lineRule="auto"/>
        <w:ind w:left="333" w:right="0" w:hanging="348"/>
      </w:pPr>
      <w:r>
        <w:rPr>
          <w:sz w:val="14"/>
        </w:rPr>
        <w:t xml:space="preserve">Bogolepova, O.K. &amp; Gee, D.G. </w:t>
      </w:r>
      <w:r>
        <w:rPr>
          <w:sz w:val="14"/>
        </w:rPr>
        <w:t xml:space="preserve">2004. Early Palaeozoic unconformity across the Timanides, NW Russia. </w:t>
      </w:r>
      <w:r>
        <w:rPr>
          <w:sz w:val="14"/>
        </w:rPr>
        <w:t xml:space="preserve">In: </w:t>
      </w:r>
      <w:r>
        <w:rPr>
          <w:sz w:val="14"/>
        </w:rPr>
        <w:t>G</w:t>
      </w:r>
      <w:r>
        <w:rPr>
          <w:sz w:val="14"/>
        </w:rPr>
        <w:t xml:space="preserve">ee, </w:t>
      </w:r>
      <w:r>
        <w:rPr>
          <w:sz w:val="14"/>
        </w:rPr>
        <w:t>D.G. &amp; P</w:t>
      </w:r>
      <w:r>
        <w:rPr>
          <w:sz w:val="14"/>
        </w:rPr>
        <w:t xml:space="preserve">ease, </w:t>
      </w:r>
      <w:r>
        <w:rPr>
          <w:sz w:val="14"/>
        </w:rPr>
        <w:t xml:space="preserve">V. (eds) </w:t>
      </w:r>
      <w:r>
        <w:rPr>
          <w:sz w:val="14"/>
        </w:rPr>
        <w:t>The Neoproterozoic Timanide Orogen of Eastern Baltica</w:t>
      </w:r>
      <w:r>
        <w:rPr>
          <w:sz w:val="14"/>
        </w:rPr>
        <w:t xml:space="preserve">. Geological Society, London, Memoirs, </w:t>
      </w:r>
      <w:r>
        <w:rPr>
          <w:sz w:val="14"/>
        </w:rPr>
        <w:t>30</w:t>
      </w:r>
      <w:r>
        <w:rPr>
          <w:sz w:val="14"/>
        </w:rPr>
        <w:t>, 145–157.</w:t>
      </w:r>
    </w:p>
    <w:p w14:paraId="4E0AB98F" w14:textId="77777777" w:rsidR="0061727C" w:rsidRDefault="00B000E1">
      <w:pPr>
        <w:spacing w:after="10" w:line="280" w:lineRule="auto"/>
        <w:ind w:left="333" w:right="0" w:hanging="348"/>
      </w:pPr>
      <w:r>
        <w:rPr>
          <w:sz w:val="14"/>
        </w:rPr>
        <w:t>B</w:t>
      </w:r>
      <w:r>
        <w:rPr>
          <w:sz w:val="14"/>
        </w:rPr>
        <w:t xml:space="preserve">ondarev, </w:t>
      </w:r>
      <w:r>
        <w:rPr>
          <w:sz w:val="14"/>
        </w:rPr>
        <w:t xml:space="preserve">V.I. (ed.) 1982. </w:t>
      </w:r>
      <w:r>
        <w:rPr>
          <w:sz w:val="14"/>
        </w:rPr>
        <w:t>Geology of the South Island of Novaya Zemlya</w:t>
      </w:r>
      <w:r>
        <w:rPr>
          <w:sz w:val="14"/>
        </w:rPr>
        <w:t>. PGO ‘Sevmorgeologiya’, Leningrad.</w:t>
      </w:r>
    </w:p>
    <w:p w14:paraId="0C7D8868" w14:textId="77777777" w:rsidR="0061727C" w:rsidRDefault="00B000E1">
      <w:pPr>
        <w:spacing w:after="10" w:line="280" w:lineRule="auto"/>
        <w:ind w:left="333" w:right="0" w:hanging="348"/>
      </w:pPr>
      <w:r>
        <w:rPr>
          <w:sz w:val="14"/>
        </w:rPr>
        <w:t>B</w:t>
      </w:r>
      <w:r>
        <w:rPr>
          <w:sz w:val="14"/>
        </w:rPr>
        <w:t xml:space="preserve">rown, </w:t>
      </w:r>
      <w:r>
        <w:rPr>
          <w:sz w:val="14"/>
        </w:rPr>
        <w:t>D., J</w:t>
      </w:r>
      <w:r>
        <w:rPr>
          <w:sz w:val="14"/>
        </w:rPr>
        <w:t xml:space="preserve">uhlin, </w:t>
      </w:r>
      <w:r>
        <w:rPr>
          <w:sz w:val="14"/>
        </w:rPr>
        <w:t>C. &amp; P</w:t>
      </w:r>
      <w:r>
        <w:rPr>
          <w:sz w:val="14"/>
        </w:rPr>
        <w:t xml:space="preserve">uchkov, </w:t>
      </w:r>
      <w:r>
        <w:rPr>
          <w:sz w:val="14"/>
        </w:rPr>
        <w:t xml:space="preserve">V. (eds) 2002. </w:t>
      </w:r>
      <w:r>
        <w:rPr>
          <w:sz w:val="14"/>
        </w:rPr>
        <w:t>Mountain Building in the Uralides, Pangea to the Present</w:t>
      </w:r>
      <w:r>
        <w:rPr>
          <w:sz w:val="14"/>
        </w:rPr>
        <w:t xml:space="preserve">. American Geophysical Union, Geophysical Monographs, </w:t>
      </w:r>
      <w:r>
        <w:rPr>
          <w:sz w:val="14"/>
        </w:rPr>
        <w:t>132</w:t>
      </w:r>
      <w:r>
        <w:rPr>
          <w:sz w:val="14"/>
        </w:rPr>
        <w:t>.</w:t>
      </w:r>
    </w:p>
    <w:p w14:paraId="46E6C603" w14:textId="77777777" w:rsidR="0061727C" w:rsidRDefault="00B000E1">
      <w:pPr>
        <w:spacing w:after="10" w:line="280" w:lineRule="auto"/>
        <w:ind w:left="333" w:right="0" w:hanging="348"/>
      </w:pPr>
      <w:r>
        <w:rPr>
          <w:sz w:val="14"/>
        </w:rPr>
        <w:t>C</w:t>
      </w:r>
      <w:r>
        <w:rPr>
          <w:sz w:val="14"/>
        </w:rPr>
        <w:t xml:space="preserve">awood, </w:t>
      </w:r>
      <w:r>
        <w:rPr>
          <w:sz w:val="14"/>
        </w:rPr>
        <w:t>P.A., N</w:t>
      </w:r>
      <w:r>
        <w:rPr>
          <w:sz w:val="14"/>
        </w:rPr>
        <w:t xml:space="preserve">emchin, </w:t>
      </w:r>
      <w:r>
        <w:rPr>
          <w:sz w:val="14"/>
        </w:rPr>
        <w:t>A.A., S</w:t>
      </w:r>
      <w:r>
        <w:rPr>
          <w:sz w:val="14"/>
        </w:rPr>
        <w:t xml:space="preserve">trachan, </w:t>
      </w:r>
      <w:r>
        <w:rPr>
          <w:sz w:val="14"/>
        </w:rPr>
        <w:t>R., P</w:t>
      </w:r>
      <w:r>
        <w:rPr>
          <w:sz w:val="14"/>
        </w:rPr>
        <w:t xml:space="preserve">rave, </w:t>
      </w:r>
      <w:r>
        <w:rPr>
          <w:sz w:val="14"/>
        </w:rPr>
        <w:t>T. &amp; K</w:t>
      </w:r>
      <w:r>
        <w:rPr>
          <w:sz w:val="14"/>
        </w:rPr>
        <w:t>r</w:t>
      </w:r>
      <w:r>
        <w:rPr>
          <w:sz w:val="14"/>
        </w:rPr>
        <w:t xml:space="preserve">abbendam, </w:t>
      </w:r>
      <w:r>
        <w:rPr>
          <w:sz w:val="14"/>
        </w:rPr>
        <w:t xml:space="preserve">M. 2007. Sedimentary basin and detrital zircon record along East Laurentia and Baltica during assembly and breakup of Rodinia. </w:t>
      </w:r>
      <w:r>
        <w:rPr>
          <w:sz w:val="14"/>
        </w:rPr>
        <w:t>Journal of the Geological Society, London</w:t>
      </w:r>
      <w:r>
        <w:rPr>
          <w:sz w:val="14"/>
        </w:rPr>
        <w:t xml:space="preserve">, </w:t>
      </w:r>
      <w:r>
        <w:rPr>
          <w:sz w:val="14"/>
        </w:rPr>
        <w:t>164</w:t>
      </w:r>
      <w:r>
        <w:rPr>
          <w:sz w:val="14"/>
        </w:rPr>
        <w:t>, 257–275.</w:t>
      </w:r>
    </w:p>
    <w:p w14:paraId="1E473ED4" w14:textId="77777777" w:rsidR="0061727C" w:rsidRDefault="00B000E1">
      <w:pPr>
        <w:spacing w:after="10" w:line="280" w:lineRule="auto"/>
        <w:ind w:left="333" w:right="0" w:hanging="348"/>
      </w:pPr>
      <w:r>
        <w:rPr>
          <w:sz w:val="14"/>
        </w:rPr>
        <w:t>C</w:t>
      </w:r>
      <w:r>
        <w:rPr>
          <w:sz w:val="14"/>
        </w:rPr>
        <w:t xml:space="preserve">ocks, </w:t>
      </w:r>
      <w:r>
        <w:rPr>
          <w:sz w:val="14"/>
        </w:rPr>
        <w:t>L. &amp; M</w:t>
      </w:r>
      <w:r>
        <w:rPr>
          <w:sz w:val="14"/>
        </w:rPr>
        <w:t xml:space="preserve">odzalevskaya, </w:t>
      </w:r>
      <w:r>
        <w:rPr>
          <w:sz w:val="14"/>
        </w:rPr>
        <w:t>T. 1997. Late Ordovician brachiopod</w:t>
      </w:r>
      <w:r>
        <w:rPr>
          <w:sz w:val="14"/>
        </w:rPr>
        <w:t xml:space="preserve">s from Taimyr, Arctic Russia, and their paleogeographical significance. </w:t>
      </w:r>
      <w:r>
        <w:rPr>
          <w:sz w:val="14"/>
        </w:rPr>
        <w:t>Paleontology</w:t>
      </w:r>
      <w:r>
        <w:rPr>
          <w:sz w:val="14"/>
        </w:rPr>
        <w:t xml:space="preserve">, </w:t>
      </w:r>
      <w:r>
        <w:rPr>
          <w:sz w:val="14"/>
        </w:rPr>
        <w:t>40</w:t>
      </w:r>
      <w:r>
        <w:rPr>
          <w:sz w:val="14"/>
        </w:rPr>
        <w:t>, 1061–1093.</w:t>
      </w:r>
    </w:p>
    <w:p w14:paraId="2E420769" w14:textId="77777777" w:rsidR="0061727C" w:rsidRDefault="00B000E1">
      <w:pPr>
        <w:spacing w:after="10" w:line="280" w:lineRule="auto"/>
        <w:ind w:left="333" w:right="0" w:hanging="348"/>
      </w:pPr>
      <w:r>
        <w:rPr>
          <w:sz w:val="14"/>
        </w:rPr>
        <w:t xml:space="preserve">Dallmeyer, R.D. &amp; Gee, D.G. </w:t>
      </w:r>
      <w:r>
        <w:rPr>
          <w:sz w:val="14"/>
        </w:rPr>
        <w:t xml:space="preserve">1986. </w:t>
      </w:r>
      <w:r>
        <w:rPr>
          <w:sz w:val="14"/>
          <w:vertAlign w:val="superscript"/>
        </w:rPr>
        <w:t>40</w:t>
      </w:r>
      <w:r>
        <w:rPr>
          <w:sz w:val="14"/>
        </w:rPr>
        <w:t>Ar/</w:t>
      </w:r>
      <w:r>
        <w:rPr>
          <w:sz w:val="14"/>
          <w:vertAlign w:val="superscript"/>
        </w:rPr>
        <w:t>39</w:t>
      </w:r>
      <w:r>
        <w:rPr>
          <w:sz w:val="14"/>
        </w:rPr>
        <w:t>Ar mineral dates from retrogressed eclogites within the Baltoscandian miogeocline: implications for a polyphase Ca</w:t>
      </w:r>
      <w:r>
        <w:rPr>
          <w:sz w:val="14"/>
        </w:rPr>
        <w:t xml:space="preserve">ledonian orogenic evolution. </w:t>
      </w:r>
      <w:r>
        <w:rPr>
          <w:sz w:val="14"/>
        </w:rPr>
        <w:t>Geological Society of America Bulletin</w:t>
      </w:r>
      <w:r>
        <w:rPr>
          <w:sz w:val="14"/>
        </w:rPr>
        <w:t xml:space="preserve">, </w:t>
      </w:r>
      <w:r>
        <w:rPr>
          <w:sz w:val="14"/>
        </w:rPr>
        <w:t>97</w:t>
      </w:r>
      <w:r>
        <w:rPr>
          <w:sz w:val="14"/>
        </w:rPr>
        <w:t>, 26–34.</w:t>
      </w:r>
    </w:p>
    <w:p w14:paraId="36230A0E" w14:textId="77777777" w:rsidR="0061727C" w:rsidRDefault="00B000E1">
      <w:pPr>
        <w:spacing w:after="10" w:line="280" w:lineRule="auto"/>
        <w:ind w:left="333" w:right="0" w:hanging="348"/>
      </w:pPr>
      <w:r>
        <w:rPr>
          <w:sz w:val="14"/>
        </w:rPr>
        <w:t>D</w:t>
      </w:r>
      <w:r>
        <w:rPr>
          <w:sz w:val="14"/>
        </w:rPr>
        <w:t xml:space="preserve">odson, </w:t>
      </w:r>
      <w:r>
        <w:rPr>
          <w:sz w:val="14"/>
        </w:rPr>
        <w:t>M., C</w:t>
      </w:r>
      <w:r>
        <w:rPr>
          <w:sz w:val="14"/>
        </w:rPr>
        <w:t xml:space="preserve">ompston, </w:t>
      </w:r>
      <w:r>
        <w:rPr>
          <w:sz w:val="14"/>
        </w:rPr>
        <w:t>W., W</w:t>
      </w:r>
      <w:r>
        <w:rPr>
          <w:sz w:val="14"/>
        </w:rPr>
        <w:t xml:space="preserve">illiams, </w:t>
      </w:r>
      <w:r>
        <w:rPr>
          <w:sz w:val="14"/>
        </w:rPr>
        <w:t>I. &amp; W</w:t>
      </w:r>
      <w:r>
        <w:rPr>
          <w:sz w:val="14"/>
        </w:rPr>
        <w:t xml:space="preserve">ilson, </w:t>
      </w:r>
      <w:r>
        <w:rPr>
          <w:sz w:val="14"/>
        </w:rPr>
        <w:t xml:space="preserve">J. 1988. A search for ancient detrital zircons from Zimbabwean sediments. </w:t>
      </w:r>
      <w:r>
        <w:rPr>
          <w:sz w:val="14"/>
        </w:rPr>
        <w:t>Journal of the Geological Society, London</w:t>
      </w:r>
      <w:r>
        <w:rPr>
          <w:sz w:val="14"/>
        </w:rPr>
        <w:t xml:space="preserve">, </w:t>
      </w:r>
      <w:r>
        <w:rPr>
          <w:sz w:val="14"/>
        </w:rPr>
        <w:t>145</w:t>
      </w:r>
      <w:r>
        <w:rPr>
          <w:sz w:val="14"/>
        </w:rPr>
        <w:t>, 977–9</w:t>
      </w:r>
      <w:r>
        <w:rPr>
          <w:sz w:val="14"/>
        </w:rPr>
        <w:t>83.</w:t>
      </w:r>
    </w:p>
    <w:p w14:paraId="79459CCA" w14:textId="77777777" w:rsidR="0061727C" w:rsidRDefault="00B000E1">
      <w:pPr>
        <w:spacing w:after="10" w:line="280" w:lineRule="auto"/>
        <w:ind w:left="333" w:right="0" w:hanging="348"/>
      </w:pPr>
      <w:r>
        <w:rPr>
          <w:sz w:val="14"/>
        </w:rPr>
        <w:t>F</w:t>
      </w:r>
      <w:r>
        <w:rPr>
          <w:sz w:val="14"/>
        </w:rPr>
        <w:t xml:space="preserve">ortey, </w:t>
      </w:r>
      <w:r>
        <w:rPr>
          <w:sz w:val="14"/>
        </w:rPr>
        <w:t>R.A. &amp; C</w:t>
      </w:r>
      <w:r>
        <w:rPr>
          <w:sz w:val="14"/>
        </w:rPr>
        <w:t xml:space="preserve">ocks, </w:t>
      </w:r>
      <w:r>
        <w:rPr>
          <w:sz w:val="14"/>
        </w:rPr>
        <w:t xml:space="preserve">L.R.M. 2003. Paleontological evidence bearing on global Ordovician–Silurian continental reconstructions. </w:t>
      </w:r>
      <w:r>
        <w:rPr>
          <w:sz w:val="14"/>
        </w:rPr>
        <w:t>Earth-Science Reviews</w:t>
      </w:r>
      <w:r>
        <w:rPr>
          <w:sz w:val="14"/>
        </w:rPr>
        <w:t xml:space="preserve">, </w:t>
      </w:r>
      <w:r>
        <w:rPr>
          <w:sz w:val="14"/>
        </w:rPr>
        <w:t>61</w:t>
      </w:r>
      <w:r>
        <w:rPr>
          <w:sz w:val="14"/>
        </w:rPr>
        <w:t>, 245–307.</w:t>
      </w:r>
    </w:p>
    <w:p w14:paraId="7E9CEC30" w14:textId="77777777" w:rsidR="0061727C" w:rsidRDefault="00B000E1">
      <w:pPr>
        <w:spacing w:after="10" w:line="280" w:lineRule="auto"/>
        <w:ind w:left="333" w:right="0" w:hanging="348"/>
      </w:pPr>
      <w:r>
        <w:rPr>
          <w:sz w:val="14"/>
        </w:rPr>
        <w:t>G</w:t>
      </w:r>
      <w:r>
        <w:rPr>
          <w:sz w:val="14"/>
        </w:rPr>
        <w:t xml:space="preserve">ee, </w:t>
      </w:r>
      <w:r>
        <w:rPr>
          <w:sz w:val="14"/>
        </w:rPr>
        <w:t>D.G. &amp; P</w:t>
      </w:r>
      <w:r>
        <w:rPr>
          <w:sz w:val="14"/>
        </w:rPr>
        <w:t xml:space="preserve">ease, </w:t>
      </w:r>
      <w:r>
        <w:rPr>
          <w:sz w:val="14"/>
        </w:rPr>
        <w:t xml:space="preserve">V. (eds) 2004. </w:t>
      </w:r>
      <w:r>
        <w:rPr>
          <w:sz w:val="14"/>
        </w:rPr>
        <w:t>The Neoproterozoic Timanide Orogen of Eastern Baltica</w:t>
      </w:r>
      <w:r>
        <w:rPr>
          <w:sz w:val="14"/>
        </w:rPr>
        <w:t xml:space="preserve">. Geological Society, London, Memoirs, </w:t>
      </w:r>
      <w:r>
        <w:rPr>
          <w:sz w:val="14"/>
        </w:rPr>
        <w:t>30</w:t>
      </w:r>
      <w:r>
        <w:rPr>
          <w:sz w:val="14"/>
        </w:rPr>
        <w:t>.</w:t>
      </w:r>
    </w:p>
    <w:p w14:paraId="651DE28C" w14:textId="77777777" w:rsidR="0061727C" w:rsidRDefault="00B000E1">
      <w:pPr>
        <w:spacing w:after="10" w:line="280" w:lineRule="auto"/>
        <w:ind w:left="333" w:right="0" w:hanging="348"/>
      </w:pPr>
      <w:r>
        <w:rPr>
          <w:sz w:val="14"/>
        </w:rPr>
        <w:t>G</w:t>
      </w:r>
      <w:r>
        <w:rPr>
          <w:sz w:val="14"/>
        </w:rPr>
        <w:t xml:space="preserve">ee, </w:t>
      </w:r>
      <w:r>
        <w:rPr>
          <w:sz w:val="14"/>
        </w:rPr>
        <w:t>D.G., B</w:t>
      </w:r>
      <w:r>
        <w:rPr>
          <w:sz w:val="14"/>
        </w:rPr>
        <w:t xml:space="preserve">eliakova, </w:t>
      </w:r>
      <w:r>
        <w:rPr>
          <w:sz w:val="14"/>
        </w:rPr>
        <w:t>L., P</w:t>
      </w:r>
      <w:r>
        <w:rPr>
          <w:sz w:val="14"/>
        </w:rPr>
        <w:t xml:space="preserve">ease, </w:t>
      </w:r>
      <w:r>
        <w:rPr>
          <w:sz w:val="14"/>
        </w:rPr>
        <w:t>V., L</w:t>
      </w:r>
      <w:r>
        <w:rPr>
          <w:sz w:val="14"/>
        </w:rPr>
        <w:t xml:space="preserve">arinov, </w:t>
      </w:r>
      <w:r>
        <w:rPr>
          <w:sz w:val="14"/>
        </w:rPr>
        <w:t>A. &amp; D</w:t>
      </w:r>
      <w:r>
        <w:rPr>
          <w:sz w:val="14"/>
        </w:rPr>
        <w:t xml:space="preserve">ovzikova, </w:t>
      </w:r>
      <w:r>
        <w:rPr>
          <w:sz w:val="14"/>
        </w:rPr>
        <w:t xml:space="preserve">E. 2000. New, single zircon (Pb-evaporation) ages from Vendian intrusions in the basement beneath </w:t>
      </w:r>
      <w:r>
        <w:rPr>
          <w:sz w:val="14"/>
        </w:rPr>
        <w:t xml:space="preserve">the Pechora Basin, northeastern Baltica. </w:t>
      </w:r>
      <w:r>
        <w:rPr>
          <w:sz w:val="14"/>
        </w:rPr>
        <w:t>Polarforschung</w:t>
      </w:r>
      <w:r>
        <w:rPr>
          <w:sz w:val="14"/>
        </w:rPr>
        <w:t xml:space="preserve">, </w:t>
      </w:r>
      <w:r>
        <w:rPr>
          <w:sz w:val="14"/>
        </w:rPr>
        <w:t>68</w:t>
      </w:r>
      <w:r>
        <w:rPr>
          <w:sz w:val="14"/>
        </w:rPr>
        <w:t>, 161–170.</w:t>
      </w:r>
    </w:p>
    <w:p w14:paraId="46891177" w14:textId="77777777" w:rsidR="0061727C" w:rsidRDefault="00B000E1">
      <w:pPr>
        <w:spacing w:after="10" w:line="280" w:lineRule="auto"/>
        <w:ind w:left="333" w:right="0" w:hanging="348"/>
      </w:pPr>
      <w:r>
        <w:rPr>
          <w:sz w:val="14"/>
        </w:rPr>
        <w:t xml:space="preserve">Glodny, J., Pease, V., Montero, P., Austrheim, H. &amp; Rusin, A.I. </w:t>
      </w:r>
      <w:r>
        <w:rPr>
          <w:sz w:val="14"/>
        </w:rPr>
        <w:t>2004. Protolith ages of eclogites, Marun-Keu Complex, Polar Urals, Russia: implications for the pre- and early Uralian evo</w:t>
      </w:r>
      <w:r>
        <w:rPr>
          <w:sz w:val="14"/>
        </w:rPr>
        <w:t>lution of the northeastern</w:t>
      </w:r>
    </w:p>
    <w:p w14:paraId="136FDEB2" w14:textId="77777777" w:rsidR="0061727C" w:rsidRDefault="00B000E1">
      <w:pPr>
        <w:spacing w:after="10" w:line="280" w:lineRule="auto"/>
        <w:ind w:left="338" w:right="0" w:firstLine="0"/>
      </w:pPr>
      <w:r>
        <w:rPr>
          <w:sz w:val="14"/>
        </w:rPr>
        <w:t xml:space="preserve">European continental margin. </w:t>
      </w:r>
      <w:r>
        <w:rPr>
          <w:sz w:val="14"/>
        </w:rPr>
        <w:t xml:space="preserve">In: </w:t>
      </w:r>
      <w:r>
        <w:rPr>
          <w:sz w:val="14"/>
        </w:rPr>
        <w:t>G</w:t>
      </w:r>
      <w:r>
        <w:rPr>
          <w:sz w:val="14"/>
        </w:rPr>
        <w:t xml:space="preserve">ee, </w:t>
      </w:r>
      <w:r>
        <w:rPr>
          <w:sz w:val="14"/>
        </w:rPr>
        <w:t>D.G. &amp; P</w:t>
      </w:r>
      <w:r>
        <w:rPr>
          <w:sz w:val="14"/>
        </w:rPr>
        <w:t xml:space="preserve">ease, </w:t>
      </w:r>
      <w:r>
        <w:rPr>
          <w:sz w:val="14"/>
        </w:rPr>
        <w:t xml:space="preserve">V. (eds) </w:t>
      </w:r>
      <w:r>
        <w:rPr>
          <w:sz w:val="14"/>
        </w:rPr>
        <w:t>The Neoproterozoic Timanide Orogen of Eastern Baltica</w:t>
      </w:r>
      <w:r>
        <w:rPr>
          <w:sz w:val="14"/>
        </w:rPr>
        <w:t xml:space="preserve">. Geological Society, London, Memoirs, </w:t>
      </w:r>
      <w:r>
        <w:rPr>
          <w:sz w:val="14"/>
        </w:rPr>
        <w:t>30</w:t>
      </w:r>
      <w:r>
        <w:rPr>
          <w:sz w:val="14"/>
        </w:rPr>
        <w:t>, 87–105.</w:t>
      </w:r>
    </w:p>
    <w:p w14:paraId="45BF0BAF" w14:textId="77777777" w:rsidR="0061727C" w:rsidRDefault="00B000E1">
      <w:pPr>
        <w:spacing w:after="14" w:line="259" w:lineRule="auto"/>
        <w:ind w:left="0" w:right="0" w:firstLine="0"/>
        <w:jc w:val="left"/>
      </w:pPr>
      <w:r>
        <w:rPr>
          <w:sz w:val="14"/>
        </w:rPr>
        <w:t xml:space="preserve">Gradstein, F., Ogg, J. &amp; Smith, A. </w:t>
      </w:r>
      <w:r>
        <w:rPr>
          <w:sz w:val="14"/>
        </w:rPr>
        <w:t>2004</w:t>
      </w:r>
      <w:r>
        <w:rPr>
          <w:sz w:val="14"/>
        </w:rPr>
        <w:t>. A Geologic Time Scale 2</w:t>
      </w:r>
      <w:r>
        <w:rPr>
          <w:sz w:val="14"/>
        </w:rPr>
        <w:t>004</w:t>
      </w:r>
      <w:r>
        <w:rPr>
          <w:sz w:val="14"/>
        </w:rPr>
        <w:t>.</w:t>
      </w:r>
    </w:p>
    <w:p w14:paraId="4D301B2E" w14:textId="77777777" w:rsidR="0061727C" w:rsidRDefault="00B000E1">
      <w:pPr>
        <w:spacing w:after="10" w:line="280" w:lineRule="auto"/>
        <w:ind w:left="338" w:right="0" w:firstLine="0"/>
      </w:pPr>
      <w:r>
        <w:rPr>
          <w:sz w:val="14"/>
        </w:rPr>
        <w:t>Cambridge University Press, Cambridge.</w:t>
      </w:r>
    </w:p>
    <w:p w14:paraId="498F8F0C" w14:textId="77777777" w:rsidR="0061727C" w:rsidRDefault="00B000E1">
      <w:pPr>
        <w:spacing w:after="10" w:line="280" w:lineRule="auto"/>
        <w:ind w:left="333" w:right="0" w:hanging="348"/>
      </w:pPr>
      <w:r>
        <w:rPr>
          <w:sz w:val="14"/>
        </w:rPr>
        <w:t>H</w:t>
      </w:r>
      <w:r>
        <w:rPr>
          <w:sz w:val="14"/>
        </w:rPr>
        <w:t xml:space="preserve">amilton, </w:t>
      </w:r>
      <w:r>
        <w:rPr>
          <w:sz w:val="14"/>
        </w:rPr>
        <w:t xml:space="preserve">W. 1970. The Uralides and the motion of the Russian and Siberian platforms. </w:t>
      </w:r>
      <w:r>
        <w:rPr>
          <w:sz w:val="14"/>
        </w:rPr>
        <w:t>Geological Society of America Bulletin</w:t>
      </w:r>
      <w:r>
        <w:rPr>
          <w:sz w:val="14"/>
        </w:rPr>
        <w:t xml:space="preserve">, </w:t>
      </w:r>
      <w:r>
        <w:rPr>
          <w:sz w:val="14"/>
        </w:rPr>
        <w:t>81</w:t>
      </w:r>
      <w:r>
        <w:rPr>
          <w:sz w:val="14"/>
        </w:rPr>
        <w:t>, 2553–2576.</w:t>
      </w:r>
    </w:p>
    <w:p w14:paraId="236FA94F" w14:textId="77777777" w:rsidR="0061727C" w:rsidRDefault="00B000E1">
      <w:pPr>
        <w:spacing w:after="10" w:line="280" w:lineRule="auto"/>
        <w:ind w:left="333" w:right="0" w:hanging="348"/>
      </w:pPr>
      <w:r>
        <w:rPr>
          <w:sz w:val="14"/>
        </w:rPr>
        <w:t>I</w:t>
      </w:r>
      <w:r>
        <w:rPr>
          <w:sz w:val="14"/>
        </w:rPr>
        <w:t xml:space="preserve">nger, </w:t>
      </w:r>
      <w:r>
        <w:rPr>
          <w:sz w:val="14"/>
        </w:rPr>
        <w:t>S., S</w:t>
      </w:r>
      <w:r>
        <w:rPr>
          <w:sz w:val="14"/>
        </w:rPr>
        <w:t xml:space="preserve">cott, </w:t>
      </w:r>
      <w:r>
        <w:rPr>
          <w:sz w:val="14"/>
        </w:rPr>
        <w:t>R.A. &amp; G</w:t>
      </w:r>
      <w:r>
        <w:rPr>
          <w:sz w:val="14"/>
        </w:rPr>
        <w:t xml:space="preserve">olionko, </w:t>
      </w:r>
      <w:r>
        <w:rPr>
          <w:sz w:val="14"/>
        </w:rPr>
        <w:t>B. 1999. Tectonic evolution of the T</w:t>
      </w:r>
      <w:r>
        <w:rPr>
          <w:sz w:val="14"/>
        </w:rPr>
        <w:t xml:space="preserve">aimyr Peninsula, northern Russia: Implications for Arctic continental assembly. </w:t>
      </w:r>
      <w:r>
        <w:rPr>
          <w:sz w:val="14"/>
        </w:rPr>
        <w:t>Journal of the Geological Society, London</w:t>
      </w:r>
      <w:r>
        <w:rPr>
          <w:sz w:val="14"/>
        </w:rPr>
        <w:t xml:space="preserve">, </w:t>
      </w:r>
      <w:r>
        <w:rPr>
          <w:sz w:val="14"/>
        </w:rPr>
        <w:t>156</w:t>
      </w:r>
      <w:r>
        <w:rPr>
          <w:sz w:val="14"/>
        </w:rPr>
        <w:t>, 1069–1072.</w:t>
      </w:r>
    </w:p>
    <w:p w14:paraId="0DBF0F66" w14:textId="77777777" w:rsidR="0061727C" w:rsidRDefault="00B000E1">
      <w:pPr>
        <w:spacing w:after="10" w:line="280" w:lineRule="auto"/>
        <w:ind w:left="333" w:right="0" w:hanging="348"/>
      </w:pPr>
      <w:r>
        <w:rPr>
          <w:sz w:val="14"/>
        </w:rPr>
        <w:t xml:space="preserve">Kirkland, C.L., Daly, J.S. &amp; Whitehouse, M.J. </w:t>
      </w:r>
      <w:r>
        <w:rPr>
          <w:sz w:val="14"/>
        </w:rPr>
        <w:t xml:space="preserve">2006. Granitic magmatism of Grenvillian and late Neoproterozoic age in </w:t>
      </w:r>
      <w:r>
        <w:rPr>
          <w:sz w:val="14"/>
        </w:rPr>
        <w:t xml:space="preserve">Finnmark, Arctic Norway— constraining pre-Scandian deformation in the Kalak Nappe Complex. </w:t>
      </w:r>
      <w:r>
        <w:rPr>
          <w:sz w:val="14"/>
        </w:rPr>
        <w:t>Precambrian Research</w:t>
      </w:r>
      <w:r>
        <w:rPr>
          <w:sz w:val="14"/>
        </w:rPr>
        <w:t xml:space="preserve">, </w:t>
      </w:r>
      <w:r>
        <w:rPr>
          <w:sz w:val="14"/>
        </w:rPr>
        <w:t>145</w:t>
      </w:r>
      <w:r>
        <w:rPr>
          <w:sz w:val="14"/>
        </w:rPr>
        <w:t>, 24–52.</w:t>
      </w:r>
    </w:p>
    <w:p w14:paraId="75BE6B68" w14:textId="77777777" w:rsidR="0061727C" w:rsidRDefault="00B000E1">
      <w:pPr>
        <w:spacing w:after="20" w:line="263" w:lineRule="auto"/>
        <w:ind w:left="333" w:right="0" w:hanging="348"/>
        <w:jc w:val="left"/>
      </w:pPr>
      <w:r>
        <w:rPr>
          <w:sz w:val="14"/>
        </w:rPr>
        <w:t>K</w:t>
      </w:r>
      <w:r>
        <w:rPr>
          <w:sz w:val="14"/>
        </w:rPr>
        <w:t xml:space="preserve">orago, </w:t>
      </w:r>
      <w:r>
        <w:rPr>
          <w:sz w:val="14"/>
        </w:rPr>
        <w:t>E.A., K</w:t>
      </w:r>
      <w:r>
        <w:rPr>
          <w:sz w:val="14"/>
        </w:rPr>
        <w:t xml:space="preserve">ovaleva, </w:t>
      </w:r>
      <w:r>
        <w:rPr>
          <w:sz w:val="14"/>
        </w:rPr>
        <w:t>G.N., I</w:t>
      </w:r>
      <w:r>
        <w:rPr>
          <w:sz w:val="14"/>
        </w:rPr>
        <w:t xml:space="preserve">l’in, </w:t>
      </w:r>
      <w:r>
        <w:rPr>
          <w:sz w:val="14"/>
        </w:rPr>
        <w:t>V.F. &amp; P</w:t>
      </w:r>
      <w:r>
        <w:rPr>
          <w:sz w:val="14"/>
        </w:rPr>
        <w:t xml:space="preserve">avlov, </w:t>
      </w:r>
      <w:r>
        <w:rPr>
          <w:sz w:val="14"/>
        </w:rPr>
        <w:t xml:space="preserve">L.G. 1992. </w:t>
      </w:r>
      <w:r>
        <w:rPr>
          <w:sz w:val="14"/>
        </w:rPr>
        <w:t>The tectonics and metallogeny of the early Kimmerides of Novaya Zeml</w:t>
      </w:r>
      <w:r>
        <w:rPr>
          <w:sz w:val="14"/>
        </w:rPr>
        <w:t>ya</w:t>
      </w:r>
      <w:r>
        <w:rPr>
          <w:sz w:val="14"/>
        </w:rPr>
        <w:t>. Nedra,</w:t>
      </w:r>
    </w:p>
    <w:p w14:paraId="252B6D31" w14:textId="77777777" w:rsidR="0061727C" w:rsidRDefault="00B000E1">
      <w:pPr>
        <w:spacing w:after="10" w:line="280" w:lineRule="auto"/>
        <w:ind w:left="338" w:right="0" w:firstLine="0"/>
      </w:pPr>
      <w:r>
        <w:rPr>
          <w:sz w:val="14"/>
        </w:rPr>
        <w:t>Leningrad.</w:t>
      </w:r>
    </w:p>
    <w:p w14:paraId="0E08C6BF" w14:textId="77777777" w:rsidR="0061727C" w:rsidRDefault="00B000E1">
      <w:pPr>
        <w:spacing w:after="10" w:line="280" w:lineRule="auto"/>
        <w:ind w:left="333" w:right="0" w:hanging="348"/>
      </w:pPr>
      <w:r>
        <w:rPr>
          <w:sz w:val="14"/>
        </w:rPr>
        <w:t>K</w:t>
      </w:r>
      <w:r>
        <w:rPr>
          <w:sz w:val="14"/>
        </w:rPr>
        <w:t xml:space="preserve">orago, </w:t>
      </w:r>
      <w:r>
        <w:rPr>
          <w:sz w:val="14"/>
        </w:rPr>
        <w:t>E.A., K</w:t>
      </w:r>
      <w:r>
        <w:rPr>
          <w:sz w:val="14"/>
        </w:rPr>
        <w:t xml:space="preserve">ovaleva, </w:t>
      </w:r>
      <w:r>
        <w:rPr>
          <w:sz w:val="14"/>
        </w:rPr>
        <w:t>G.N., L</w:t>
      </w:r>
      <w:r>
        <w:rPr>
          <w:sz w:val="14"/>
        </w:rPr>
        <w:t xml:space="preserve">opatin, </w:t>
      </w:r>
      <w:r>
        <w:rPr>
          <w:sz w:val="14"/>
        </w:rPr>
        <w:t>B.G. &amp; O</w:t>
      </w:r>
      <w:r>
        <w:rPr>
          <w:sz w:val="14"/>
        </w:rPr>
        <w:t xml:space="preserve">rgo, </w:t>
      </w:r>
      <w:r>
        <w:rPr>
          <w:sz w:val="14"/>
        </w:rPr>
        <w:t xml:space="preserve">V.V. 2004. The Precambrian rocks of Novaya Zemlya. </w:t>
      </w:r>
      <w:r>
        <w:rPr>
          <w:sz w:val="14"/>
        </w:rPr>
        <w:t xml:space="preserve">In: Gee, </w:t>
      </w:r>
      <w:r>
        <w:rPr>
          <w:sz w:val="14"/>
        </w:rPr>
        <w:t xml:space="preserve">D.G. &amp; </w:t>
      </w:r>
      <w:r>
        <w:rPr>
          <w:sz w:val="14"/>
        </w:rPr>
        <w:t xml:space="preserve">Pease, </w:t>
      </w:r>
      <w:r>
        <w:rPr>
          <w:sz w:val="14"/>
        </w:rPr>
        <w:t xml:space="preserve">V.L. (eds) </w:t>
      </w:r>
      <w:r>
        <w:rPr>
          <w:sz w:val="14"/>
        </w:rPr>
        <w:t>The Neoproterozoic Timanide Orogen of Eastern Baltica</w:t>
      </w:r>
      <w:r>
        <w:rPr>
          <w:sz w:val="14"/>
        </w:rPr>
        <w:t xml:space="preserve">. Geological Society, London, Memoirs, </w:t>
      </w:r>
      <w:r>
        <w:rPr>
          <w:sz w:val="14"/>
        </w:rPr>
        <w:t>30</w:t>
      </w:r>
      <w:r>
        <w:rPr>
          <w:sz w:val="14"/>
        </w:rPr>
        <w:t>, 135–143.</w:t>
      </w:r>
    </w:p>
    <w:p w14:paraId="01BD4DFB" w14:textId="77777777" w:rsidR="0061727C" w:rsidRDefault="00B000E1">
      <w:pPr>
        <w:spacing w:after="10" w:line="280" w:lineRule="auto"/>
        <w:ind w:left="333" w:right="0" w:hanging="348"/>
      </w:pPr>
      <w:r>
        <w:rPr>
          <w:sz w:val="14"/>
        </w:rPr>
        <w:t>K</w:t>
      </w:r>
      <w:r>
        <w:rPr>
          <w:sz w:val="14"/>
        </w:rPr>
        <w:t xml:space="preserve">ovaleva, </w:t>
      </w:r>
      <w:r>
        <w:rPr>
          <w:sz w:val="14"/>
        </w:rPr>
        <w:t>G.N., K</w:t>
      </w:r>
      <w:r>
        <w:rPr>
          <w:sz w:val="14"/>
        </w:rPr>
        <w:t xml:space="preserve">orago, </w:t>
      </w:r>
      <w:r>
        <w:rPr>
          <w:sz w:val="14"/>
        </w:rPr>
        <w:t>E.A. &amp; S</w:t>
      </w:r>
      <w:r>
        <w:rPr>
          <w:sz w:val="14"/>
        </w:rPr>
        <w:t xml:space="preserve">mirnova, </w:t>
      </w:r>
      <w:r>
        <w:rPr>
          <w:sz w:val="14"/>
        </w:rPr>
        <w:t xml:space="preserve">L.N. 1984. Stratigraphy and tectonic position of the oldest deposits of the South Island of Novaya Zemlya. </w:t>
      </w:r>
      <w:r>
        <w:rPr>
          <w:sz w:val="14"/>
        </w:rPr>
        <w:t>Byu</w:t>
      </w:r>
      <w:r>
        <w:rPr>
          <w:sz w:val="14"/>
        </w:rPr>
        <w:t>lleten’ Moskovskogo Obshchestva Ispytateley Prirody, Otdel Geologicheskiy</w:t>
      </w:r>
      <w:r>
        <w:rPr>
          <w:sz w:val="14"/>
        </w:rPr>
        <w:t xml:space="preserve">, </w:t>
      </w:r>
      <w:r>
        <w:rPr>
          <w:sz w:val="14"/>
        </w:rPr>
        <w:t>59</w:t>
      </w:r>
      <w:r>
        <w:rPr>
          <w:sz w:val="14"/>
        </w:rPr>
        <w:t>, 80–88.</w:t>
      </w:r>
    </w:p>
    <w:p w14:paraId="56653953" w14:textId="77777777" w:rsidR="0061727C" w:rsidRDefault="00B000E1">
      <w:pPr>
        <w:spacing w:after="10" w:line="280" w:lineRule="auto"/>
        <w:ind w:left="333" w:right="0" w:hanging="348"/>
      </w:pPr>
      <w:r>
        <w:rPr>
          <w:sz w:val="14"/>
        </w:rPr>
        <w:t xml:space="preserve">Larionova, Z.V., Bogatsky, V.I., Dovzhikova, E.G., et al. </w:t>
      </w:r>
      <w:r>
        <w:rPr>
          <w:sz w:val="14"/>
        </w:rPr>
        <w:t xml:space="preserve">2002. The Timan– Pechora sedimentary basin (explanatory note). </w:t>
      </w:r>
      <w:r>
        <w:rPr>
          <w:sz w:val="14"/>
        </w:rPr>
        <w:t>In: Timan–Pechora Sedimentary Basin. Atlas of Geological Maps, 2000</w:t>
      </w:r>
      <w:r>
        <w:rPr>
          <w:sz w:val="14"/>
        </w:rPr>
        <w:t>. Ministry of Natural Resources of Komi Republic, Ukhta.</w:t>
      </w:r>
    </w:p>
    <w:p w14:paraId="04550644" w14:textId="77777777" w:rsidR="0061727C" w:rsidRDefault="00B000E1">
      <w:pPr>
        <w:spacing w:after="10" w:line="280" w:lineRule="auto"/>
        <w:ind w:left="333" w:right="0" w:hanging="348"/>
      </w:pPr>
      <w:r>
        <w:rPr>
          <w:sz w:val="14"/>
        </w:rPr>
        <w:t>L</w:t>
      </w:r>
      <w:r>
        <w:rPr>
          <w:sz w:val="14"/>
        </w:rPr>
        <w:t xml:space="preserve">orenz, </w:t>
      </w:r>
      <w:r>
        <w:rPr>
          <w:sz w:val="14"/>
        </w:rPr>
        <w:t xml:space="preserve">H., </w:t>
      </w:r>
      <w:r>
        <w:rPr>
          <w:sz w:val="14"/>
        </w:rPr>
        <w:t xml:space="preserve">Gee, </w:t>
      </w:r>
      <w:r>
        <w:rPr>
          <w:sz w:val="14"/>
        </w:rPr>
        <w:t>D. &amp; W</w:t>
      </w:r>
      <w:r>
        <w:rPr>
          <w:sz w:val="14"/>
        </w:rPr>
        <w:t xml:space="preserve">hitehouse, </w:t>
      </w:r>
      <w:r>
        <w:rPr>
          <w:sz w:val="14"/>
        </w:rPr>
        <w:t xml:space="preserve">M. 2007. New geochronological data </w:t>
      </w:r>
      <w:r>
        <w:rPr>
          <w:sz w:val="14"/>
        </w:rPr>
        <w:t xml:space="preserve">on Palaeozoic igneous activity and deformation in the Severnaya Zemlya Archipelago, Russia, and implications for the development of the Eurasian Arctic margin. </w:t>
      </w:r>
      <w:r>
        <w:rPr>
          <w:sz w:val="14"/>
        </w:rPr>
        <w:t>Geological Magazine</w:t>
      </w:r>
      <w:r>
        <w:rPr>
          <w:sz w:val="14"/>
        </w:rPr>
        <w:t xml:space="preserve">, </w:t>
      </w:r>
      <w:r>
        <w:rPr>
          <w:sz w:val="14"/>
        </w:rPr>
        <w:t>144</w:t>
      </w:r>
      <w:r>
        <w:rPr>
          <w:sz w:val="14"/>
        </w:rPr>
        <w:t>, 105–125.</w:t>
      </w:r>
    </w:p>
    <w:p w14:paraId="4CDE1267" w14:textId="77777777" w:rsidR="0061727C" w:rsidRDefault="00B000E1">
      <w:pPr>
        <w:spacing w:after="10" w:line="280" w:lineRule="auto"/>
        <w:ind w:left="333" w:right="0" w:hanging="348"/>
      </w:pPr>
      <w:r>
        <w:rPr>
          <w:sz w:val="14"/>
        </w:rPr>
        <w:t>L</w:t>
      </w:r>
      <w:r>
        <w:rPr>
          <w:sz w:val="14"/>
        </w:rPr>
        <w:t xml:space="preserve">orenz, </w:t>
      </w:r>
      <w:r>
        <w:rPr>
          <w:sz w:val="14"/>
        </w:rPr>
        <w:t>H., M</w:t>
      </w:r>
      <w:r>
        <w:rPr>
          <w:sz w:val="14"/>
        </w:rPr>
        <w:t>a</w:t>
      </w:r>
      <w:r>
        <w:rPr>
          <w:sz w:val="21"/>
          <w:vertAlign w:val="superscript"/>
        </w:rPr>
        <w:t>¨</w:t>
      </w:r>
      <w:r>
        <w:rPr>
          <w:sz w:val="14"/>
        </w:rPr>
        <w:t xml:space="preserve">nnik, </w:t>
      </w:r>
      <w:r>
        <w:rPr>
          <w:sz w:val="14"/>
        </w:rPr>
        <w:t>P., G</w:t>
      </w:r>
      <w:r>
        <w:rPr>
          <w:sz w:val="14"/>
        </w:rPr>
        <w:t xml:space="preserve">ee, </w:t>
      </w:r>
      <w:r>
        <w:rPr>
          <w:sz w:val="14"/>
        </w:rPr>
        <w:t>D. &amp; P</w:t>
      </w:r>
      <w:r>
        <w:rPr>
          <w:sz w:val="14"/>
        </w:rPr>
        <w:t xml:space="preserve">roskurnin, </w:t>
      </w:r>
      <w:r>
        <w:rPr>
          <w:sz w:val="14"/>
        </w:rPr>
        <w:t>V. 2008. Geolo</w:t>
      </w:r>
      <w:r>
        <w:rPr>
          <w:sz w:val="14"/>
        </w:rPr>
        <w:t xml:space="preserve">gy of the Severnaya Zemlya Archipelago and the North Kara Terrane in the Russian high Arctic. </w:t>
      </w:r>
      <w:r>
        <w:rPr>
          <w:sz w:val="14"/>
        </w:rPr>
        <w:t>International Journal of Earth Sciences</w:t>
      </w:r>
      <w:r>
        <w:rPr>
          <w:sz w:val="14"/>
        </w:rPr>
        <w:t xml:space="preserve">, </w:t>
      </w:r>
      <w:r>
        <w:rPr>
          <w:sz w:val="14"/>
        </w:rPr>
        <w:t>97</w:t>
      </w:r>
      <w:r>
        <w:rPr>
          <w:sz w:val="14"/>
        </w:rPr>
        <w:t>, 519–547.</w:t>
      </w:r>
    </w:p>
    <w:p w14:paraId="7E74DFFE" w14:textId="77777777" w:rsidR="0061727C" w:rsidRDefault="00B000E1">
      <w:pPr>
        <w:spacing w:after="10" w:line="280" w:lineRule="auto"/>
        <w:ind w:left="333" w:right="0" w:hanging="348"/>
      </w:pPr>
      <w:r>
        <w:rPr>
          <w:sz w:val="14"/>
        </w:rPr>
        <w:t>L</w:t>
      </w:r>
      <w:r>
        <w:rPr>
          <w:sz w:val="14"/>
        </w:rPr>
        <w:t xml:space="preserve">udwig, </w:t>
      </w:r>
      <w:r>
        <w:rPr>
          <w:sz w:val="14"/>
        </w:rPr>
        <w:t xml:space="preserve">K. 1998. On the treatment of concordant uranium–lead ages. </w:t>
      </w:r>
      <w:r>
        <w:rPr>
          <w:sz w:val="14"/>
        </w:rPr>
        <w:t>Geochimica et Cosmochimica Acta</w:t>
      </w:r>
      <w:r>
        <w:rPr>
          <w:sz w:val="14"/>
        </w:rPr>
        <w:t xml:space="preserve">, </w:t>
      </w:r>
      <w:r>
        <w:rPr>
          <w:sz w:val="14"/>
        </w:rPr>
        <w:t>62</w:t>
      </w:r>
      <w:r>
        <w:rPr>
          <w:sz w:val="14"/>
        </w:rPr>
        <w:t>, 665–</w:t>
      </w:r>
      <w:r>
        <w:rPr>
          <w:sz w:val="14"/>
        </w:rPr>
        <w:t>676.</w:t>
      </w:r>
    </w:p>
    <w:p w14:paraId="64C206A9" w14:textId="77777777" w:rsidR="0061727C" w:rsidRDefault="00B000E1">
      <w:pPr>
        <w:spacing w:after="20" w:line="263" w:lineRule="auto"/>
        <w:ind w:left="333" w:right="0" w:hanging="348"/>
        <w:jc w:val="left"/>
      </w:pPr>
      <w:r>
        <w:rPr>
          <w:sz w:val="14"/>
        </w:rPr>
        <w:t>L</w:t>
      </w:r>
      <w:r>
        <w:rPr>
          <w:sz w:val="14"/>
        </w:rPr>
        <w:t xml:space="preserve">udwig, </w:t>
      </w:r>
      <w:r>
        <w:rPr>
          <w:sz w:val="14"/>
        </w:rPr>
        <w:t xml:space="preserve">K. 2004. </w:t>
      </w:r>
      <w:r>
        <w:rPr>
          <w:sz w:val="14"/>
        </w:rPr>
        <w:t xml:space="preserve">Isoplot/Ex version 3.2: </w:t>
      </w:r>
      <w:proofErr w:type="gramStart"/>
      <w:r>
        <w:rPr>
          <w:sz w:val="14"/>
        </w:rPr>
        <w:t>a</w:t>
      </w:r>
      <w:proofErr w:type="gramEnd"/>
      <w:r>
        <w:rPr>
          <w:sz w:val="14"/>
        </w:rPr>
        <w:t xml:space="preserve"> Geochronological Toolkit for Microsoft Excel</w:t>
      </w:r>
      <w:r>
        <w:rPr>
          <w:sz w:val="14"/>
        </w:rPr>
        <w:t>. Berkeley Geochronology Center Special Publications.</w:t>
      </w:r>
    </w:p>
    <w:p w14:paraId="0286771C" w14:textId="77777777" w:rsidR="0061727C" w:rsidRDefault="00B000E1">
      <w:pPr>
        <w:spacing w:after="10" w:line="280" w:lineRule="auto"/>
        <w:ind w:left="333" w:right="0" w:hanging="348"/>
      </w:pPr>
      <w:r>
        <w:rPr>
          <w:sz w:val="14"/>
        </w:rPr>
        <w:t xml:space="preserve">Metelkin, D.V., Vernikovsky, V.A., Kazansky, A.Yu., Bogolepova, O.K. &amp; Gubanov, A.P. </w:t>
      </w:r>
      <w:r>
        <w:rPr>
          <w:sz w:val="14"/>
        </w:rPr>
        <w:t>2005. Paleozoic history o</w:t>
      </w:r>
      <w:r>
        <w:rPr>
          <w:sz w:val="14"/>
        </w:rPr>
        <w:t xml:space="preserve">f the Kara microcontinent and its relation to Siberia and Baltica: paleomagnetism, </w:t>
      </w:r>
      <w:proofErr w:type="gramStart"/>
      <w:r>
        <w:rPr>
          <w:sz w:val="14"/>
        </w:rPr>
        <w:t>paleogeography</w:t>
      </w:r>
      <w:proofErr w:type="gramEnd"/>
      <w:r>
        <w:rPr>
          <w:sz w:val="14"/>
        </w:rPr>
        <w:t xml:space="preserve"> and tectonics. </w:t>
      </w:r>
      <w:r>
        <w:rPr>
          <w:sz w:val="14"/>
        </w:rPr>
        <w:t>Tectonophysics</w:t>
      </w:r>
      <w:r>
        <w:rPr>
          <w:sz w:val="14"/>
        </w:rPr>
        <w:t xml:space="preserve">, </w:t>
      </w:r>
      <w:r>
        <w:rPr>
          <w:sz w:val="14"/>
        </w:rPr>
        <w:t>398</w:t>
      </w:r>
      <w:r>
        <w:rPr>
          <w:sz w:val="14"/>
        </w:rPr>
        <w:t>, 225–243.</w:t>
      </w:r>
    </w:p>
    <w:p w14:paraId="7B942E5B" w14:textId="77777777" w:rsidR="0061727C" w:rsidRDefault="00B000E1">
      <w:pPr>
        <w:spacing w:after="10" w:line="280" w:lineRule="auto"/>
        <w:ind w:left="-15" w:right="0" w:firstLine="0"/>
      </w:pPr>
      <w:r>
        <w:rPr>
          <w:sz w:val="14"/>
        </w:rPr>
        <w:t>O</w:t>
      </w:r>
      <w:r>
        <w:rPr>
          <w:sz w:val="14"/>
        </w:rPr>
        <w:t xml:space="preserve">tto, </w:t>
      </w:r>
      <w:r>
        <w:rPr>
          <w:sz w:val="14"/>
        </w:rPr>
        <w:t>S. &amp; B</w:t>
      </w:r>
      <w:r>
        <w:rPr>
          <w:sz w:val="14"/>
        </w:rPr>
        <w:t xml:space="preserve">ailey, </w:t>
      </w:r>
      <w:r>
        <w:rPr>
          <w:sz w:val="14"/>
        </w:rPr>
        <w:t>V. 1995. Tectonic evolution of the northern Ural Orogen.</w:t>
      </w:r>
    </w:p>
    <w:p w14:paraId="7EC35A4F" w14:textId="77777777" w:rsidR="0061727C" w:rsidRDefault="00B000E1">
      <w:pPr>
        <w:spacing w:after="20" w:line="263" w:lineRule="auto"/>
        <w:ind w:left="338" w:right="0" w:firstLine="0"/>
        <w:jc w:val="left"/>
      </w:pPr>
      <w:r>
        <w:rPr>
          <w:sz w:val="14"/>
        </w:rPr>
        <w:t>Journal of the Geological Society, London</w:t>
      </w:r>
      <w:r>
        <w:rPr>
          <w:sz w:val="14"/>
        </w:rPr>
        <w:t xml:space="preserve">, </w:t>
      </w:r>
      <w:r>
        <w:rPr>
          <w:sz w:val="14"/>
        </w:rPr>
        <w:t>152</w:t>
      </w:r>
      <w:r>
        <w:rPr>
          <w:sz w:val="14"/>
        </w:rPr>
        <w:t>, 903–906.</w:t>
      </w:r>
    </w:p>
    <w:p w14:paraId="276C8635" w14:textId="77777777" w:rsidR="0061727C" w:rsidRDefault="00B000E1">
      <w:pPr>
        <w:spacing w:after="10" w:line="280" w:lineRule="auto"/>
        <w:ind w:left="333" w:right="0" w:hanging="348"/>
      </w:pPr>
      <w:r>
        <w:rPr>
          <w:sz w:val="14"/>
        </w:rPr>
        <w:t>P</w:t>
      </w:r>
      <w:r>
        <w:rPr>
          <w:sz w:val="14"/>
        </w:rPr>
        <w:t xml:space="preserve">ease, </w:t>
      </w:r>
      <w:r>
        <w:rPr>
          <w:sz w:val="14"/>
        </w:rPr>
        <w:t xml:space="preserve">V. 2001. East European craton margin source for the allochthonous Northern Terrane of Taimyr, Arctic Siberia. </w:t>
      </w:r>
      <w:r>
        <w:rPr>
          <w:sz w:val="14"/>
        </w:rPr>
        <w:t>EOS Transactions, America</w:t>
      </w:r>
      <w:r>
        <w:rPr>
          <w:sz w:val="14"/>
        </w:rPr>
        <w:t>n Geophysical Union</w:t>
      </w:r>
      <w:r>
        <w:rPr>
          <w:sz w:val="14"/>
        </w:rPr>
        <w:t xml:space="preserve">, </w:t>
      </w:r>
      <w:r>
        <w:rPr>
          <w:sz w:val="14"/>
        </w:rPr>
        <w:t>82</w:t>
      </w:r>
      <w:r>
        <w:rPr>
          <w:sz w:val="14"/>
        </w:rPr>
        <w:t>, F1181.</w:t>
      </w:r>
    </w:p>
    <w:p w14:paraId="09655C53" w14:textId="77777777" w:rsidR="0061727C" w:rsidRDefault="00B000E1">
      <w:pPr>
        <w:spacing w:after="10" w:line="280" w:lineRule="auto"/>
        <w:ind w:left="333" w:right="0" w:hanging="348"/>
      </w:pPr>
      <w:r>
        <w:rPr>
          <w:sz w:val="14"/>
        </w:rPr>
        <w:t>P</w:t>
      </w:r>
      <w:r>
        <w:rPr>
          <w:sz w:val="14"/>
        </w:rPr>
        <w:t xml:space="preserve">ease, </w:t>
      </w:r>
      <w:r>
        <w:rPr>
          <w:sz w:val="14"/>
        </w:rPr>
        <w:t>V. &amp; P</w:t>
      </w:r>
      <w:r>
        <w:rPr>
          <w:sz w:val="14"/>
        </w:rPr>
        <w:t xml:space="preserve">ersson, </w:t>
      </w:r>
      <w:r>
        <w:rPr>
          <w:sz w:val="14"/>
        </w:rPr>
        <w:t xml:space="preserve">S. 2006. Neoproterozoic island arc magmatism of northern Taimyr. </w:t>
      </w:r>
      <w:r>
        <w:rPr>
          <w:sz w:val="14"/>
        </w:rPr>
        <w:t xml:space="preserve">In: Scott, </w:t>
      </w:r>
      <w:r>
        <w:rPr>
          <w:sz w:val="14"/>
        </w:rPr>
        <w:t xml:space="preserve">R. &amp; </w:t>
      </w:r>
      <w:r>
        <w:rPr>
          <w:sz w:val="14"/>
        </w:rPr>
        <w:t xml:space="preserve">Thurston, </w:t>
      </w:r>
      <w:r>
        <w:rPr>
          <w:sz w:val="14"/>
        </w:rPr>
        <w:t xml:space="preserve">D. (eds) </w:t>
      </w:r>
      <w:r>
        <w:rPr>
          <w:sz w:val="14"/>
        </w:rPr>
        <w:t>Proceedings of the Fourth International Conference on Arctic Margins</w:t>
      </w:r>
      <w:r>
        <w:rPr>
          <w:sz w:val="14"/>
        </w:rPr>
        <w:t>. US Department of the Interior, Mi</w:t>
      </w:r>
      <w:r>
        <w:rPr>
          <w:sz w:val="14"/>
        </w:rPr>
        <w:t xml:space="preserve">nerals Management Service OCS Study, </w:t>
      </w:r>
      <w:r>
        <w:rPr>
          <w:sz w:val="14"/>
        </w:rPr>
        <w:t>MMS 2006-003</w:t>
      </w:r>
      <w:r>
        <w:rPr>
          <w:sz w:val="14"/>
        </w:rPr>
        <w:t>, 31–49.</w:t>
      </w:r>
    </w:p>
    <w:p w14:paraId="1093910E" w14:textId="77777777" w:rsidR="0061727C" w:rsidRDefault="00B000E1">
      <w:pPr>
        <w:spacing w:after="16" w:line="276" w:lineRule="auto"/>
        <w:ind w:left="339" w:right="0" w:hanging="339"/>
        <w:jc w:val="left"/>
      </w:pPr>
      <w:r>
        <w:rPr>
          <w:sz w:val="14"/>
        </w:rPr>
        <w:t>P</w:t>
      </w:r>
      <w:r>
        <w:rPr>
          <w:sz w:val="14"/>
        </w:rPr>
        <w:t xml:space="preserve">ease, </w:t>
      </w:r>
      <w:r>
        <w:rPr>
          <w:sz w:val="14"/>
        </w:rPr>
        <w:t>V. &amp; V</w:t>
      </w:r>
      <w:r>
        <w:rPr>
          <w:sz w:val="14"/>
        </w:rPr>
        <w:t xml:space="preserve">ernikovsky, </w:t>
      </w:r>
      <w:r>
        <w:rPr>
          <w:sz w:val="14"/>
        </w:rPr>
        <w:t xml:space="preserve">V. 2000. The tectono-magmatic evolution of the Taimyr Peninsula: Further constraints from new ion-microprobe data. </w:t>
      </w:r>
      <w:r>
        <w:rPr>
          <w:sz w:val="14"/>
        </w:rPr>
        <w:t>Polarforschung</w:t>
      </w:r>
      <w:r>
        <w:rPr>
          <w:sz w:val="14"/>
        </w:rPr>
        <w:t xml:space="preserve">, </w:t>
      </w:r>
      <w:r>
        <w:rPr>
          <w:sz w:val="14"/>
        </w:rPr>
        <w:t>63</w:t>
      </w:r>
      <w:r>
        <w:rPr>
          <w:sz w:val="14"/>
        </w:rPr>
        <w:t>, 171–178.</w:t>
      </w:r>
    </w:p>
    <w:p w14:paraId="083082B5" w14:textId="77777777" w:rsidR="0061727C" w:rsidRDefault="00B000E1">
      <w:pPr>
        <w:spacing w:after="41" w:line="280" w:lineRule="auto"/>
        <w:ind w:left="333" w:right="0" w:hanging="348"/>
      </w:pPr>
      <w:r>
        <w:rPr>
          <w:sz w:val="14"/>
        </w:rPr>
        <w:t>P</w:t>
      </w:r>
      <w:r>
        <w:rPr>
          <w:sz w:val="14"/>
        </w:rPr>
        <w:t xml:space="preserve">ease, </w:t>
      </w:r>
      <w:r>
        <w:rPr>
          <w:sz w:val="14"/>
        </w:rPr>
        <w:t>V., G</w:t>
      </w:r>
      <w:r>
        <w:rPr>
          <w:sz w:val="14"/>
        </w:rPr>
        <w:t xml:space="preserve">ee, </w:t>
      </w:r>
      <w:r>
        <w:rPr>
          <w:sz w:val="14"/>
        </w:rPr>
        <w:t>D., V</w:t>
      </w:r>
      <w:r>
        <w:rPr>
          <w:sz w:val="14"/>
        </w:rPr>
        <w:t>ernikovs</w:t>
      </w:r>
      <w:r>
        <w:rPr>
          <w:sz w:val="14"/>
        </w:rPr>
        <w:t xml:space="preserve">ky, </w:t>
      </w:r>
      <w:r>
        <w:rPr>
          <w:sz w:val="14"/>
        </w:rPr>
        <w:t>V., V</w:t>
      </w:r>
      <w:r>
        <w:rPr>
          <w:sz w:val="14"/>
        </w:rPr>
        <w:t xml:space="preserve">ernikovskaya, </w:t>
      </w:r>
      <w:r>
        <w:rPr>
          <w:sz w:val="14"/>
        </w:rPr>
        <w:t>A. &amp; K</w:t>
      </w:r>
      <w:r>
        <w:rPr>
          <w:sz w:val="14"/>
        </w:rPr>
        <w:t xml:space="preserve">ireev, </w:t>
      </w:r>
      <w:r>
        <w:rPr>
          <w:sz w:val="14"/>
        </w:rPr>
        <w:t xml:space="preserve">S. 2001. Geochronological evidence for late-Grenvillian magmatic and metamorphic events in central Taimyr, northern Siberia. </w:t>
      </w:r>
      <w:r>
        <w:rPr>
          <w:sz w:val="14"/>
        </w:rPr>
        <w:t>Terra Nova</w:t>
      </w:r>
      <w:r>
        <w:rPr>
          <w:sz w:val="14"/>
        </w:rPr>
        <w:t xml:space="preserve">, </w:t>
      </w:r>
      <w:r>
        <w:rPr>
          <w:sz w:val="14"/>
        </w:rPr>
        <w:t>13</w:t>
      </w:r>
      <w:r>
        <w:rPr>
          <w:sz w:val="14"/>
        </w:rPr>
        <w:t>, 270–280.</w:t>
      </w:r>
    </w:p>
    <w:p w14:paraId="48130B35" w14:textId="77777777" w:rsidR="0061727C" w:rsidRDefault="00B000E1">
      <w:pPr>
        <w:spacing w:after="10" w:line="280" w:lineRule="auto"/>
        <w:ind w:left="333" w:right="0" w:hanging="348"/>
      </w:pPr>
      <w:r>
        <w:rPr>
          <w:sz w:val="14"/>
        </w:rPr>
        <w:t>P</w:t>
      </w:r>
      <w:r>
        <w:rPr>
          <w:sz w:val="14"/>
        </w:rPr>
        <w:t xml:space="preserve">ease, </w:t>
      </w:r>
      <w:r>
        <w:rPr>
          <w:sz w:val="14"/>
        </w:rPr>
        <w:t>V., D</w:t>
      </w:r>
      <w:r>
        <w:rPr>
          <w:sz w:val="14"/>
        </w:rPr>
        <w:t xml:space="preserve">aly, </w:t>
      </w:r>
      <w:r>
        <w:rPr>
          <w:sz w:val="14"/>
        </w:rPr>
        <w:t>J.S., E</w:t>
      </w:r>
      <w:r>
        <w:rPr>
          <w:sz w:val="14"/>
        </w:rPr>
        <w:t xml:space="preserve">lming, </w:t>
      </w:r>
      <w:r>
        <w:rPr>
          <w:sz w:val="14"/>
        </w:rPr>
        <w:t>S.-A</w:t>
      </w:r>
      <w:proofErr w:type="gramStart"/>
      <w:r>
        <w:rPr>
          <w:sz w:val="21"/>
          <w:vertAlign w:val="superscript"/>
        </w:rPr>
        <w:t xml:space="preserve">˚ </w:t>
      </w:r>
      <w:r>
        <w:rPr>
          <w:sz w:val="14"/>
        </w:rPr>
        <w:t>.</w:t>
      </w:r>
      <w:proofErr w:type="gramEnd"/>
      <w:r>
        <w:rPr>
          <w:sz w:val="14"/>
        </w:rPr>
        <w:t xml:space="preserve">, </w:t>
      </w:r>
      <w:r>
        <w:rPr>
          <w:sz w:val="14"/>
        </w:rPr>
        <w:t xml:space="preserve">etal. </w:t>
      </w:r>
      <w:r>
        <w:rPr>
          <w:sz w:val="14"/>
        </w:rPr>
        <w:t>2008. Baltica in the Cry</w:t>
      </w:r>
      <w:r>
        <w:rPr>
          <w:sz w:val="14"/>
        </w:rPr>
        <w:t xml:space="preserve">ogenian, 850– 630 Ma. </w:t>
      </w:r>
      <w:r>
        <w:rPr>
          <w:sz w:val="14"/>
        </w:rPr>
        <w:t>Precambrian Research</w:t>
      </w:r>
      <w:r>
        <w:rPr>
          <w:sz w:val="14"/>
        </w:rPr>
        <w:t xml:space="preserve">, </w:t>
      </w:r>
      <w:r>
        <w:rPr>
          <w:sz w:val="14"/>
        </w:rPr>
        <w:t>160</w:t>
      </w:r>
      <w:r>
        <w:rPr>
          <w:sz w:val="14"/>
        </w:rPr>
        <w:t>, 48–65.</w:t>
      </w:r>
    </w:p>
    <w:p w14:paraId="1DA1C59A" w14:textId="77777777" w:rsidR="0061727C" w:rsidRDefault="00B000E1">
      <w:pPr>
        <w:spacing w:after="10" w:line="280" w:lineRule="auto"/>
        <w:ind w:left="333" w:right="0" w:hanging="348"/>
      </w:pPr>
      <w:r>
        <w:rPr>
          <w:sz w:val="14"/>
        </w:rPr>
        <w:t>P</w:t>
      </w:r>
      <w:r>
        <w:rPr>
          <w:sz w:val="14"/>
        </w:rPr>
        <w:t xml:space="preserve">ovysheva, </w:t>
      </w:r>
      <w:r>
        <w:rPr>
          <w:sz w:val="14"/>
        </w:rPr>
        <w:t xml:space="preserve">L.G. 1982. The results of a mineralogical analysis of South Island of Novaya Zemlya. </w:t>
      </w:r>
      <w:r>
        <w:rPr>
          <w:sz w:val="14"/>
        </w:rPr>
        <w:t xml:space="preserve">In: Bondarev, </w:t>
      </w:r>
      <w:r>
        <w:rPr>
          <w:sz w:val="14"/>
        </w:rPr>
        <w:t xml:space="preserve">V.I. (ed.) </w:t>
      </w:r>
      <w:r>
        <w:rPr>
          <w:sz w:val="14"/>
        </w:rPr>
        <w:t>Geologiya Yuzhnogo ostrova Novoy Zemli</w:t>
      </w:r>
      <w:r>
        <w:rPr>
          <w:sz w:val="14"/>
        </w:rPr>
        <w:t>. PGO ‘Sevmorgeologiya’, Leningrad, 58–67</w:t>
      </w:r>
      <w:r>
        <w:rPr>
          <w:sz w:val="14"/>
        </w:rPr>
        <w:t xml:space="preserve"> [in Russian].</w:t>
      </w:r>
    </w:p>
    <w:p w14:paraId="62265426" w14:textId="77777777" w:rsidR="0061727C" w:rsidRDefault="00B000E1">
      <w:pPr>
        <w:spacing w:after="10" w:line="280" w:lineRule="auto"/>
        <w:ind w:left="333" w:right="0" w:hanging="348"/>
      </w:pPr>
      <w:r>
        <w:rPr>
          <w:sz w:val="14"/>
        </w:rPr>
        <w:t>P</w:t>
      </w:r>
      <w:r>
        <w:rPr>
          <w:sz w:val="14"/>
        </w:rPr>
        <w:t xml:space="preserve">uchkov, </w:t>
      </w:r>
      <w:r>
        <w:rPr>
          <w:sz w:val="14"/>
        </w:rPr>
        <w:t xml:space="preserve">V.N. 1997. Structure and geodynamics of the Uralian orogen. </w:t>
      </w:r>
      <w:r>
        <w:rPr>
          <w:sz w:val="14"/>
        </w:rPr>
        <w:t xml:space="preserve">In: Burg, </w:t>
      </w:r>
      <w:r>
        <w:rPr>
          <w:sz w:val="14"/>
        </w:rPr>
        <w:t xml:space="preserve">J.P. &amp; </w:t>
      </w:r>
      <w:r>
        <w:rPr>
          <w:sz w:val="14"/>
        </w:rPr>
        <w:t xml:space="preserve">Ford, </w:t>
      </w:r>
      <w:r>
        <w:rPr>
          <w:sz w:val="14"/>
        </w:rPr>
        <w:t xml:space="preserve">M. (eds) </w:t>
      </w:r>
      <w:r>
        <w:rPr>
          <w:sz w:val="14"/>
        </w:rPr>
        <w:t>Orogeny through Time</w:t>
      </w:r>
      <w:r>
        <w:rPr>
          <w:sz w:val="14"/>
        </w:rPr>
        <w:t xml:space="preserve">. Geological Society, London, Special Publications, </w:t>
      </w:r>
      <w:r>
        <w:rPr>
          <w:sz w:val="14"/>
        </w:rPr>
        <w:t>121</w:t>
      </w:r>
      <w:r>
        <w:rPr>
          <w:sz w:val="14"/>
        </w:rPr>
        <w:t>, 201–236.</w:t>
      </w:r>
    </w:p>
    <w:p w14:paraId="73772046" w14:textId="77777777" w:rsidR="0061727C" w:rsidRDefault="00B000E1">
      <w:pPr>
        <w:spacing w:after="10" w:line="280" w:lineRule="auto"/>
        <w:ind w:left="333" w:right="0" w:hanging="348"/>
      </w:pPr>
      <w:r>
        <w:rPr>
          <w:sz w:val="14"/>
        </w:rPr>
        <w:t>Puchkov, V</w:t>
      </w:r>
      <w:r>
        <w:rPr>
          <w:sz w:val="14"/>
        </w:rPr>
        <w:t xml:space="preserve">. 2002. Paleozoic evolution of the east European continental margin involved in the Uralide Orogeny. </w:t>
      </w:r>
      <w:r>
        <w:rPr>
          <w:sz w:val="14"/>
        </w:rPr>
        <w:t>In</w:t>
      </w:r>
      <w:r>
        <w:rPr>
          <w:sz w:val="14"/>
        </w:rPr>
        <w:t xml:space="preserve">: </w:t>
      </w:r>
      <w:r>
        <w:rPr>
          <w:sz w:val="21"/>
          <w:vertAlign w:val="superscript"/>
        </w:rPr>
        <w:t xml:space="preserve">Brown, D., Juhlin, C. &amp; Puchkov, </w:t>
      </w:r>
      <w:r>
        <w:rPr>
          <w:sz w:val="14"/>
        </w:rPr>
        <w:t xml:space="preserve">V. </w:t>
      </w:r>
      <w:r>
        <w:rPr>
          <w:sz w:val="14"/>
        </w:rPr>
        <w:t xml:space="preserve">(eds) </w:t>
      </w:r>
      <w:r>
        <w:rPr>
          <w:sz w:val="14"/>
        </w:rPr>
        <w:t>Mountain Building in the Uralides: Pangea to Present</w:t>
      </w:r>
      <w:r>
        <w:rPr>
          <w:sz w:val="14"/>
        </w:rPr>
        <w:t xml:space="preserve">. American Geophysical Union, Geophysical Monographs, </w:t>
      </w:r>
      <w:r>
        <w:rPr>
          <w:sz w:val="14"/>
        </w:rPr>
        <w:t>132</w:t>
      </w:r>
      <w:r>
        <w:rPr>
          <w:sz w:val="14"/>
        </w:rPr>
        <w:t>, 9–31.</w:t>
      </w:r>
    </w:p>
    <w:p w14:paraId="3C1E21E7" w14:textId="77777777" w:rsidR="0061727C" w:rsidRDefault="00B000E1">
      <w:pPr>
        <w:spacing w:after="10" w:line="280" w:lineRule="auto"/>
        <w:ind w:left="333" w:right="0" w:hanging="348"/>
      </w:pPr>
      <w:r>
        <w:rPr>
          <w:sz w:val="14"/>
        </w:rPr>
        <w:t xml:space="preserve">Roberts, D. </w:t>
      </w:r>
      <w:r>
        <w:rPr>
          <w:sz w:val="14"/>
        </w:rPr>
        <w:t xml:space="preserve">2003. The Scandinavian Caledonides: event chronology, palaeogeographic settings and likely modern analogues. </w:t>
      </w:r>
      <w:r>
        <w:rPr>
          <w:sz w:val="14"/>
        </w:rPr>
        <w:t>Tectonophysics</w:t>
      </w:r>
      <w:r>
        <w:rPr>
          <w:sz w:val="14"/>
        </w:rPr>
        <w:t xml:space="preserve">, </w:t>
      </w:r>
      <w:r>
        <w:rPr>
          <w:sz w:val="14"/>
        </w:rPr>
        <w:t>365</w:t>
      </w:r>
      <w:r>
        <w:rPr>
          <w:sz w:val="14"/>
        </w:rPr>
        <w:t>, 283–299.</w:t>
      </w:r>
    </w:p>
    <w:p w14:paraId="6B077A26" w14:textId="77777777" w:rsidR="0061727C" w:rsidRDefault="00B000E1">
      <w:pPr>
        <w:spacing w:after="10" w:line="280" w:lineRule="auto"/>
        <w:ind w:left="333" w:right="0" w:hanging="348"/>
      </w:pPr>
      <w:r>
        <w:rPr>
          <w:sz w:val="21"/>
          <w:vertAlign w:val="superscript"/>
        </w:rPr>
        <w:t xml:space="preserve">Roberts, D. &amp; Olovyanishnikov, V. </w:t>
      </w:r>
      <w:r>
        <w:rPr>
          <w:sz w:val="14"/>
        </w:rPr>
        <w:t>2004. Structural and tectonic development of the Timanide oroge</w:t>
      </w:r>
      <w:r>
        <w:rPr>
          <w:sz w:val="14"/>
        </w:rPr>
        <w:t xml:space="preserve">n. </w:t>
      </w:r>
      <w:r>
        <w:rPr>
          <w:sz w:val="14"/>
        </w:rPr>
        <w:t xml:space="preserve">In: </w:t>
      </w:r>
      <w:r>
        <w:rPr>
          <w:sz w:val="14"/>
        </w:rPr>
        <w:t>G</w:t>
      </w:r>
      <w:r>
        <w:rPr>
          <w:sz w:val="14"/>
        </w:rPr>
        <w:t xml:space="preserve">ee, </w:t>
      </w:r>
      <w:r>
        <w:rPr>
          <w:sz w:val="14"/>
        </w:rPr>
        <w:t>D.G. &amp; P</w:t>
      </w:r>
      <w:r>
        <w:rPr>
          <w:sz w:val="14"/>
        </w:rPr>
        <w:t xml:space="preserve">ease, </w:t>
      </w:r>
      <w:r>
        <w:rPr>
          <w:sz w:val="14"/>
        </w:rPr>
        <w:t xml:space="preserve">V. (eds) </w:t>
      </w:r>
      <w:r>
        <w:rPr>
          <w:sz w:val="14"/>
        </w:rPr>
        <w:t>The Neoproterozoic Timanide Orogen of Eastern Baltica</w:t>
      </w:r>
      <w:r>
        <w:rPr>
          <w:sz w:val="14"/>
        </w:rPr>
        <w:t xml:space="preserve">. Geological Society, London, Memoirs, </w:t>
      </w:r>
      <w:r>
        <w:rPr>
          <w:sz w:val="14"/>
        </w:rPr>
        <w:t>30</w:t>
      </w:r>
      <w:r>
        <w:rPr>
          <w:sz w:val="14"/>
        </w:rPr>
        <w:t>, 47–57.</w:t>
      </w:r>
    </w:p>
    <w:p w14:paraId="18E5FED7" w14:textId="77777777" w:rsidR="0061727C" w:rsidRDefault="00B000E1">
      <w:pPr>
        <w:spacing w:after="10" w:line="280" w:lineRule="auto"/>
        <w:ind w:left="333" w:right="0" w:hanging="348"/>
      </w:pPr>
      <w:r>
        <w:rPr>
          <w:sz w:val="14"/>
        </w:rPr>
        <w:t xml:space="preserve">Scarrow, J.H., Pease, V.L., Fleutelot, C. &amp; Dushin, V. </w:t>
      </w:r>
      <w:r>
        <w:rPr>
          <w:sz w:val="14"/>
        </w:rPr>
        <w:t xml:space="preserve">2001. The late Neoproterozoic Enganepe ophiolite, Polar Urals, </w:t>
      </w:r>
      <w:r>
        <w:rPr>
          <w:sz w:val="14"/>
        </w:rPr>
        <w:t xml:space="preserve">Russia: an extension of the Cadomian arc? </w:t>
      </w:r>
      <w:r>
        <w:rPr>
          <w:sz w:val="14"/>
        </w:rPr>
        <w:t>Precambrian Research</w:t>
      </w:r>
      <w:r>
        <w:rPr>
          <w:sz w:val="14"/>
        </w:rPr>
        <w:t xml:space="preserve">, </w:t>
      </w:r>
      <w:r>
        <w:rPr>
          <w:sz w:val="14"/>
        </w:rPr>
        <w:t>110</w:t>
      </w:r>
      <w:r>
        <w:rPr>
          <w:sz w:val="14"/>
        </w:rPr>
        <w:t>, 255–275.</w:t>
      </w:r>
    </w:p>
    <w:p w14:paraId="4A6E3B79" w14:textId="77777777" w:rsidR="0061727C" w:rsidRDefault="00B000E1">
      <w:pPr>
        <w:spacing w:after="10" w:line="280" w:lineRule="auto"/>
        <w:ind w:left="333" w:right="0" w:hanging="348"/>
      </w:pPr>
      <w:r>
        <w:rPr>
          <w:sz w:val="14"/>
        </w:rPr>
        <w:t>S</w:t>
      </w:r>
      <w:r>
        <w:rPr>
          <w:sz w:val="14"/>
        </w:rPr>
        <w:t>engo</w:t>
      </w:r>
      <w:r>
        <w:rPr>
          <w:sz w:val="21"/>
          <w:vertAlign w:val="superscript"/>
        </w:rPr>
        <w:t>¨</w:t>
      </w:r>
      <w:r>
        <w:rPr>
          <w:sz w:val="14"/>
        </w:rPr>
        <w:t xml:space="preserve">r, </w:t>
      </w:r>
      <w:r>
        <w:rPr>
          <w:sz w:val="14"/>
        </w:rPr>
        <w:t>A., N</w:t>
      </w:r>
      <w:r>
        <w:rPr>
          <w:sz w:val="14"/>
        </w:rPr>
        <w:t xml:space="preserve">atal’in, </w:t>
      </w:r>
      <w:r>
        <w:rPr>
          <w:sz w:val="14"/>
        </w:rPr>
        <w:t>B. &amp; B</w:t>
      </w:r>
      <w:r>
        <w:rPr>
          <w:sz w:val="14"/>
        </w:rPr>
        <w:t xml:space="preserve">urtman, </w:t>
      </w:r>
      <w:r>
        <w:rPr>
          <w:sz w:val="14"/>
        </w:rPr>
        <w:t xml:space="preserve">V. 1993. Evolution of the Altaid tectonic collage and Paleozoic crustal growth in Eurasia. </w:t>
      </w:r>
      <w:r>
        <w:rPr>
          <w:sz w:val="14"/>
        </w:rPr>
        <w:t>Nature</w:t>
      </w:r>
      <w:r>
        <w:rPr>
          <w:sz w:val="14"/>
        </w:rPr>
        <w:t xml:space="preserve">, </w:t>
      </w:r>
      <w:r>
        <w:rPr>
          <w:sz w:val="14"/>
        </w:rPr>
        <w:t>364</w:t>
      </w:r>
      <w:r>
        <w:rPr>
          <w:sz w:val="14"/>
        </w:rPr>
        <w:t>, 299–307.</w:t>
      </w:r>
    </w:p>
    <w:p w14:paraId="01EC61BC" w14:textId="77777777" w:rsidR="0061727C" w:rsidRDefault="00B000E1">
      <w:pPr>
        <w:spacing w:after="10" w:line="280" w:lineRule="auto"/>
        <w:ind w:left="333" w:right="0" w:hanging="348"/>
      </w:pPr>
      <w:r>
        <w:rPr>
          <w:sz w:val="14"/>
        </w:rPr>
        <w:t>S</w:t>
      </w:r>
      <w:r>
        <w:rPr>
          <w:sz w:val="14"/>
        </w:rPr>
        <w:t xml:space="preserve">mirnova, </w:t>
      </w:r>
      <w:r>
        <w:rPr>
          <w:sz w:val="14"/>
        </w:rPr>
        <w:t>L.N., K</w:t>
      </w:r>
      <w:r>
        <w:rPr>
          <w:sz w:val="14"/>
        </w:rPr>
        <w:t xml:space="preserve">orago, </w:t>
      </w:r>
      <w:r>
        <w:rPr>
          <w:sz w:val="14"/>
        </w:rPr>
        <w:t>E.A.</w:t>
      </w:r>
      <w:r>
        <w:rPr>
          <w:sz w:val="14"/>
        </w:rPr>
        <w:t xml:space="preserve"> &amp; K</w:t>
      </w:r>
      <w:r>
        <w:rPr>
          <w:sz w:val="14"/>
        </w:rPr>
        <w:t xml:space="preserve">ovaleva, </w:t>
      </w:r>
      <w:r>
        <w:rPr>
          <w:sz w:val="14"/>
        </w:rPr>
        <w:t xml:space="preserve">G.N. 1982. Classification of Precambrian deposits of Yuzhnyi island on the Novaya Zemlya. </w:t>
      </w:r>
      <w:r>
        <w:rPr>
          <w:sz w:val="14"/>
        </w:rPr>
        <w:t>In: Microfossils of the polar areas and their stratigraphic importance</w:t>
      </w:r>
      <w:r>
        <w:rPr>
          <w:sz w:val="14"/>
        </w:rPr>
        <w:t>. NIIGA, Leningrad, 84–90.</w:t>
      </w:r>
    </w:p>
    <w:p w14:paraId="646E156E" w14:textId="77777777" w:rsidR="0061727C" w:rsidRDefault="00B000E1">
      <w:pPr>
        <w:spacing w:after="10" w:line="280" w:lineRule="auto"/>
        <w:ind w:left="333" w:right="0" w:hanging="348"/>
      </w:pPr>
      <w:r>
        <w:rPr>
          <w:sz w:val="14"/>
        </w:rPr>
        <w:t>S</w:t>
      </w:r>
      <w:r>
        <w:rPr>
          <w:sz w:val="14"/>
        </w:rPr>
        <w:t xml:space="preserve">tacey, </w:t>
      </w:r>
      <w:r>
        <w:rPr>
          <w:sz w:val="14"/>
        </w:rPr>
        <w:t>J. &amp; K</w:t>
      </w:r>
      <w:r>
        <w:rPr>
          <w:sz w:val="14"/>
        </w:rPr>
        <w:t xml:space="preserve">ramers, </w:t>
      </w:r>
      <w:r>
        <w:rPr>
          <w:sz w:val="14"/>
        </w:rPr>
        <w:t>J. 1975. Approximation of terrestr</w:t>
      </w:r>
      <w:r>
        <w:rPr>
          <w:sz w:val="14"/>
        </w:rPr>
        <w:t xml:space="preserve">ial lead isotope evolution by a two-stage model. </w:t>
      </w:r>
      <w:r>
        <w:rPr>
          <w:sz w:val="14"/>
        </w:rPr>
        <w:t>Earth and Planetary Science Letters</w:t>
      </w:r>
      <w:r>
        <w:rPr>
          <w:sz w:val="14"/>
        </w:rPr>
        <w:t xml:space="preserve">, </w:t>
      </w:r>
      <w:r>
        <w:rPr>
          <w:sz w:val="14"/>
        </w:rPr>
        <w:t>26</w:t>
      </w:r>
      <w:r>
        <w:rPr>
          <w:sz w:val="14"/>
        </w:rPr>
        <w:t>, 207–221.</w:t>
      </w:r>
    </w:p>
    <w:p w14:paraId="6E38F646" w14:textId="77777777" w:rsidR="0061727C" w:rsidRDefault="00B000E1">
      <w:pPr>
        <w:spacing w:after="10" w:line="280" w:lineRule="auto"/>
        <w:ind w:left="333" w:right="0" w:hanging="348"/>
      </w:pPr>
      <w:r>
        <w:rPr>
          <w:sz w:val="14"/>
        </w:rPr>
        <w:t xml:space="preserve">Sturt, B.A. &amp; Roberts, D. </w:t>
      </w:r>
      <w:r>
        <w:rPr>
          <w:sz w:val="14"/>
        </w:rPr>
        <w:t xml:space="preserve">1991. Tectonostratigraphic relationships and obduction histories of Scandinavian ophiolitic terranes. </w:t>
      </w:r>
      <w:r>
        <w:rPr>
          <w:sz w:val="14"/>
        </w:rPr>
        <w:t xml:space="preserve">In: </w:t>
      </w:r>
      <w:r>
        <w:rPr>
          <w:sz w:val="14"/>
        </w:rPr>
        <w:t>P</w:t>
      </w:r>
      <w:r>
        <w:rPr>
          <w:sz w:val="14"/>
        </w:rPr>
        <w:t xml:space="preserve">eters, </w:t>
      </w:r>
      <w:r>
        <w:rPr>
          <w:sz w:val="14"/>
        </w:rPr>
        <w:t xml:space="preserve">T. (ed.) </w:t>
      </w:r>
      <w:r>
        <w:rPr>
          <w:sz w:val="14"/>
        </w:rPr>
        <w:t>Ophiolit</w:t>
      </w:r>
      <w:r>
        <w:rPr>
          <w:sz w:val="14"/>
        </w:rPr>
        <w:t>e Genesis and Evolution of the Oceanic Lithosphere</w:t>
      </w:r>
      <w:r>
        <w:rPr>
          <w:sz w:val="14"/>
        </w:rPr>
        <w:t>. Ministry of Petroleum and Minerals, Oman, 745–769.</w:t>
      </w:r>
    </w:p>
    <w:p w14:paraId="1A4CE00E" w14:textId="77777777" w:rsidR="0061727C" w:rsidRDefault="00B000E1">
      <w:pPr>
        <w:spacing w:after="10" w:line="280" w:lineRule="auto"/>
        <w:ind w:left="333" w:right="0" w:hanging="348"/>
      </w:pPr>
      <w:r>
        <w:rPr>
          <w:sz w:val="14"/>
        </w:rPr>
        <w:t xml:space="preserve">Sturt, B.A., Pringle, I. &amp; Ramsay, D.M. </w:t>
      </w:r>
      <w:r>
        <w:rPr>
          <w:sz w:val="14"/>
        </w:rPr>
        <w:t xml:space="preserve">1978. The Finnmarkian phase of the Caledonian Orogeny. </w:t>
      </w:r>
      <w:r>
        <w:rPr>
          <w:sz w:val="14"/>
        </w:rPr>
        <w:t>Journal of the Geological Society, London</w:t>
      </w:r>
      <w:r>
        <w:rPr>
          <w:sz w:val="14"/>
        </w:rPr>
        <w:t xml:space="preserve">, </w:t>
      </w:r>
      <w:r>
        <w:rPr>
          <w:sz w:val="14"/>
        </w:rPr>
        <w:t>135</w:t>
      </w:r>
      <w:r>
        <w:rPr>
          <w:sz w:val="14"/>
        </w:rPr>
        <w:t>, 597– 610.</w:t>
      </w:r>
    </w:p>
    <w:p w14:paraId="123C400C" w14:textId="77777777" w:rsidR="0061727C" w:rsidRDefault="00B000E1">
      <w:pPr>
        <w:spacing w:after="10" w:line="280" w:lineRule="auto"/>
        <w:ind w:left="333" w:right="0" w:hanging="348"/>
      </w:pPr>
      <w:r>
        <w:rPr>
          <w:sz w:val="21"/>
          <w:vertAlign w:val="superscript"/>
        </w:rPr>
        <w:t xml:space="preserve">Torsvik, T.H. &amp; Andersen, T.B. </w:t>
      </w:r>
      <w:r>
        <w:rPr>
          <w:sz w:val="14"/>
        </w:rPr>
        <w:t xml:space="preserve">2002. The Taimyr fold belt, Arctic Siberia: timing of prefold remagnetisation and regional tectonics. </w:t>
      </w:r>
      <w:r>
        <w:rPr>
          <w:sz w:val="14"/>
        </w:rPr>
        <w:t>Tectonophysics</w:t>
      </w:r>
      <w:r>
        <w:rPr>
          <w:sz w:val="14"/>
        </w:rPr>
        <w:t xml:space="preserve">, </w:t>
      </w:r>
      <w:r>
        <w:rPr>
          <w:sz w:val="14"/>
        </w:rPr>
        <w:t>352</w:t>
      </w:r>
      <w:r>
        <w:rPr>
          <w:sz w:val="14"/>
        </w:rPr>
        <w:t>, 335–348.</w:t>
      </w:r>
    </w:p>
    <w:p w14:paraId="2C71C05C" w14:textId="77777777" w:rsidR="0061727C" w:rsidRDefault="00B000E1">
      <w:pPr>
        <w:spacing w:after="10" w:line="280" w:lineRule="auto"/>
        <w:ind w:left="333" w:right="0" w:hanging="348"/>
      </w:pPr>
      <w:r>
        <w:rPr>
          <w:sz w:val="14"/>
        </w:rPr>
        <w:lastRenderedPageBreak/>
        <w:t xml:space="preserve">Torsvik, T.H. &amp; Cocks, L.R.M. </w:t>
      </w:r>
      <w:r>
        <w:rPr>
          <w:sz w:val="14"/>
        </w:rPr>
        <w:t>2004. Earth geography from 400 to 250 Ma: a palaeomagnetic, fau</w:t>
      </w:r>
      <w:r>
        <w:rPr>
          <w:sz w:val="14"/>
        </w:rPr>
        <w:t xml:space="preserve">nal and facies review. </w:t>
      </w:r>
      <w:r>
        <w:rPr>
          <w:sz w:val="14"/>
        </w:rPr>
        <w:t>Journal of the Geological Society, London</w:t>
      </w:r>
      <w:r>
        <w:rPr>
          <w:sz w:val="14"/>
        </w:rPr>
        <w:t xml:space="preserve">, </w:t>
      </w:r>
      <w:r>
        <w:rPr>
          <w:sz w:val="14"/>
        </w:rPr>
        <w:t>161</w:t>
      </w:r>
      <w:r>
        <w:rPr>
          <w:sz w:val="14"/>
        </w:rPr>
        <w:t>, 555–572.</w:t>
      </w:r>
    </w:p>
    <w:p w14:paraId="22ED6583" w14:textId="77777777" w:rsidR="0061727C" w:rsidRDefault="00B000E1">
      <w:pPr>
        <w:spacing w:after="10" w:line="280" w:lineRule="auto"/>
        <w:ind w:left="333" w:right="0" w:hanging="348"/>
      </w:pPr>
      <w:r>
        <w:rPr>
          <w:sz w:val="14"/>
        </w:rPr>
        <w:t>U</w:t>
      </w:r>
      <w:r>
        <w:rPr>
          <w:sz w:val="14"/>
        </w:rPr>
        <w:t xml:space="preserve">flyand, </w:t>
      </w:r>
      <w:r>
        <w:rPr>
          <w:sz w:val="14"/>
        </w:rPr>
        <w:t>A., N</w:t>
      </w:r>
      <w:r>
        <w:rPr>
          <w:sz w:val="14"/>
        </w:rPr>
        <w:t xml:space="preserve">atapov, </w:t>
      </w:r>
      <w:r>
        <w:rPr>
          <w:sz w:val="14"/>
        </w:rPr>
        <w:t>L., L</w:t>
      </w:r>
      <w:r>
        <w:rPr>
          <w:sz w:val="14"/>
        </w:rPr>
        <w:t xml:space="preserve">opatin, </w:t>
      </w:r>
      <w:r>
        <w:rPr>
          <w:sz w:val="14"/>
        </w:rPr>
        <w:t>V. &amp; C</w:t>
      </w:r>
      <w:r>
        <w:rPr>
          <w:sz w:val="14"/>
        </w:rPr>
        <w:t xml:space="preserve">hernov, </w:t>
      </w:r>
      <w:r>
        <w:rPr>
          <w:sz w:val="14"/>
        </w:rPr>
        <w:t xml:space="preserve">D. 1991. On the Taimyr tectonic nature. </w:t>
      </w:r>
      <w:r>
        <w:rPr>
          <w:sz w:val="14"/>
        </w:rPr>
        <w:t>Geotectonics</w:t>
      </w:r>
      <w:r>
        <w:rPr>
          <w:sz w:val="14"/>
        </w:rPr>
        <w:t xml:space="preserve">, </w:t>
      </w:r>
      <w:r>
        <w:rPr>
          <w:sz w:val="14"/>
        </w:rPr>
        <w:t>6</w:t>
      </w:r>
      <w:r>
        <w:rPr>
          <w:sz w:val="14"/>
        </w:rPr>
        <w:t>, 76–79 [in Russian].</w:t>
      </w:r>
    </w:p>
    <w:p w14:paraId="085C0F23" w14:textId="77777777" w:rsidR="0061727C" w:rsidRDefault="00B000E1">
      <w:pPr>
        <w:spacing w:after="10" w:line="280" w:lineRule="auto"/>
        <w:ind w:left="333" w:right="0" w:hanging="348"/>
      </w:pPr>
      <w:r>
        <w:rPr>
          <w:sz w:val="14"/>
        </w:rPr>
        <w:t>V</w:t>
      </w:r>
      <w:r>
        <w:rPr>
          <w:sz w:val="14"/>
        </w:rPr>
        <w:t xml:space="preserve">ermeesch, </w:t>
      </w:r>
      <w:r>
        <w:rPr>
          <w:sz w:val="14"/>
        </w:rPr>
        <w:t>P. 2004. How many grains are needed for</w:t>
      </w:r>
      <w:r>
        <w:rPr>
          <w:sz w:val="14"/>
        </w:rPr>
        <w:t xml:space="preserve"> a provenance study? </w:t>
      </w:r>
      <w:r>
        <w:rPr>
          <w:sz w:val="14"/>
        </w:rPr>
        <w:t>Earth and Planetary Science Letters</w:t>
      </w:r>
      <w:r>
        <w:rPr>
          <w:sz w:val="14"/>
        </w:rPr>
        <w:t xml:space="preserve">, </w:t>
      </w:r>
      <w:r>
        <w:rPr>
          <w:sz w:val="14"/>
        </w:rPr>
        <w:t>224</w:t>
      </w:r>
      <w:r>
        <w:rPr>
          <w:sz w:val="14"/>
        </w:rPr>
        <w:t>, 441–451.</w:t>
      </w:r>
    </w:p>
    <w:p w14:paraId="4EBD5C33" w14:textId="77777777" w:rsidR="0061727C" w:rsidRDefault="00B000E1">
      <w:pPr>
        <w:spacing w:after="10" w:line="280" w:lineRule="auto"/>
        <w:ind w:left="333" w:right="0" w:hanging="348"/>
      </w:pPr>
      <w:r>
        <w:rPr>
          <w:sz w:val="14"/>
        </w:rPr>
        <w:t>V</w:t>
      </w:r>
      <w:r>
        <w:rPr>
          <w:sz w:val="14"/>
        </w:rPr>
        <w:t xml:space="preserve">ernikovsky, </w:t>
      </w:r>
      <w:r>
        <w:rPr>
          <w:sz w:val="14"/>
        </w:rPr>
        <w:t xml:space="preserve">V. 1995. Riphean and Paleozoic metamorphic complexes of the Taimyr foldbelt: Condition of formation. </w:t>
      </w:r>
      <w:r>
        <w:rPr>
          <w:sz w:val="14"/>
        </w:rPr>
        <w:t>Petrol</w:t>
      </w:r>
      <w:r>
        <w:rPr>
          <w:sz w:val="14"/>
        </w:rPr>
        <w:t xml:space="preserve">, </w:t>
      </w:r>
      <w:r>
        <w:rPr>
          <w:sz w:val="14"/>
        </w:rPr>
        <w:t>3</w:t>
      </w:r>
      <w:r>
        <w:rPr>
          <w:sz w:val="14"/>
        </w:rPr>
        <w:t>, 55–72.</w:t>
      </w:r>
    </w:p>
    <w:p w14:paraId="5186E9FE" w14:textId="77777777" w:rsidR="0061727C" w:rsidRDefault="00B000E1">
      <w:pPr>
        <w:spacing w:after="10" w:line="280" w:lineRule="auto"/>
        <w:ind w:left="333" w:right="0" w:hanging="348"/>
      </w:pPr>
      <w:r>
        <w:rPr>
          <w:sz w:val="14"/>
        </w:rPr>
        <w:t>V</w:t>
      </w:r>
      <w:r>
        <w:rPr>
          <w:sz w:val="14"/>
        </w:rPr>
        <w:t xml:space="preserve">ernikovsky, </w:t>
      </w:r>
      <w:r>
        <w:rPr>
          <w:sz w:val="14"/>
        </w:rPr>
        <w:t>V. 1996. The geodynamic evolution of th</w:t>
      </w:r>
      <w:r>
        <w:rPr>
          <w:sz w:val="14"/>
        </w:rPr>
        <w:t xml:space="preserve">e Taimyr folded area. </w:t>
      </w:r>
      <w:r>
        <w:rPr>
          <w:sz w:val="14"/>
        </w:rPr>
        <w:t>Geology of the Pacific Ocean</w:t>
      </w:r>
      <w:r>
        <w:rPr>
          <w:sz w:val="14"/>
        </w:rPr>
        <w:t xml:space="preserve">, </w:t>
      </w:r>
      <w:r>
        <w:rPr>
          <w:sz w:val="14"/>
        </w:rPr>
        <w:t>12</w:t>
      </w:r>
      <w:r>
        <w:rPr>
          <w:sz w:val="14"/>
        </w:rPr>
        <w:t>, 691–704.</w:t>
      </w:r>
    </w:p>
    <w:p w14:paraId="3FCB8A78" w14:textId="77777777" w:rsidR="0061727C" w:rsidRDefault="00B000E1">
      <w:pPr>
        <w:spacing w:after="10" w:line="280" w:lineRule="auto"/>
        <w:ind w:left="333" w:right="0" w:hanging="348"/>
      </w:pPr>
      <w:r>
        <w:rPr>
          <w:sz w:val="14"/>
        </w:rPr>
        <w:t>V</w:t>
      </w:r>
      <w:r>
        <w:rPr>
          <w:sz w:val="14"/>
        </w:rPr>
        <w:t xml:space="preserve">ernikovsky, </w:t>
      </w:r>
      <w:r>
        <w:rPr>
          <w:sz w:val="14"/>
        </w:rPr>
        <w:t>V. &amp; V</w:t>
      </w:r>
      <w:r>
        <w:rPr>
          <w:sz w:val="14"/>
        </w:rPr>
        <w:t xml:space="preserve">ernikovskaya, </w:t>
      </w:r>
      <w:r>
        <w:rPr>
          <w:sz w:val="14"/>
        </w:rPr>
        <w:t xml:space="preserve">A. 2001. Central Taimyr accretionary belt (Arctic Asia): Meso-Neoproterozoic tectonic evolution and Rodinia breakup. </w:t>
      </w:r>
      <w:r>
        <w:rPr>
          <w:sz w:val="14"/>
        </w:rPr>
        <w:t>Precambrian Research</w:t>
      </w:r>
      <w:r>
        <w:rPr>
          <w:sz w:val="14"/>
        </w:rPr>
        <w:t xml:space="preserve">, </w:t>
      </w:r>
      <w:r>
        <w:rPr>
          <w:sz w:val="14"/>
        </w:rPr>
        <w:t>110</w:t>
      </w:r>
      <w:r>
        <w:rPr>
          <w:sz w:val="14"/>
        </w:rPr>
        <w:t>, 127–141.</w:t>
      </w:r>
    </w:p>
    <w:p w14:paraId="7E8BE539" w14:textId="77777777" w:rsidR="0061727C" w:rsidRDefault="00B000E1">
      <w:pPr>
        <w:spacing w:after="10" w:line="280" w:lineRule="auto"/>
        <w:ind w:left="333" w:right="0" w:hanging="348"/>
      </w:pPr>
      <w:r>
        <w:rPr>
          <w:sz w:val="14"/>
        </w:rPr>
        <w:t>V</w:t>
      </w:r>
      <w:r>
        <w:rPr>
          <w:sz w:val="14"/>
        </w:rPr>
        <w:t>erni</w:t>
      </w:r>
      <w:r>
        <w:rPr>
          <w:sz w:val="14"/>
        </w:rPr>
        <w:t xml:space="preserve">kovsky, </w:t>
      </w:r>
      <w:r>
        <w:rPr>
          <w:sz w:val="14"/>
        </w:rPr>
        <w:t>V., N</w:t>
      </w:r>
      <w:r>
        <w:rPr>
          <w:sz w:val="14"/>
        </w:rPr>
        <w:t xml:space="preserve">eimark, </w:t>
      </w:r>
      <w:r>
        <w:rPr>
          <w:sz w:val="14"/>
        </w:rPr>
        <w:t>L., P</w:t>
      </w:r>
      <w:r>
        <w:rPr>
          <w:sz w:val="14"/>
        </w:rPr>
        <w:t xml:space="preserve">onomarchuk, </w:t>
      </w:r>
      <w:r>
        <w:rPr>
          <w:sz w:val="14"/>
        </w:rPr>
        <w:t>V., V</w:t>
      </w:r>
      <w:r>
        <w:rPr>
          <w:sz w:val="14"/>
        </w:rPr>
        <w:t xml:space="preserve">ernikovskaya, </w:t>
      </w:r>
      <w:r>
        <w:rPr>
          <w:sz w:val="14"/>
        </w:rPr>
        <w:t>A., K</w:t>
      </w:r>
      <w:r>
        <w:rPr>
          <w:sz w:val="14"/>
        </w:rPr>
        <w:t xml:space="preserve">ireev, </w:t>
      </w:r>
      <w:r>
        <w:rPr>
          <w:sz w:val="14"/>
        </w:rPr>
        <w:t>A. &amp; K</w:t>
      </w:r>
      <w:r>
        <w:rPr>
          <w:sz w:val="14"/>
        </w:rPr>
        <w:t xml:space="preserve">uz’min, </w:t>
      </w:r>
      <w:r>
        <w:rPr>
          <w:sz w:val="14"/>
        </w:rPr>
        <w:t xml:space="preserve">D. 1995. Geochemistry and age of collision granitoids and metamorphites of the Kara microcontinent (northern Taimyr). </w:t>
      </w:r>
      <w:r>
        <w:rPr>
          <w:sz w:val="14"/>
        </w:rPr>
        <w:t>Russian Geology and Geophysics</w:t>
      </w:r>
      <w:r>
        <w:rPr>
          <w:sz w:val="14"/>
        </w:rPr>
        <w:t xml:space="preserve">, </w:t>
      </w:r>
      <w:r>
        <w:rPr>
          <w:sz w:val="14"/>
        </w:rPr>
        <w:t>36</w:t>
      </w:r>
      <w:r>
        <w:rPr>
          <w:sz w:val="14"/>
        </w:rPr>
        <w:t>, 46–60.</w:t>
      </w:r>
    </w:p>
    <w:p w14:paraId="57E5AE6C" w14:textId="77777777" w:rsidR="0061727C" w:rsidRDefault="00B000E1">
      <w:pPr>
        <w:spacing w:after="10" w:line="280" w:lineRule="auto"/>
        <w:ind w:left="333" w:right="0" w:hanging="348"/>
      </w:pPr>
      <w:r>
        <w:rPr>
          <w:sz w:val="14"/>
        </w:rPr>
        <w:t>V</w:t>
      </w:r>
      <w:r>
        <w:rPr>
          <w:sz w:val="14"/>
        </w:rPr>
        <w:t>ernikovsky,</w:t>
      </w:r>
      <w:r>
        <w:rPr>
          <w:sz w:val="14"/>
        </w:rPr>
        <w:t xml:space="preserve"> </w:t>
      </w:r>
      <w:r>
        <w:rPr>
          <w:sz w:val="14"/>
        </w:rPr>
        <w:t>V., V</w:t>
      </w:r>
      <w:r>
        <w:rPr>
          <w:sz w:val="14"/>
        </w:rPr>
        <w:t xml:space="preserve">ernikovskaya </w:t>
      </w:r>
      <w:r>
        <w:rPr>
          <w:sz w:val="14"/>
        </w:rPr>
        <w:t>L., A., P</w:t>
      </w:r>
      <w:r>
        <w:rPr>
          <w:sz w:val="14"/>
        </w:rPr>
        <w:t>ease</w:t>
      </w:r>
      <w:r>
        <w:rPr>
          <w:sz w:val="14"/>
        </w:rPr>
        <w:t>, V. &amp; G</w:t>
      </w:r>
      <w:r>
        <w:rPr>
          <w:sz w:val="14"/>
        </w:rPr>
        <w:t xml:space="preserve">ee, </w:t>
      </w:r>
      <w:r>
        <w:rPr>
          <w:sz w:val="14"/>
        </w:rPr>
        <w:t xml:space="preserve">D. 2004. Neoproterozoic orogeny along the margins of Siberia. </w:t>
      </w:r>
      <w:r>
        <w:rPr>
          <w:sz w:val="14"/>
        </w:rPr>
        <w:t>In: Gee</w:t>
      </w:r>
      <w:r>
        <w:rPr>
          <w:sz w:val="14"/>
        </w:rPr>
        <w:t xml:space="preserve">, D.G. &amp; </w:t>
      </w:r>
      <w:r>
        <w:rPr>
          <w:sz w:val="14"/>
        </w:rPr>
        <w:t>Pease</w:t>
      </w:r>
      <w:r>
        <w:rPr>
          <w:sz w:val="14"/>
        </w:rPr>
        <w:t xml:space="preserve">, V. (eds) </w:t>
      </w:r>
      <w:r>
        <w:rPr>
          <w:sz w:val="14"/>
        </w:rPr>
        <w:t>The Neoproterozoic Timanide Orogen of Eastern Baltica</w:t>
      </w:r>
      <w:r>
        <w:rPr>
          <w:sz w:val="14"/>
        </w:rPr>
        <w:t xml:space="preserve">. Geological Society, London, Memoirs, </w:t>
      </w:r>
      <w:r>
        <w:rPr>
          <w:sz w:val="14"/>
        </w:rPr>
        <w:t>30</w:t>
      </w:r>
      <w:r>
        <w:rPr>
          <w:sz w:val="14"/>
        </w:rPr>
        <w:t>, 233–248.</w:t>
      </w:r>
    </w:p>
    <w:p w14:paraId="216142AC" w14:textId="77777777" w:rsidR="0061727C" w:rsidRDefault="00B000E1">
      <w:pPr>
        <w:spacing w:after="10" w:line="280" w:lineRule="auto"/>
        <w:ind w:left="333" w:right="0" w:hanging="348"/>
      </w:pPr>
      <w:r>
        <w:rPr>
          <w:sz w:val="14"/>
        </w:rPr>
        <w:t>Walderhaug, H.J., Eide, E.A., Scott, R.A., Inger, S. &amp; Golionko, B.G</w:t>
      </w:r>
      <w:r>
        <w:rPr>
          <w:sz w:val="14"/>
        </w:rPr>
        <w:t xml:space="preserve">. 2005. Palaeomagnetism and </w:t>
      </w:r>
      <w:r>
        <w:rPr>
          <w:sz w:val="14"/>
          <w:vertAlign w:val="superscript"/>
        </w:rPr>
        <w:t>40</w:t>
      </w:r>
      <w:r>
        <w:rPr>
          <w:sz w:val="14"/>
        </w:rPr>
        <w:t>Ar/</w:t>
      </w:r>
      <w:r>
        <w:rPr>
          <w:sz w:val="14"/>
          <w:vertAlign w:val="superscript"/>
        </w:rPr>
        <w:t>39</w:t>
      </w:r>
      <w:r>
        <w:rPr>
          <w:sz w:val="14"/>
        </w:rPr>
        <w:t xml:space="preserve">Ar geochronology from the South Taimyr igneous complex, Arctic Russia: </w:t>
      </w:r>
      <w:proofErr w:type="gramStart"/>
      <w:r>
        <w:rPr>
          <w:sz w:val="14"/>
        </w:rPr>
        <w:t>a</w:t>
      </w:r>
      <w:proofErr w:type="gramEnd"/>
      <w:r>
        <w:rPr>
          <w:sz w:val="14"/>
        </w:rPr>
        <w:t xml:space="preserve"> Middle–Late Triassic magneti</w:t>
      </w:r>
      <w:r>
        <w:rPr>
          <w:sz w:val="14"/>
        </w:rPr>
        <w:t xml:space="preserve">c pulse after Siberian flood-basalt volcanism. </w:t>
      </w:r>
      <w:r>
        <w:rPr>
          <w:sz w:val="14"/>
        </w:rPr>
        <w:t>Geophysical Journal International</w:t>
      </w:r>
      <w:r>
        <w:rPr>
          <w:sz w:val="14"/>
        </w:rPr>
        <w:t xml:space="preserve">, </w:t>
      </w:r>
      <w:r>
        <w:rPr>
          <w:sz w:val="14"/>
        </w:rPr>
        <w:t>163</w:t>
      </w:r>
      <w:r>
        <w:rPr>
          <w:sz w:val="14"/>
        </w:rPr>
        <w:t>, 501–517.</w:t>
      </w:r>
    </w:p>
    <w:p w14:paraId="2B47875E" w14:textId="77777777" w:rsidR="0061727C" w:rsidRDefault="00B000E1">
      <w:pPr>
        <w:spacing w:after="10" w:line="280" w:lineRule="auto"/>
        <w:ind w:left="333" w:right="0" w:hanging="348"/>
      </w:pPr>
      <w:r>
        <w:rPr>
          <w:sz w:val="14"/>
        </w:rPr>
        <w:t>W</w:t>
      </w:r>
      <w:r>
        <w:rPr>
          <w:sz w:val="14"/>
        </w:rPr>
        <w:t xml:space="preserve">hitehouse, </w:t>
      </w:r>
      <w:r>
        <w:rPr>
          <w:sz w:val="14"/>
        </w:rPr>
        <w:t>M.J. &amp; K</w:t>
      </w:r>
      <w:r>
        <w:rPr>
          <w:sz w:val="14"/>
        </w:rPr>
        <w:t xml:space="preserve">amber, </w:t>
      </w:r>
      <w:r>
        <w:rPr>
          <w:sz w:val="14"/>
        </w:rPr>
        <w:t>B.S. 2005. Assigning dates to thin gneissic veins in high-grade metamorphic terranes: a cautionary tale from Akilia, southwest Greenl</w:t>
      </w:r>
      <w:r>
        <w:rPr>
          <w:sz w:val="14"/>
        </w:rPr>
        <w:t xml:space="preserve">and. </w:t>
      </w:r>
      <w:r>
        <w:rPr>
          <w:sz w:val="14"/>
        </w:rPr>
        <w:t>Journal of Petrology</w:t>
      </w:r>
      <w:r>
        <w:rPr>
          <w:sz w:val="14"/>
        </w:rPr>
        <w:t xml:space="preserve">, </w:t>
      </w:r>
      <w:r>
        <w:rPr>
          <w:sz w:val="14"/>
        </w:rPr>
        <w:t>46</w:t>
      </w:r>
      <w:r>
        <w:rPr>
          <w:sz w:val="14"/>
        </w:rPr>
        <w:t>, 291–318.</w:t>
      </w:r>
    </w:p>
    <w:p w14:paraId="7220F48A" w14:textId="77777777" w:rsidR="0061727C" w:rsidRDefault="00B000E1">
      <w:pPr>
        <w:spacing w:after="10" w:line="280" w:lineRule="auto"/>
        <w:ind w:left="333" w:right="0" w:hanging="348"/>
      </w:pPr>
      <w:r>
        <w:rPr>
          <w:sz w:val="14"/>
        </w:rPr>
        <w:t>W</w:t>
      </w:r>
      <w:r>
        <w:rPr>
          <w:sz w:val="14"/>
        </w:rPr>
        <w:t xml:space="preserve">hitehouse, </w:t>
      </w:r>
      <w:r>
        <w:rPr>
          <w:sz w:val="14"/>
        </w:rPr>
        <w:t>M., K</w:t>
      </w:r>
      <w:r>
        <w:rPr>
          <w:sz w:val="14"/>
        </w:rPr>
        <w:t xml:space="preserve">amber, </w:t>
      </w:r>
      <w:r>
        <w:rPr>
          <w:sz w:val="14"/>
        </w:rPr>
        <w:t>B. &amp; M</w:t>
      </w:r>
      <w:r>
        <w:rPr>
          <w:sz w:val="14"/>
        </w:rPr>
        <w:t xml:space="preserve">oorbath, </w:t>
      </w:r>
      <w:r>
        <w:rPr>
          <w:sz w:val="14"/>
        </w:rPr>
        <w:t xml:space="preserve">S. 1999. Age significance of U–Th– Pb zircon data from early Archaean rocks of west Greenland—a reassessment based on combined ion-microprobe and imaging studies. </w:t>
      </w:r>
      <w:r>
        <w:rPr>
          <w:sz w:val="14"/>
        </w:rPr>
        <w:t>Chemical Geolo</w:t>
      </w:r>
      <w:r>
        <w:rPr>
          <w:sz w:val="14"/>
        </w:rPr>
        <w:t>gy</w:t>
      </w:r>
      <w:r>
        <w:rPr>
          <w:sz w:val="14"/>
        </w:rPr>
        <w:t xml:space="preserve">, </w:t>
      </w:r>
      <w:r>
        <w:rPr>
          <w:sz w:val="14"/>
        </w:rPr>
        <w:t>160</w:t>
      </w:r>
      <w:r>
        <w:rPr>
          <w:sz w:val="14"/>
        </w:rPr>
        <w:t>, 201–224.</w:t>
      </w:r>
    </w:p>
    <w:p w14:paraId="755258B3" w14:textId="77777777" w:rsidR="0061727C" w:rsidRDefault="00B000E1">
      <w:pPr>
        <w:spacing w:after="10" w:line="280" w:lineRule="auto"/>
        <w:ind w:left="333" w:right="0" w:hanging="348"/>
      </w:pPr>
      <w:r>
        <w:rPr>
          <w:sz w:val="14"/>
        </w:rPr>
        <w:t>W</w:t>
      </w:r>
      <w:r>
        <w:rPr>
          <w:sz w:val="14"/>
        </w:rPr>
        <w:t xml:space="preserve">iedenbeck, </w:t>
      </w:r>
      <w:r>
        <w:rPr>
          <w:sz w:val="14"/>
        </w:rPr>
        <w:t>M., A</w:t>
      </w:r>
      <w:r>
        <w:rPr>
          <w:sz w:val="14"/>
        </w:rPr>
        <w:t>lle</w:t>
      </w:r>
      <w:r>
        <w:rPr>
          <w:sz w:val="21"/>
          <w:vertAlign w:val="superscript"/>
        </w:rPr>
        <w:t>´</w:t>
      </w:r>
      <w:r>
        <w:rPr>
          <w:sz w:val="14"/>
        </w:rPr>
        <w:t xml:space="preserve">, </w:t>
      </w:r>
      <w:r>
        <w:rPr>
          <w:sz w:val="14"/>
        </w:rPr>
        <w:t>P., C</w:t>
      </w:r>
      <w:r>
        <w:rPr>
          <w:sz w:val="14"/>
        </w:rPr>
        <w:t xml:space="preserve">orfu, </w:t>
      </w:r>
      <w:r>
        <w:rPr>
          <w:sz w:val="14"/>
        </w:rPr>
        <w:t xml:space="preserve">F., </w:t>
      </w:r>
      <w:r>
        <w:rPr>
          <w:sz w:val="14"/>
        </w:rPr>
        <w:t xml:space="preserve">et al. </w:t>
      </w:r>
      <w:r>
        <w:rPr>
          <w:sz w:val="14"/>
        </w:rPr>
        <w:t xml:space="preserve">1995. Three natural zircon standards for U–Th–Pb, Lu–Hf, trace element and REE analysis. </w:t>
      </w:r>
      <w:r>
        <w:rPr>
          <w:sz w:val="14"/>
        </w:rPr>
        <w:t>Geostandards Newsletter</w:t>
      </w:r>
      <w:r>
        <w:rPr>
          <w:sz w:val="14"/>
        </w:rPr>
        <w:t xml:space="preserve">, </w:t>
      </w:r>
      <w:r>
        <w:rPr>
          <w:sz w:val="14"/>
        </w:rPr>
        <w:t>19</w:t>
      </w:r>
      <w:r>
        <w:rPr>
          <w:sz w:val="14"/>
        </w:rPr>
        <w:t>, 1–23.</w:t>
      </w:r>
    </w:p>
    <w:p w14:paraId="7321D3EB" w14:textId="77777777" w:rsidR="0061727C" w:rsidRDefault="00B000E1">
      <w:pPr>
        <w:spacing w:after="10" w:line="280" w:lineRule="auto"/>
        <w:ind w:left="333" w:right="0" w:hanging="348"/>
      </w:pPr>
      <w:r>
        <w:rPr>
          <w:sz w:val="14"/>
        </w:rPr>
        <w:t>Z</w:t>
      </w:r>
      <w:r>
        <w:rPr>
          <w:sz w:val="14"/>
        </w:rPr>
        <w:t xml:space="preserve">eck, H.P. </w:t>
      </w:r>
      <w:r>
        <w:rPr>
          <w:sz w:val="14"/>
        </w:rPr>
        <w:t xml:space="preserve">&amp; </w:t>
      </w:r>
      <w:r>
        <w:rPr>
          <w:sz w:val="14"/>
        </w:rPr>
        <w:t xml:space="preserve">Whitehouse, </w:t>
      </w:r>
      <w:r>
        <w:rPr>
          <w:sz w:val="14"/>
        </w:rPr>
        <w:t>M.J. 1999. Hercynian, Pan-African, Proterozo</w:t>
      </w:r>
      <w:r>
        <w:rPr>
          <w:sz w:val="14"/>
        </w:rPr>
        <w:t>ic and Archean ion-microprobe zircon ages for a Betic–Rif core complex, Alpine</w:t>
      </w:r>
    </w:p>
    <w:p w14:paraId="73CBD92D" w14:textId="77777777" w:rsidR="0061727C" w:rsidRDefault="00B000E1">
      <w:pPr>
        <w:spacing w:after="10" w:line="280" w:lineRule="auto"/>
        <w:ind w:left="339" w:right="0" w:firstLine="0"/>
      </w:pPr>
      <w:r>
        <w:rPr>
          <w:sz w:val="14"/>
        </w:rPr>
        <w:t xml:space="preserve">belt W Mediterranean—consequences for its </w:t>
      </w:r>
      <w:r>
        <w:rPr>
          <w:sz w:val="14"/>
        </w:rPr>
        <w:t>P</w:t>
      </w:r>
      <w:r>
        <w:rPr>
          <w:sz w:val="14"/>
        </w:rPr>
        <w:t>–</w:t>
      </w:r>
      <w:r>
        <w:rPr>
          <w:sz w:val="14"/>
        </w:rPr>
        <w:t>T</w:t>
      </w:r>
      <w:r>
        <w:rPr>
          <w:sz w:val="14"/>
        </w:rPr>
        <w:t>–</w:t>
      </w:r>
      <w:r>
        <w:rPr>
          <w:sz w:val="14"/>
        </w:rPr>
        <w:t xml:space="preserve">t </w:t>
      </w:r>
      <w:r>
        <w:rPr>
          <w:sz w:val="14"/>
        </w:rPr>
        <w:t xml:space="preserve">path. </w:t>
      </w:r>
      <w:r>
        <w:rPr>
          <w:sz w:val="14"/>
        </w:rPr>
        <w:t>Contributions to Mineralogy and Petrology</w:t>
      </w:r>
      <w:r>
        <w:rPr>
          <w:sz w:val="14"/>
        </w:rPr>
        <w:t xml:space="preserve">, </w:t>
      </w:r>
      <w:r>
        <w:rPr>
          <w:sz w:val="14"/>
        </w:rPr>
        <w:t>134</w:t>
      </w:r>
      <w:r>
        <w:rPr>
          <w:sz w:val="14"/>
        </w:rPr>
        <w:t>, 134–149.</w:t>
      </w:r>
    </w:p>
    <w:p w14:paraId="6E578875" w14:textId="77777777" w:rsidR="0061727C" w:rsidRDefault="00B000E1">
      <w:pPr>
        <w:spacing w:after="20" w:line="263" w:lineRule="auto"/>
        <w:ind w:left="333" w:right="0" w:hanging="348"/>
        <w:jc w:val="left"/>
      </w:pPr>
      <w:r>
        <w:rPr>
          <w:sz w:val="14"/>
        </w:rPr>
        <w:t xml:space="preserve">Ziegler, P.A. </w:t>
      </w:r>
      <w:r>
        <w:rPr>
          <w:sz w:val="14"/>
        </w:rPr>
        <w:t xml:space="preserve">1989. </w:t>
      </w:r>
      <w:r>
        <w:rPr>
          <w:sz w:val="14"/>
        </w:rPr>
        <w:t xml:space="preserve">Evolution of Laurussia: </w:t>
      </w:r>
      <w:proofErr w:type="gramStart"/>
      <w:r>
        <w:rPr>
          <w:sz w:val="14"/>
        </w:rPr>
        <w:t>a</w:t>
      </w:r>
      <w:proofErr w:type="gramEnd"/>
      <w:r>
        <w:rPr>
          <w:sz w:val="14"/>
        </w:rPr>
        <w:t xml:space="preserve"> Study in Late Palaeozoic Plate Tectonics</w:t>
      </w:r>
      <w:r>
        <w:rPr>
          <w:sz w:val="14"/>
        </w:rPr>
        <w:t>. Kluwer, Dordrecht.</w:t>
      </w:r>
    </w:p>
    <w:p w14:paraId="2F1AED1C" w14:textId="77777777" w:rsidR="0061727C" w:rsidRDefault="00B000E1">
      <w:pPr>
        <w:spacing w:after="10" w:line="280" w:lineRule="auto"/>
        <w:ind w:left="333" w:right="0" w:hanging="348"/>
      </w:pPr>
      <w:r>
        <w:rPr>
          <w:sz w:val="14"/>
        </w:rPr>
        <w:t>Z</w:t>
      </w:r>
      <w:r>
        <w:rPr>
          <w:sz w:val="14"/>
        </w:rPr>
        <w:t xml:space="preserve">onenshain, </w:t>
      </w:r>
      <w:r>
        <w:rPr>
          <w:sz w:val="14"/>
        </w:rPr>
        <w:t>L. &amp; N</w:t>
      </w:r>
      <w:r>
        <w:rPr>
          <w:sz w:val="14"/>
        </w:rPr>
        <w:t xml:space="preserve">atapov, </w:t>
      </w:r>
      <w:r>
        <w:rPr>
          <w:sz w:val="14"/>
        </w:rPr>
        <w:t xml:space="preserve">L. 1987. Tectonic history of the Arctic. </w:t>
      </w:r>
      <w:r>
        <w:rPr>
          <w:sz w:val="14"/>
        </w:rPr>
        <w:t xml:space="preserve">In: Yanshin, </w:t>
      </w:r>
      <w:r>
        <w:rPr>
          <w:sz w:val="14"/>
        </w:rPr>
        <w:t xml:space="preserve">A.L. (ed.) </w:t>
      </w:r>
      <w:r>
        <w:rPr>
          <w:sz w:val="14"/>
        </w:rPr>
        <w:t>Actual Problems of Continent and Ocean Tectonics</w:t>
      </w:r>
      <w:r>
        <w:rPr>
          <w:sz w:val="14"/>
        </w:rPr>
        <w:t>. Nauka, Moscow, 31–57 [in Russian].</w:t>
      </w:r>
    </w:p>
    <w:p w14:paraId="370727B6" w14:textId="77777777" w:rsidR="0061727C" w:rsidRDefault="00B000E1">
      <w:pPr>
        <w:spacing w:after="10" w:line="280" w:lineRule="auto"/>
        <w:ind w:left="333" w:right="0" w:hanging="348"/>
      </w:pPr>
      <w:r>
        <w:rPr>
          <w:sz w:val="14"/>
        </w:rPr>
        <w:t>Z</w:t>
      </w:r>
      <w:r>
        <w:rPr>
          <w:sz w:val="14"/>
        </w:rPr>
        <w:t xml:space="preserve">onenshain, </w:t>
      </w:r>
      <w:r>
        <w:rPr>
          <w:sz w:val="14"/>
        </w:rPr>
        <w:t>L.P., K</w:t>
      </w:r>
      <w:r>
        <w:rPr>
          <w:sz w:val="14"/>
        </w:rPr>
        <w:t xml:space="preserve">orinevsky, </w:t>
      </w:r>
      <w:r>
        <w:rPr>
          <w:sz w:val="14"/>
        </w:rPr>
        <w:t>V.G., K</w:t>
      </w:r>
      <w:r>
        <w:rPr>
          <w:sz w:val="14"/>
        </w:rPr>
        <w:t xml:space="preserve">azmin, </w:t>
      </w:r>
      <w:r>
        <w:rPr>
          <w:sz w:val="14"/>
        </w:rPr>
        <w:t>V.G., P</w:t>
      </w:r>
      <w:r>
        <w:rPr>
          <w:sz w:val="14"/>
        </w:rPr>
        <w:t xml:space="preserve">echersky, </w:t>
      </w:r>
      <w:r>
        <w:rPr>
          <w:sz w:val="14"/>
        </w:rPr>
        <w:t>D.M., K</w:t>
      </w:r>
      <w:r>
        <w:rPr>
          <w:sz w:val="14"/>
        </w:rPr>
        <w:t xml:space="preserve">hain, </w:t>
      </w:r>
      <w:r>
        <w:rPr>
          <w:sz w:val="14"/>
        </w:rPr>
        <w:t>V.V. &amp; M</w:t>
      </w:r>
      <w:r>
        <w:rPr>
          <w:sz w:val="14"/>
        </w:rPr>
        <w:t xml:space="preserve">atveenkov, </w:t>
      </w:r>
      <w:r>
        <w:rPr>
          <w:sz w:val="14"/>
        </w:rPr>
        <w:t xml:space="preserve">V.V. 1984. Plate tectonic model of the South Urals development. </w:t>
      </w:r>
      <w:r>
        <w:rPr>
          <w:sz w:val="14"/>
        </w:rPr>
        <w:t>Tectonophysics</w:t>
      </w:r>
      <w:r>
        <w:rPr>
          <w:sz w:val="14"/>
        </w:rPr>
        <w:t xml:space="preserve">, </w:t>
      </w:r>
      <w:r>
        <w:rPr>
          <w:sz w:val="14"/>
        </w:rPr>
        <w:t>109</w:t>
      </w:r>
      <w:r>
        <w:rPr>
          <w:sz w:val="14"/>
        </w:rPr>
        <w:t>, 95–135.</w:t>
      </w:r>
    </w:p>
    <w:p w14:paraId="288B311C" w14:textId="77777777" w:rsidR="0061727C" w:rsidRDefault="00B000E1">
      <w:pPr>
        <w:spacing w:after="10" w:line="280" w:lineRule="auto"/>
        <w:ind w:left="333" w:right="0" w:hanging="348"/>
      </w:pPr>
      <w:r>
        <w:rPr>
          <w:sz w:val="14"/>
        </w:rPr>
        <w:t>Z</w:t>
      </w:r>
      <w:r>
        <w:rPr>
          <w:sz w:val="14"/>
        </w:rPr>
        <w:t xml:space="preserve">onenshain, </w:t>
      </w:r>
      <w:r>
        <w:rPr>
          <w:sz w:val="14"/>
        </w:rPr>
        <w:t>L., K</w:t>
      </w:r>
      <w:r>
        <w:rPr>
          <w:sz w:val="14"/>
        </w:rPr>
        <w:t xml:space="preserve">uzmin, </w:t>
      </w:r>
      <w:r>
        <w:rPr>
          <w:sz w:val="14"/>
        </w:rPr>
        <w:t>M. &amp; N</w:t>
      </w:r>
      <w:r>
        <w:rPr>
          <w:sz w:val="14"/>
        </w:rPr>
        <w:t>ata</w:t>
      </w:r>
      <w:r>
        <w:rPr>
          <w:sz w:val="14"/>
        </w:rPr>
        <w:t xml:space="preserve">pov, </w:t>
      </w:r>
      <w:r>
        <w:rPr>
          <w:sz w:val="14"/>
        </w:rPr>
        <w:t xml:space="preserve">L. 1990. </w:t>
      </w:r>
      <w:r>
        <w:rPr>
          <w:sz w:val="14"/>
        </w:rPr>
        <w:t>Geology of the USSR: A Plate-Tectonic Synthesis</w:t>
      </w:r>
      <w:r>
        <w:rPr>
          <w:sz w:val="14"/>
        </w:rPr>
        <w:t xml:space="preserve">. American Geophysical Union, Geodynamics Series, </w:t>
      </w:r>
      <w:r>
        <w:rPr>
          <w:sz w:val="14"/>
        </w:rPr>
        <w:t>21</w:t>
      </w:r>
      <w:r>
        <w:rPr>
          <w:sz w:val="14"/>
        </w:rPr>
        <w:t>.</w:t>
      </w:r>
    </w:p>
    <w:p w14:paraId="7EE7B74A" w14:textId="77777777" w:rsidR="0061727C" w:rsidRDefault="0061727C">
      <w:pPr>
        <w:sectPr w:rsidR="0061727C">
          <w:type w:val="continuous"/>
          <w:pgSz w:w="11900" w:h="15640"/>
          <w:pgMar w:top="919" w:right="900" w:bottom="1284" w:left="907" w:header="720" w:footer="720" w:gutter="0"/>
          <w:cols w:num="2" w:space="479"/>
        </w:sectPr>
      </w:pPr>
    </w:p>
    <w:p w14:paraId="1A6F93F6" w14:textId="77777777" w:rsidR="0061727C" w:rsidRDefault="00B000E1">
      <w:pPr>
        <w:spacing w:after="0" w:line="253" w:lineRule="auto"/>
        <w:ind w:left="0" w:right="0" w:firstLine="0"/>
        <w:jc w:val="center"/>
      </w:pPr>
      <w:r>
        <w:rPr>
          <w:sz w:val="14"/>
        </w:rPr>
        <w:t>Received 21 July 2008; revised typescript accepted 20 December 2008. Scientific editing by Chris Clark.</w:t>
      </w:r>
    </w:p>
    <w:sectPr w:rsidR="0061727C">
      <w:type w:val="continuous"/>
      <w:pgSz w:w="11900" w:h="15640"/>
      <w:pgMar w:top="1004" w:right="3893" w:bottom="11911" w:left="394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9B7B3" w14:textId="77777777" w:rsidR="00000000" w:rsidRDefault="00B000E1">
      <w:pPr>
        <w:spacing w:after="0" w:line="240" w:lineRule="auto"/>
      </w:pPr>
      <w:r>
        <w:separator/>
      </w:r>
    </w:p>
  </w:endnote>
  <w:endnote w:type="continuationSeparator" w:id="0">
    <w:p w14:paraId="0ECFA0BC" w14:textId="77777777" w:rsidR="00000000" w:rsidRDefault="00B00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1ECFB" w14:textId="77777777" w:rsidR="0061727C" w:rsidRDefault="00B000E1">
    <w:pPr>
      <w:spacing w:after="0" w:line="216" w:lineRule="auto"/>
      <w:ind w:left="-897" w:right="5205" w:firstLine="0"/>
      <w:jc w:val="left"/>
    </w:pPr>
    <w:r>
      <w:rPr>
        <w:rFonts w:ascii="Arial" w:eastAsia="Arial" w:hAnsi="Arial" w:cs="Arial"/>
        <w:color w:val="000000"/>
        <w:sz w:val="12"/>
      </w:rPr>
      <w:t>Downloaded from http://pubs.geoscienceworld.org/jgs/article-pdf/166/3/517/4041441/517.pdf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8449" w14:textId="77777777" w:rsidR="0061727C" w:rsidRDefault="00B000E1">
    <w:pPr>
      <w:spacing w:after="0" w:line="216" w:lineRule="auto"/>
      <w:ind w:left="-897" w:right="5205" w:firstLine="0"/>
      <w:jc w:val="left"/>
    </w:pPr>
    <w:r>
      <w:rPr>
        <w:rFonts w:ascii="Arial" w:eastAsia="Arial" w:hAnsi="Arial" w:cs="Arial"/>
        <w:color w:val="000000"/>
        <w:sz w:val="12"/>
      </w:rPr>
      <w:t>Downloaded from http://pubs.geoscienceworld.org/jgs/article-pdf/166/3/517/4041441/517.pdf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99F7D" w14:textId="77777777" w:rsidR="0061727C" w:rsidRDefault="00B000E1">
    <w:pPr>
      <w:spacing w:after="0" w:line="216" w:lineRule="auto"/>
      <w:ind w:left="-897" w:right="5205" w:firstLine="0"/>
      <w:jc w:val="left"/>
    </w:pPr>
    <w:r>
      <w:rPr>
        <w:rFonts w:ascii="Arial" w:eastAsia="Arial" w:hAnsi="Arial" w:cs="Arial"/>
        <w:color w:val="000000"/>
        <w:sz w:val="12"/>
      </w:rPr>
      <w:t>Downloaded from http://pubs.geoscienceworld.org/jgs/article-pdf/166/3/517/4041441/517.pdf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F6DCD" w14:textId="77777777" w:rsidR="00000000" w:rsidRDefault="00B000E1">
      <w:pPr>
        <w:spacing w:after="0" w:line="240" w:lineRule="auto"/>
      </w:pPr>
      <w:r>
        <w:separator/>
      </w:r>
    </w:p>
  </w:footnote>
  <w:footnote w:type="continuationSeparator" w:id="0">
    <w:p w14:paraId="446FA8B5" w14:textId="77777777" w:rsidR="00000000" w:rsidRDefault="00B00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96608" w14:textId="77777777" w:rsidR="0061727C" w:rsidRDefault="00B000E1">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518</w:t>
    </w:r>
    <w:r>
      <w:rPr>
        <w:sz w:val="16"/>
      </w:rPr>
      <w:fldChar w:fldCharType="end"/>
    </w:r>
    <w:r>
      <w:rPr>
        <w:sz w:val="16"/>
      </w:rPr>
      <w:tab/>
      <w:t>V. PEASE &amp; R. A. SCOTT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AC1F4" w14:textId="77777777" w:rsidR="0061727C" w:rsidRDefault="00B000E1">
    <w:pPr>
      <w:tabs>
        <w:tab w:val="center" w:pos="5021"/>
        <w:tab w:val="right" w:pos="10043"/>
      </w:tabs>
      <w:spacing w:after="0" w:line="259" w:lineRule="auto"/>
      <w:ind w:left="0" w:right="-695" w:firstLine="0"/>
      <w:jc w:val="left"/>
    </w:pPr>
    <w:r>
      <w:rPr>
        <w:rFonts w:ascii="Calibri" w:eastAsia="Calibri" w:hAnsi="Calibri" w:cs="Calibri"/>
        <w:color w:val="000000"/>
        <w:sz w:val="22"/>
      </w:rPr>
      <w:tab/>
    </w:r>
    <w:r>
      <w:rPr>
        <w:sz w:val="16"/>
      </w:rPr>
      <w:t>CRUSTAL EVOLUTION IN THE ARCTIC URALIDES</w:t>
    </w:r>
    <w:r>
      <w:rPr>
        <w:sz w:val="16"/>
      </w:rPr>
      <w:tab/>
    </w:r>
    <w:r>
      <w:fldChar w:fldCharType="begin"/>
    </w:r>
    <w:r>
      <w:instrText xml:space="preserve"> PAGE   \* MERGEFORMAT </w:instrText>
    </w:r>
    <w:r>
      <w:fldChar w:fldCharType="separate"/>
    </w:r>
    <w:r>
      <w:rPr>
        <w:sz w:val="16"/>
      </w:rPr>
      <w:t>519</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8C234" w14:textId="77777777" w:rsidR="0061727C" w:rsidRDefault="0061727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B65753"/>
    <w:multiLevelType w:val="hybridMultilevel"/>
    <w:tmpl w:val="B3AEC27E"/>
    <w:lvl w:ilvl="0" w:tplc="D4042648">
      <w:start w:val="1"/>
      <w:numFmt w:val="decimal"/>
      <w:lvlText w:val="(%1)"/>
      <w:lvlJc w:val="left"/>
      <w:pPr>
        <w:ind w:left="0"/>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1" w:tplc="19180968">
      <w:start w:val="1"/>
      <w:numFmt w:val="lowerLetter"/>
      <w:lvlText w:val="%2"/>
      <w:lvlJc w:val="left"/>
      <w:pPr>
        <w:ind w:left="12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2" w:tplc="47363F3E">
      <w:start w:val="1"/>
      <w:numFmt w:val="lowerRoman"/>
      <w:lvlText w:val="%3"/>
      <w:lvlJc w:val="left"/>
      <w:pPr>
        <w:ind w:left="19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3" w:tplc="BDBEBDF8">
      <w:start w:val="1"/>
      <w:numFmt w:val="decimal"/>
      <w:lvlText w:val="%4"/>
      <w:lvlJc w:val="left"/>
      <w:pPr>
        <w:ind w:left="26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4" w:tplc="8CD2D36A">
      <w:start w:val="1"/>
      <w:numFmt w:val="lowerLetter"/>
      <w:lvlText w:val="%5"/>
      <w:lvlJc w:val="left"/>
      <w:pPr>
        <w:ind w:left="341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5" w:tplc="04BCEDC2">
      <w:start w:val="1"/>
      <w:numFmt w:val="lowerRoman"/>
      <w:lvlText w:val="%6"/>
      <w:lvlJc w:val="left"/>
      <w:pPr>
        <w:ind w:left="413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6" w:tplc="E6587C40">
      <w:start w:val="1"/>
      <w:numFmt w:val="decimal"/>
      <w:lvlText w:val="%7"/>
      <w:lvlJc w:val="left"/>
      <w:pPr>
        <w:ind w:left="48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7" w:tplc="2BD00EC4">
      <w:start w:val="1"/>
      <w:numFmt w:val="lowerLetter"/>
      <w:lvlText w:val="%8"/>
      <w:lvlJc w:val="left"/>
      <w:pPr>
        <w:ind w:left="55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8" w:tplc="B7F6F0C6">
      <w:start w:val="1"/>
      <w:numFmt w:val="lowerRoman"/>
      <w:lvlText w:val="%9"/>
      <w:lvlJc w:val="left"/>
      <w:pPr>
        <w:ind w:left="62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abstractNum>
  <w:abstractNum w:abstractNumId="1" w15:restartNumberingAfterBreak="0">
    <w:nsid w:val="3DA06626"/>
    <w:multiLevelType w:val="hybridMultilevel"/>
    <w:tmpl w:val="04FCAE6E"/>
    <w:lvl w:ilvl="0" w:tplc="20269CD8">
      <w:start w:val="1"/>
      <w:numFmt w:val="decimal"/>
      <w:lvlText w:val="(%1)"/>
      <w:lvlJc w:val="left"/>
      <w:pPr>
        <w:ind w:left="0"/>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1" w:tplc="A52AB9E4">
      <w:start w:val="1"/>
      <w:numFmt w:val="lowerLetter"/>
      <w:lvlText w:val="%2"/>
      <w:lvlJc w:val="left"/>
      <w:pPr>
        <w:ind w:left="12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2" w:tplc="DFCC508A">
      <w:start w:val="1"/>
      <w:numFmt w:val="lowerRoman"/>
      <w:lvlText w:val="%3"/>
      <w:lvlJc w:val="left"/>
      <w:pPr>
        <w:ind w:left="19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3" w:tplc="3D543956">
      <w:start w:val="1"/>
      <w:numFmt w:val="decimal"/>
      <w:lvlText w:val="%4"/>
      <w:lvlJc w:val="left"/>
      <w:pPr>
        <w:ind w:left="26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4" w:tplc="157A6916">
      <w:start w:val="1"/>
      <w:numFmt w:val="lowerLetter"/>
      <w:lvlText w:val="%5"/>
      <w:lvlJc w:val="left"/>
      <w:pPr>
        <w:ind w:left="341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5" w:tplc="E208F63C">
      <w:start w:val="1"/>
      <w:numFmt w:val="lowerRoman"/>
      <w:lvlText w:val="%6"/>
      <w:lvlJc w:val="left"/>
      <w:pPr>
        <w:ind w:left="413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6" w:tplc="20BEA12C">
      <w:start w:val="1"/>
      <w:numFmt w:val="decimal"/>
      <w:lvlText w:val="%7"/>
      <w:lvlJc w:val="left"/>
      <w:pPr>
        <w:ind w:left="48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7" w:tplc="A4C484CA">
      <w:start w:val="1"/>
      <w:numFmt w:val="lowerLetter"/>
      <w:lvlText w:val="%8"/>
      <w:lvlJc w:val="left"/>
      <w:pPr>
        <w:ind w:left="55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8" w:tplc="E0FCC562">
      <w:start w:val="1"/>
      <w:numFmt w:val="lowerRoman"/>
      <w:lvlText w:val="%9"/>
      <w:lvlJc w:val="left"/>
      <w:pPr>
        <w:ind w:left="62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abstractNum>
  <w:abstractNum w:abstractNumId="2" w15:restartNumberingAfterBreak="0">
    <w:nsid w:val="4DA21295"/>
    <w:multiLevelType w:val="hybridMultilevel"/>
    <w:tmpl w:val="1A962BDA"/>
    <w:lvl w:ilvl="0" w:tplc="B09A716A">
      <w:start w:val="1"/>
      <w:numFmt w:val="decimal"/>
      <w:lvlText w:val="(%1)"/>
      <w:lvlJc w:val="left"/>
      <w:pPr>
        <w:ind w:left="0"/>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1" w:tplc="587E3D16">
      <w:start w:val="1"/>
      <w:numFmt w:val="lowerLetter"/>
      <w:lvlText w:val="%2"/>
      <w:lvlJc w:val="left"/>
      <w:pPr>
        <w:ind w:left="12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2" w:tplc="FCA85DD6">
      <w:start w:val="1"/>
      <w:numFmt w:val="lowerRoman"/>
      <w:lvlText w:val="%3"/>
      <w:lvlJc w:val="left"/>
      <w:pPr>
        <w:ind w:left="19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3" w:tplc="78E678F4">
      <w:start w:val="1"/>
      <w:numFmt w:val="decimal"/>
      <w:lvlText w:val="%4"/>
      <w:lvlJc w:val="left"/>
      <w:pPr>
        <w:ind w:left="26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4" w:tplc="B90CAFFC">
      <w:start w:val="1"/>
      <w:numFmt w:val="lowerLetter"/>
      <w:lvlText w:val="%5"/>
      <w:lvlJc w:val="left"/>
      <w:pPr>
        <w:ind w:left="341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5" w:tplc="E2B2660C">
      <w:start w:val="1"/>
      <w:numFmt w:val="lowerRoman"/>
      <w:lvlText w:val="%6"/>
      <w:lvlJc w:val="left"/>
      <w:pPr>
        <w:ind w:left="413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6" w:tplc="5420CED0">
      <w:start w:val="1"/>
      <w:numFmt w:val="decimal"/>
      <w:lvlText w:val="%7"/>
      <w:lvlJc w:val="left"/>
      <w:pPr>
        <w:ind w:left="485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7" w:tplc="B4302B76">
      <w:start w:val="1"/>
      <w:numFmt w:val="lowerLetter"/>
      <w:lvlText w:val="%8"/>
      <w:lvlJc w:val="left"/>
      <w:pPr>
        <w:ind w:left="557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lvl w:ilvl="8" w:tplc="D5B86D52">
      <w:start w:val="1"/>
      <w:numFmt w:val="lowerRoman"/>
      <w:lvlText w:val="%9"/>
      <w:lvlJc w:val="left"/>
      <w:pPr>
        <w:ind w:left="6299"/>
      </w:pPr>
      <w:rPr>
        <w:rFonts w:ascii="Times New Roman" w:eastAsia="Times New Roman" w:hAnsi="Times New Roman" w:cs="Times New Roman"/>
        <w:b w:val="0"/>
        <w:i w:val="0"/>
        <w:strike w:val="0"/>
        <w:dstrike w:val="0"/>
        <w:color w:val="221D1F"/>
        <w:sz w:val="18"/>
        <w:szCs w:val="1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7C"/>
    <w:rsid w:val="0061727C"/>
    <w:rsid w:val="00B00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55FB5"/>
  <w15:docId w15:val="{F4E77373-08AD-465C-B225-DB4384EA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2" w:lineRule="auto"/>
      <w:ind w:left="50" w:right="374"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4" w:line="259" w:lineRule="auto"/>
      <w:ind w:left="1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8364</Words>
  <Characters>47679</Characters>
  <Application>Microsoft Office Word</Application>
  <DocSecurity>0</DocSecurity>
  <Lines>397</Lines>
  <Paragraphs>111</Paragraphs>
  <ScaleCrop>false</ScaleCrop>
  <Company/>
  <LinksUpToDate>false</LinksUpToDate>
  <CharactersWithSpaces>55932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Jg166311 517..527</dc:title>
  <dc:subject/>
  <dc:creator>wang dachui</dc:creator>
  <cp:keywords/>
  <cp:lastModifiedBy>wang dachui</cp:lastModifiedBy>
  <cp:revision>2</cp:revision>
  <dcterms:created xsi:type="dcterms:W3CDTF">2021-02-13T08:54:00Z</dcterms:created>
  <dcterms:modified xsi:type="dcterms:W3CDTF">2021-02-13T08:54:00Z</dcterms:modified>
</cp:coreProperties>
</file>