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77D26C" w14:textId="77777777" w:rsidR="00CF7124" w:rsidRDefault="001578E5">
      <w:pPr>
        <w:tabs>
          <w:tab w:val="center" w:pos="4354"/>
          <w:tab w:val="right" w:pos="9326"/>
        </w:tabs>
        <w:spacing w:after="4" w:line="269" w:lineRule="auto"/>
        <w:ind w:left="-15" w:firstLine="0"/>
        <w:jc w:val="left"/>
      </w:pPr>
      <w:r>
        <w:rPr>
          <w:noProof/>
        </w:rPr>
        <w:drawing>
          <wp:anchor distT="0" distB="0" distL="114300" distR="114300" simplePos="0" relativeHeight="251658240" behindDoc="0" locked="0" layoutInCell="1" allowOverlap="0" wp14:anchorId="45484A08" wp14:editId="014CE310">
            <wp:simplePos x="0" y="0"/>
            <wp:positionH relativeFrom="column">
              <wp:posOffset>1681219</wp:posOffset>
            </wp:positionH>
            <wp:positionV relativeFrom="paragraph">
              <wp:posOffset>0</wp:posOffset>
            </wp:positionV>
            <wp:extent cx="2163803" cy="432720"/>
            <wp:effectExtent l="0" t="0" r="0" b="0"/>
            <wp:wrapSquare wrapText="bothSides"/>
            <wp:docPr id="89" name="Picture 89"/>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7"/>
                    <a:stretch>
                      <a:fillRect/>
                    </a:stretch>
                  </pic:blipFill>
                  <pic:spPr>
                    <a:xfrm>
                      <a:off x="0" y="0"/>
                      <a:ext cx="2163803" cy="432720"/>
                    </a:xfrm>
                    <a:prstGeom prst="rect">
                      <a:avLst/>
                    </a:prstGeom>
                  </pic:spPr>
                </pic:pic>
              </a:graphicData>
            </a:graphic>
          </wp:anchor>
        </w:drawing>
      </w:r>
      <w:r>
        <w:rPr>
          <w:noProof/>
        </w:rPr>
        <w:drawing>
          <wp:inline distT="0" distB="0" distL="0" distR="0" wp14:anchorId="7DAF7B3B" wp14:editId="50177CE5">
            <wp:extent cx="685821" cy="757440"/>
            <wp:effectExtent l="0" t="0" r="0" b="0"/>
            <wp:docPr id="85" name="Picture 85"/>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8"/>
                    <a:stretch>
                      <a:fillRect/>
                    </a:stretch>
                  </pic:blipFill>
                  <pic:spPr>
                    <a:xfrm>
                      <a:off x="0" y="0"/>
                      <a:ext cx="685821" cy="757440"/>
                    </a:xfrm>
                    <a:prstGeom prst="rect">
                      <a:avLst/>
                    </a:prstGeom>
                  </pic:spPr>
                </pic:pic>
              </a:graphicData>
            </a:graphic>
          </wp:inline>
        </w:drawing>
      </w:r>
      <w:r>
        <w:rPr>
          <w:sz w:val="16"/>
        </w:rPr>
        <w:tab/>
        <w:t>Palaeogeography, Palaeoclimatology, Palaeoecology 234 (2006) 239–257</w:t>
      </w:r>
      <w:r>
        <w:rPr>
          <w:sz w:val="16"/>
        </w:rPr>
        <w:tab/>
      </w:r>
      <w:r>
        <w:rPr>
          <w:noProof/>
        </w:rPr>
        <w:drawing>
          <wp:inline distT="0" distB="0" distL="0" distR="0" wp14:anchorId="301F4950" wp14:editId="3B4C6006">
            <wp:extent cx="1072622" cy="757440"/>
            <wp:effectExtent l="0" t="0" r="0" b="0"/>
            <wp:docPr id="87" name="Picture 87"/>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9"/>
                    <a:stretch>
                      <a:fillRect/>
                    </a:stretch>
                  </pic:blipFill>
                  <pic:spPr>
                    <a:xfrm>
                      <a:off x="0" y="0"/>
                      <a:ext cx="1072622" cy="757440"/>
                    </a:xfrm>
                    <a:prstGeom prst="rect">
                      <a:avLst/>
                    </a:prstGeom>
                  </pic:spPr>
                </pic:pic>
              </a:graphicData>
            </a:graphic>
          </wp:inline>
        </w:drawing>
      </w:r>
    </w:p>
    <w:p w14:paraId="66D05C96" w14:textId="77777777" w:rsidR="00CF7124" w:rsidRDefault="001578E5">
      <w:pPr>
        <w:spacing w:after="754" w:line="259" w:lineRule="auto"/>
        <w:ind w:firstLine="0"/>
        <w:jc w:val="right"/>
      </w:pPr>
      <w:r>
        <w:rPr>
          <w:sz w:val="16"/>
        </w:rPr>
        <w:t>www.elsevier.com/locate/palaeo</w:t>
      </w:r>
    </w:p>
    <w:p w14:paraId="627CE126" w14:textId="77777777" w:rsidR="00CF7124" w:rsidRDefault="001578E5">
      <w:pPr>
        <w:spacing w:after="0" w:line="259" w:lineRule="auto"/>
        <w:ind w:left="10" w:right="2" w:hanging="10"/>
        <w:jc w:val="center"/>
      </w:pPr>
      <w:r>
        <w:rPr>
          <w:sz w:val="34"/>
        </w:rPr>
        <w:t>Carbonate production by rudist bivalves. The record of Late</w:t>
      </w:r>
    </w:p>
    <w:p w14:paraId="6BD655E7" w14:textId="77777777" w:rsidR="00CF7124" w:rsidRDefault="001578E5">
      <w:pPr>
        <w:spacing w:after="192" w:line="259" w:lineRule="auto"/>
        <w:ind w:left="10" w:right="2" w:hanging="10"/>
        <w:jc w:val="center"/>
      </w:pPr>
      <w:r>
        <w:rPr>
          <w:sz w:val="34"/>
        </w:rPr>
        <w:t>Barremian requieniid communities from Provence (SE France)</w:t>
      </w:r>
    </w:p>
    <w:p w14:paraId="18AA7CBA" w14:textId="77777777" w:rsidR="00CF7124" w:rsidRDefault="001578E5">
      <w:pPr>
        <w:spacing w:after="84" w:line="259" w:lineRule="auto"/>
        <w:ind w:right="2" w:firstLine="0"/>
        <w:jc w:val="center"/>
      </w:pPr>
      <w:r>
        <w:rPr>
          <w:sz w:val="26"/>
        </w:rPr>
        <w:t>Jean-Pierre Masse *, Mu¨kerrem Fenerci-Masse</w:t>
      </w:r>
    </w:p>
    <w:p w14:paraId="5F7F9E25" w14:textId="77777777" w:rsidR="00CF7124" w:rsidRDefault="001578E5">
      <w:pPr>
        <w:spacing w:after="118" w:line="259" w:lineRule="auto"/>
        <w:ind w:firstLine="0"/>
        <w:jc w:val="center"/>
      </w:pPr>
      <w:r>
        <w:rPr>
          <w:sz w:val="16"/>
        </w:rPr>
        <w:t>Centre de Se´dimentologie-Pale´ontologie, associe´ au C.N.R.S., Universite´ de Provence, 13331 Marseille Cedex 03, France</w:t>
      </w:r>
    </w:p>
    <w:p w14:paraId="3DE2E295" w14:textId="77777777" w:rsidR="00CF7124" w:rsidRDefault="001578E5">
      <w:pPr>
        <w:spacing w:after="360" w:line="265" w:lineRule="auto"/>
        <w:ind w:left="10" w:right="1" w:hanging="10"/>
        <w:jc w:val="center"/>
      </w:pPr>
      <w:r>
        <w:rPr>
          <w:sz w:val="16"/>
        </w:rPr>
        <w:t>Received 22 February 2005; rec</w:t>
      </w:r>
      <w:r>
        <w:rPr>
          <w:sz w:val="16"/>
        </w:rPr>
        <w:t>eived in revised form 7 September 2005; accepted 13 October 2005</w:t>
      </w:r>
    </w:p>
    <w:p w14:paraId="441B529C" w14:textId="77777777" w:rsidR="00CF7124" w:rsidRDefault="001578E5">
      <w:pPr>
        <w:spacing w:after="200" w:line="259" w:lineRule="auto"/>
        <w:ind w:firstLine="0"/>
        <w:jc w:val="left"/>
      </w:pPr>
      <w:r>
        <w:rPr>
          <w:rFonts w:ascii="Calibri" w:eastAsia="Calibri" w:hAnsi="Calibri" w:cs="Calibri"/>
          <w:noProof/>
          <w:color w:val="000000"/>
          <w:sz w:val="22"/>
        </w:rPr>
        <mc:AlternateContent>
          <mc:Choice Requires="wpg">
            <w:drawing>
              <wp:inline distT="0" distB="0" distL="0" distR="0" wp14:anchorId="7C0C9779" wp14:editId="0A1C003C">
                <wp:extent cx="5921274" cy="3600"/>
                <wp:effectExtent l="0" t="0" r="0" b="0"/>
                <wp:docPr id="29525" name="Group 29525"/>
                <wp:cNvGraphicFramePr/>
                <a:graphic xmlns:a="http://schemas.openxmlformats.org/drawingml/2006/main">
                  <a:graphicData uri="http://schemas.microsoft.com/office/word/2010/wordprocessingGroup">
                    <wpg:wgp>
                      <wpg:cNvGrpSpPr/>
                      <wpg:grpSpPr>
                        <a:xfrm>
                          <a:off x="0" y="0"/>
                          <a:ext cx="5921274" cy="3600"/>
                          <a:chOff x="0" y="0"/>
                          <a:chExt cx="5921274" cy="3600"/>
                        </a:xfrm>
                      </wpg:grpSpPr>
                      <wps:wsp>
                        <wps:cNvPr id="40568" name="Shape 40568"/>
                        <wps:cNvSpPr/>
                        <wps:spPr>
                          <a:xfrm>
                            <a:off x="0" y="0"/>
                            <a:ext cx="5921274" cy="9144"/>
                          </a:xfrm>
                          <a:custGeom>
                            <a:avLst/>
                            <a:gdLst/>
                            <a:ahLst/>
                            <a:cxnLst/>
                            <a:rect l="0" t="0" r="0" b="0"/>
                            <a:pathLst>
                              <a:path w="5921274" h="9144">
                                <a:moveTo>
                                  <a:pt x="0" y="0"/>
                                </a:moveTo>
                                <a:lnTo>
                                  <a:pt x="5921274" y="0"/>
                                </a:lnTo>
                                <a:lnTo>
                                  <a:pt x="5921274" y="9144"/>
                                </a:lnTo>
                                <a:lnTo>
                                  <a:pt x="0" y="9144"/>
                                </a:lnTo>
                                <a:lnTo>
                                  <a:pt x="0" y="0"/>
                                </a:lnTo>
                              </a:path>
                            </a:pathLst>
                          </a:custGeom>
                          <a:ln w="0" cap="flat">
                            <a:miter lim="127000"/>
                          </a:ln>
                        </wps:spPr>
                        <wps:style>
                          <a:lnRef idx="0">
                            <a:srgbClr val="000000">
                              <a:alpha val="0"/>
                            </a:srgbClr>
                          </a:lnRef>
                          <a:fillRef idx="1">
                            <a:srgbClr val="221F1F"/>
                          </a:fillRef>
                          <a:effectRef idx="0">
                            <a:scrgbClr r="0" g="0" b="0"/>
                          </a:effectRef>
                          <a:fontRef idx="none"/>
                        </wps:style>
                        <wps:bodyPr/>
                      </wps:wsp>
                    </wpg:wgp>
                  </a:graphicData>
                </a:graphic>
              </wp:inline>
            </w:drawing>
          </mc:Choice>
          <mc:Fallback xmlns:a="http://schemas.openxmlformats.org/drawingml/2006/main">
            <w:pict>
              <v:group id="Group 29525" style="width:466.242pt;height:0.283447pt;mso-position-horizontal-relative:char;mso-position-vertical-relative:line" coordsize="59212,36">
                <v:shape id="Shape 40569" style="position:absolute;width:59212;height:91;left:0;top:0;" coordsize="5921274,9144" path="m0,0l5921274,0l5921274,9144l0,9144l0,0">
                  <v:stroke weight="0pt" endcap="flat" joinstyle="miter" miterlimit="10" on="false" color="#000000" opacity="0"/>
                  <v:fill on="true" color="#221f1f"/>
                </v:shape>
              </v:group>
            </w:pict>
          </mc:Fallback>
        </mc:AlternateContent>
      </w:r>
    </w:p>
    <w:p w14:paraId="673CF466" w14:textId="77777777" w:rsidR="00CF7124" w:rsidRDefault="001578E5">
      <w:pPr>
        <w:spacing w:after="214" w:line="259" w:lineRule="auto"/>
        <w:ind w:firstLine="0"/>
        <w:jc w:val="left"/>
      </w:pPr>
      <w:r>
        <w:rPr>
          <w:sz w:val="18"/>
        </w:rPr>
        <w:t>Abstract</w:t>
      </w:r>
    </w:p>
    <w:p w14:paraId="2878E312" w14:textId="77777777" w:rsidR="00CF7124" w:rsidRDefault="001578E5">
      <w:pPr>
        <w:spacing w:after="208" w:line="259" w:lineRule="auto"/>
        <w:ind w:left="-15" w:firstLine="239"/>
      </w:pPr>
      <w:r>
        <w:rPr>
          <w:sz w:val="18"/>
        </w:rPr>
        <w:t>Rudist-bearing sediments from platform carbonates of Late Barremian age (Early Cretaceous) cropping out in the Marseille region (Provence, SE France), were investigated on a 46 km wide transect, after seven stratigraphic sections, to quantify the role of r</w:t>
      </w:r>
      <w:r>
        <w:rPr>
          <w:sz w:val="18"/>
        </w:rPr>
        <w:t>udists in the corresponding stratigraphic system, by using various proxies. The regional stratigraphic contribution (% of total thickness) of rudist beds is relatively high (43.1%). Each rudist community type possesses a specific skeletal contribution (% o</w:t>
      </w:r>
      <w:r>
        <w:rPr>
          <w:sz w:val="18"/>
        </w:rPr>
        <w:t>f skeletal content) in the range of 19.2 to 31.5%. At a stratigraphic scale, including rudist rich and rudist free beds, the skeletal contribution drops to 13.8%: this value is derived from the standard skeletal contribution obtained for each community typ</w:t>
      </w:r>
      <w:r>
        <w:rPr>
          <w:sz w:val="18"/>
        </w:rPr>
        <w:t>e, combined with the stratigraphic contribution of rudist beds in vertical successions and horizontal stratigraphic units. A closely related value (12.8%) is obtained from calculations using specific lateral dimensions of rudist bodies and their spacing (</w:t>
      </w:r>
      <w:proofErr w:type="gramStart"/>
      <w:r>
        <w:rPr>
          <w:sz w:val="18"/>
        </w:rPr>
        <w:t>i</w:t>
      </w:r>
      <w:r>
        <w:rPr>
          <w:sz w:val="18"/>
        </w:rPr>
        <w:t>.e.</w:t>
      </w:r>
      <w:proofErr w:type="gramEnd"/>
      <w:r>
        <w:rPr>
          <w:sz w:val="18"/>
        </w:rPr>
        <w:t xml:space="preserve"> modules) depending on community types. Each community has </w:t>
      </w:r>
      <w:proofErr w:type="gramStart"/>
      <w:r>
        <w:rPr>
          <w:sz w:val="18"/>
        </w:rPr>
        <w:t>a particular, potential</w:t>
      </w:r>
      <w:proofErr w:type="gramEnd"/>
      <w:r>
        <w:rPr>
          <w:sz w:val="18"/>
        </w:rPr>
        <w:t xml:space="preserve">, quantitative contribution to the overall regional stratigraphic system. Rudist production is deduced from the cyclostratigraphic approach of accumulation rates for each </w:t>
      </w:r>
      <w:r>
        <w:rPr>
          <w:sz w:val="18"/>
        </w:rPr>
        <w:t>community type. Estimates of CaCO</w:t>
      </w:r>
      <w:r>
        <w:rPr>
          <w:sz w:val="18"/>
          <w:vertAlign w:val="subscript"/>
        </w:rPr>
        <w:t xml:space="preserve">3 </w:t>
      </w:r>
      <w:r>
        <w:rPr>
          <w:sz w:val="18"/>
        </w:rPr>
        <w:t>net production are in the range of 19 to 50 kg m</w:t>
      </w:r>
      <w:r>
        <w:rPr>
          <w:sz w:val="18"/>
          <w:vertAlign w:val="superscript"/>
        </w:rPr>
        <w:t xml:space="preserve">2 </w:t>
      </w:r>
      <w:r>
        <w:rPr>
          <w:sz w:val="18"/>
        </w:rPr>
        <w:t>ka</w:t>
      </w:r>
      <w:r>
        <w:rPr>
          <w:sz w:val="18"/>
          <w:vertAlign w:val="superscript"/>
        </w:rPr>
        <w:t>1</w:t>
      </w:r>
      <w:r>
        <w:rPr>
          <w:sz w:val="18"/>
        </w:rPr>
        <w:t>. These values are very low when compared with those obtained, at a biological scale, for modern bivalves, Late Cretaceous rudists and recent coral reefs. The geologica</w:t>
      </w:r>
      <w:r>
        <w:rPr>
          <w:sz w:val="18"/>
        </w:rPr>
        <w:t>l scale used for our estimates may partly account for this difference whereas low accommodation rates linked to Cretaceous greenhouse conditions appear a potential important factor in this respect. The low net production of requieniid dominated communities</w:t>
      </w:r>
      <w:r>
        <w:rPr>
          <w:sz w:val="18"/>
        </w:rPr>
        <w:t xml:space="preserve">, sediment dwellers not framework builders, also reflects their limited sedimentogenetic power. </w:t>
      </w:r>
      <w:r>
        <w:rPr>
          <w:rFonts w:ascii="Calibri" w:eastAsia="Calibri" w:hAnsi="Calibri" w:cs="Calibri"/>
          <w:sz w:val="18"/>
        </w:rPr>
        <w:t xml:space="preserve">D </w:t>
      </w:r>
      <w:r>
        <w:rPr>
          <w:sz w:val="18"/>
        </w:rPr>
        <w:t>2005 Elsevier B.V. All rights reserved.</w:t>
      </w:r>
    </w:p>
    <w:p w14:paraId="40ABE03D" w14:textId="77777777" w:rsidR="00CF7124" w:rsidRDefault="001578E5">
      <w:pPr>
        <w:spacing w:after="4" w:line="269" w:lineRule="auto"/>
        <w:ind w:left="-15" w:firstLine="0"/>
      </w:pPr>
      <w:r>
        <w:rPr>
          <w:sz w:val="16"/>
        </w:rPr>
        <w:t xml:space="preserve">Keywords: </w:t>
      </w:r>
      <w:r>
        <w:rPr>
          <w:sz w:val="16"/>
        </w:rPr>
        <w:t>Carbonate production; Rudists; Communities; Early Cretaceous; SE France</w:t>
      </w:r>
    </w:p>
    <w:p w14:paraId="1CC64E91" w14:textId="77777777" w:rsidR="00CF7124" w:rsidRDefault="001578E5">
      <w:pPr>
        <w:spacing w:after="0" w:line="259" w:lineRule="auto"/>
        <w:ind w:firstLine="0"/>
        <w:jc w:val="left"/>
      </w:pPr>
      <w:r>
        <w:rPr>
          <w:rFonts w:ascii="Calibri" w:eastAsia="Calibri" w:hAnsi="Calibri" w:cs="Calibri"/>
          <w:noProof/>
          <w:color w:val="000000"/>
          <w:sz w:val="22"/>
        </w:rPr>
        <mc:AlternateContent>
          <mc:Choice Requires="wpg">
            <w:drawing>
              <wp:inline distT="0" distB="0" distL="0" distR="0" wp14:anchorId="6F41BA43" wp14:editId="47938C95">
                <wp:extent cx="5921274" cy="2880"/>
                <wp:effectExtent l="0" t="0" r="0" b="0"/>
                <wp:docPr id="29526" name="Group 29526"/>
                <wp:cNvGraphicFramePr/>
                <a:graphic xmlns:a="http://schemas.openxmlformats.org/drawingml/2006/main">
                  <a:graphicData uri="http://schemas.microsoft.com/office/word/2010/wordprocessingGroup">
                    <wpg:wgp>
                      <wpg:cNvGrpSpPr/>
                      <wpg:grpSpPr>
                        <a:xfrm>
                          <a:off x="0" y="0"/>
                          <a:ext cx="5921274" cy="2880"/>
                          <a:chOff x="0" y="0"/>
                          <a:chExt cx="5921274" cy="2880"/>
                        </a:xfrm>
                      </wpg:grpSpPr>
                      <wps:wsp>
                        <wps:cNvPr id="40570" name="Shape 40570"/>
                        <wps:cNvSpPr/>
                        <wps:spPr>
                          <a:xfrm>
                            <a:off x="0" y="0"/>
                            <a:ext cx="5921274" cy="9144"/>
                          </a:xfrm>
                          <a:custGeom>
                            <a:avLst/>
                            <a:gdLst/>
                            <a:ahLst/>
                            <a:cxnLst/>
                            <a:rect l="0" t="0" r="0" b="0"/>
                            <a:pathLst>
                              <a:path w="5921274" h="9144">
                                <a:moveTo>
                                  <a:pt x="0" y="0"/>
                                </a:moveTo>
                                <a:lnTo>
                                  <a:pt x="5921274" y="0"/>
                                </a:lnTo>
                                <a:lnTo>
                                  <a:pt x="5921274" y="9144"/>
                                </a:lnTo>
                                <a:lnTo>
                                  <a:pt x="0" y="9144"/>
                                </a:lnTo>
                                <a:lnTo>
                                  <a:pt x="0" y="0"/>
                                </a:lnTo>
                              </a:path>
                            </a:pathLst>
                          </a:custGeom>
                          <a:ln w="0" cap="flat">
                            <a:miter lim="127000"/>
                          </a:ln>
                        </wps:spPr>
                        <wps:style>
                          <a:lnRef idx="0">
                            <a:srgbClr val="000000">
                              <a:alpha val="0"/>
                            </a:srgbClr>
                          </a:lnRef>
                          <a:fillRef idx="1">
                            <a:srgbClr val="221F1F"/>
                          </a:fillRef>
                          <a:effectRef idx="0">
                            <a:scrgbClr r="0" g="0" b="0"/>
                          </a:effectRef>
                          <a:fontRef idx="none"/>
                        </wps:style>
                        <wps:bodyPr/>
                      </wps:wsp>
                    </wpg:wgp>
                  </a:graphicData>
                </a:graphic>
              </wp:inline>
            </w:drawing>
          </mc:Choice>
          <mc:Fallback xmlns:a="http://schemas.openxmlformats.org/drawingml/2006/main">
            <w:pict>
              <v:group id="Group 29526" style="width:466.242pt;height:0.226807pt;mso-position-horizontal-relative:char;mso-position-vertical-relative:line" coordsize="59212,28">
                <v:shape id="Shape 40571" style="position:absolute;width:59212;height:91;left:0;top:0;" coordsize="5921274,9144" path="m0,0l5921274,0l5921274,9144l0,9144l0,0">
                  <v:stroke weight="0pt" endcap="flat" joinstyle="miter" miterlimit="10" on="false" color="#000000" opacity="0"/>
                  <v:fill on="true" color="#221f1f"/>
                </v:shape>
              </v:group>
            </w:pict>
          </mc:Fallback>
        </mc:AlternateContent>
      </w:r>
    </w:p>
    <w:p w14:paraId="7EC0D24F" w14:textId="77777777" w:rsidR="00CF7124" w:rsidRDefault="00CF7124">
      <w:pPr>
        <w:sectPr w:rsidR="00CF7124">
          <w:headerReference w:type="even" r:id="rId10"/>
          <w:headerReference w:type="default" r:id="rId11"/>
          <w:headerReference w:type="first" r:id="rId12"/>
          <w:pgSz w:w="10885" w:h="14854"/>
          <w:pgMar w:top="907" w:right="823" w:bottom="1033" w:left="737" w:header="720" w:footer="720" w:gutter="0"/>
          <w:pgNumType w:start="239"/>
          <w:cols w:space="720"/>
          <w:titlePg/>
        </w:sectPr>
      </w:pPr>
    </w:p>
    <w:p w14:paraId="46512566" w14:textId="77777777" w:rsidR="00CF7124" w:rsidRDefault="001578E5">
      <w:pPr>
        <w:spacing w:after="234" w:line="253" w:lineRule="auto"/>
        <w:ind w:left="-5" w:hanging="10"/>
        <w:jc w:val="left"/>
      </w:pPr>
      <w:r>
        <w:t>1. Introduction</w:t>
      </w:r>
    </w:p>
    <w:p w14:paraId="321487E8" w14:textId="77777777" w:rsidR="00CF7124" w:rsidRDefault="001578E5">
      <w:pPr>
        <w:spacing w:after="31"/>
        <w:ind w:left="-15"/>
      </w:pPr>
      <w:r>
        <w:t>Rudist bivalves (superfamily Hippuritoidea) were prominent components of Cretaceous Tethyan shallow water, carbonate platforms (</w:t>
      </w:r>
      <w:r>
        <w:rPr>
          <w:color w:val="2D3092"/>
        </w:rPr>
        <w:t xml:space="preserve">Masse and Philip, 1981; Ross and Skelton, 1993; Gili et al., 1995; Skelton and </w:t>
      </w:r>
      <w:r>
        <w:rPr>
          <w:color w:val="2D3092"/>
        </w:rPr>
        <w:t>Masse, 2000</w:t>
      </w:r>
      <w:r>
        <w:rPr>
          <w:color w:val="2D3092"/>
        </w:rPr>
        <w:t>; Steuber and Lo¨ser, 2000</w:t>
      </w:r>
      <w:r>
        <w:t>) where they are currently claimed to have been important sedimentproducers (</w:t>
      </w:r>
      <w:r>
        <w:rPr>
          <w:color w:val="2D3092"/>
        </w:rPr>
        <w:t>Ross and Skelton, 1993; Carannante et al.,</w:t>
      </w:r>
    </w:p>
    <w:tbl>
      <w:tblPr>
        <w:tblStyle w:val="TableGrid"/>
        <w:tblW w:w="4710" w:type="dxa"/>
        <w:tblInd w:w="0" w:type="dxa"/>
        <w:tblCellMar>
          <w:top w:w="0" w:type="dxa"/>
          <w:left w:w="0" w:type="dxa"/>
          <w:bottom w:w="0" w:type="dxa"/>
          <w:right w:w="0" w:type="dxa"/>
        </w:tblCellMar>
        <w:tblLook w:val="04A0" w:firstRow="1" w:lastRow="0" w:firstColumn="1" w:lastColumn="0" w:noHBand="0" w:noVBand="1"/>
      </w:tblPr>
      <w:tblGrid>
        <w:gridCol w:w="4710"/>
      </w:tblGrid>
      <w:tr w:rsidR="00CF7124" w14:paraId="2D0350C5" w14:textId="77777777">
        <w:trPr>
          <w:trHeight w:val="974"/>
        </w:trPr>
        <w:tc>
          <w:tcPr>
            <w:tcW w:w="4710" w:type="dxa"/>
            <w:tcBorders>
              <w:top w:val="nil"/>
              <w:left w:val="nil"/>
              <w:bottom w:val="nil"/>
              <w:right w:val="nil"/>
            </w:tcBorders>
          </w:tcPr>
          <w:p w14:paraId="58AE9E8E" w14:textId="77777777" w:rsidR="00CF7124" w:rsidRDefault="001578E5">
            <w:pPr>
              <w:spacing w:after="87" w:line="259" w:lineRule="auto"/>
              <w:ind w:firstLine="0"/>
              <w:jc w:val="left"/>
            </w:pPr>
            <w:r>
              <w:rPr>
                <w:rFonts w:ascii="Calibri" w:eastAsia="Calibri" w:hAnsi="Calibri" w:cs="Calibri"/>
                <w:noProof/>
                <w:color w:val="000000"/>
                <w:sz w:val="22"/>
              </w:rPr>
              <w:lastRenderedPageBreak/>
              <mc:AlternateContent>
                <mc:Choice Requires="wpg">
                  <w:drawing>
                    <wp:inline distT="0" distB="0" distL="0" distR="0" wp14:anchorId="02850DDE" wp14:editId="4571BA0A">
                      <wp:extent cx="455765" cy="2883"/>
                      <wp:effectExtent l="0" t="0" r="0" b="0"/>
                      <wp:docPr id="29783" name="Group 29783"/>
                      <wp:cNvGraphicFramePr/>
                      <a:graphic xmlns:a="http://schemas.openxmlformats.org/drawingml/2006/main">
                        <a:graphicData uri="http://schemas.microsoft.com/office/word/2010/wordprocessingGroup">
                          <wpg:wgp>
                            <wpg:cNvGrpSpPr/>
                            <wpg:grpSpPr>
                              <a:xfrm>
                                <a:off x="0" y="0"/>
                                <a:ext cx="455765" cy="2883"/>
                                <a:chOff x="0" y="0"/>
                                <a:chExt cx="455765" cy="2883"/>
                              </a:xfrm>
                            </wpg:grpSpPr>
                            <wps:wsp>
                              <wps:cNvPr id="79" name="Shape 79"/>
                              <wps:cNvSpPr/>
                              <wps:spPr>
                                <a:xfrm>
                                  <a:off x="0" y="0"/>
                                  <a:ext cx="455765" cy="0"/>
                                </a:xfrm>
                                <a:custGeom>
                                  <a:avLst/>
                                  <a:gdLst/>
                                  <a:ahLst/>
                                  <a:cxnLst/>
                                  <a:rect l="0" t="0" r="0" b="0"/>
                                  <a:pathLst>
                                    <a:path w="455765">
                                      <a:moveTo>
                                        <a:pt x="0" y="0"/>
                                      </a:moveTo>
                                      <a:lnTo>
                                        <a:pt x="455765" y="0"/>
                                      </a:lnTo>
                                    </a:path>
                                  </a:pathLst>
                                </a:custGeom>
                                <a:ln w="2883" cap="flat">
                                  <a:round/>
                                </a:ln>
                              </wps:spPr>
                              <wps:style>
                                <a:lnRef idx="1">
                                  <a:srgbClr val="221F1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9783" style="width:35.887pt;height:0.227pt;mso-position-horizontal-relative:char;mso-position-vertical-relative:line" coordsize="4557,28">
                      <v:shape id="Shape 79" style="position:absolute;width:4557;height:0;left:0;top:0;" coordsize="455765,0" path="m0,0l455765,0">
                        <v:stroke weight="0.227pt" endcap="flat" joinstyle="round" on="true" color="#221f1f"/>
                        <v:fill on="false" color="#000000" opacity="0"/>
                      </v:shape>
                    </v:group>
                  </w:pict>
                </mc:Fallback>
              </mc:AlternateContent>
            </w:r>
          </w:p>
          <w:p w14:paraId="3E058E2B" w14:textId="77777777" w:rsidR="00CF7124" w:rsidRDefault="001578E5">
            <w:pPr>
              <w:spacing w:after="20" w:line="259" w:lineRule="auto"/>
              <w:ind w:left="90" w:firstLine="0"/>
              <w:jc w:val="left"/>
            </w:pPr>
            <w:r>
              <w:rPr>
                <w:sz w:val="16"/>
              </w:rPr>
              <w:t>* Corresponding author.</w:t>
            </w:r>
          </w:p>
          <w:p w14:paraId="762BE6A1" w14:textId="77777777" w:rsidR="00CF7124" w:rsidRDefault="001578E5">
            <w:pPr>
              <w:spacing w:after="169" w:line="259" w:lineRule="auto"/>
              <w:ind w:left="229" w:firstLine="0"/>
              <w:jc w:val="left"/>
            </w:pPr>
            <w:r>
              <w:rPr>
                <w:sz w:val="16"/>
              </w:rPr>
              <w:t xml:space="preserve">E-mail address: </w:t>
            </w:r>
            <w:r>
              <w:rPr>
                <w:sz w:val="16"/>
              </w:rPr>
              <w:t>jpmasse@up.univ-mrs.fr (J.-P. Masse).</w:t>
            </w:r>
          </w:p>
          <w:p w14:paraId="0D3B949E" w14:textId="77777777" w:rsidR="00CF7124" w:rsidRDefault="001578E5">
            <w:pPr>
              <w:spacing w:after="0" w:line="259" w:lineRule="auto"/>
              <w:ind w:firstLine="0"/>
            </w:pPr>
            <w:r>
              <w:rPr>
                <w:sz w:val="16"/>
              </w:rPr>
              <w:t>0031-0182/$ - see front matter</w:t>
            </w:r>
            <w:r>
              <w:rPr>
                <w:sz w:val="16"/>
              </w:rPr>
              <w:t xml:space="preserve"> </w:t>
            </w:r>
            <w:r>
              <w:rPr>
                <w:rFonts w:ascii="Calibri" w:eastAsia="Calibri" w:hAnsi="Calibri" w:cs="Calibri"/>
                <w:sz w:val="16"/>
              </w:rPr>
              <w:t xml:space="preserve">D </w:t>
            </w:r>
            <w:r>
              <w:rPr>
                <w:sz w:val="16"/>
              </w:rPr>
              <w:t>2005 Elsevier B.V. All rights reserved.</w:t>
            </w:r>
          </w:p>
          <w:p w14:paraId="41C13B0E" w14:textId="77777777" w:rsidR="00CF7124" w:rsidRDefault="001578E5">
            <w:pPr>
              <w:spacing w:after="0" w:line="259" w:lineRule="auto"/>
              <w:ind w:firstLine="0"/>
              <w:jc w:val="left"/>
            </w:pPr>
            <w:proofErr w:type="gramStart"/>
            <w:r>
              <w:rPr>
                <w:sz w:val="16"/>
              </w:rPr>
              <w:t>doi:10.1016/j.palaeo</w:t>
            </w:r>
            <w:proofErr w:type="gramEnd"/>
            <w:r>
              <w:rPr>
                <w:sz w:val="16"/>
              </w:rPr>
              <w:t>.2005.10.010</w:t>
            </w:r>
          </w:p>
        </w:tc>
      </w:tr>
    </w:tbl>
    <w:p w14:paraId="733E5062" w14:textId="77777777" w:rsidR="00CF7124" w:rsidRDefault="001578E5">
      <w:pPr>
        <w:ind w:left="-15" w:right="88" w:firstLine="0"/>
      </w:pPr>
      <w:r>
        <w:rPr>
          <w:color w:val="2D3092"/>
        </w:rPr>
        <w:t>1993, 1997, 2000; Ruberti, 1997; Scott, 1995; Gili and Skelton, 2000</w:t>
      </w:r>
      <w:r>
        <w:t xml:space="preserve">). </w:t>
      </w:r>
      <w:r>
        <w:rPr>
          <w:rFonts w:ascii="Calibri" w:eastAsia="Calibri" w:hAnsi="Calibri" w:cs="Calibri"/>
        </w:rPr>
        <w:t>b</w:t>
      </w:r>
      <w:r>
        <w:t>Sediment production</w:t>
      </w:r>
      <w:r>
        <w:rPr>
          <w:rFonts w:ascii="Calibri" w:eastAsia="Calibri" w:hAnsi="Calibri" w:cs="Calibri"/>
        </w:rPr>
        <w:t xml:space="preserve">Q </w:t>
      </w:r>
      <w:r>
        <w:t>by rudist bivalves has been addressed by using various approaches and proxies.</w:t>
      </w:r>
    </w:p>
    <w:p w14:paraId="389EAFFF" w14:textId="77777777" w:rsidR="00CF7124" w:rsidRDefault="001578E5">
      <w:pPr>
        <w:ind w:left="-15" w:right="88"/>
      </w:pPr>
      <w:r>
        <w:t>Cumulative thickness of rudist-rich versus rudist-free beds within stratigraphic successions (</w:t>
      </w:r>
      <w:r>
        <w:rPr>
          <w:color w:val="2D3092"/>
        </w:rPr>
        <w:t>Masse, 1976; Sto¨ssel and Bernoulli, 2000</w:t>
      </w:r>
      <w:r>
        <w:t>) or stratigraphic occurrences of rudist-r</w:t>
      </w:r>
      <w:r>
        <w:t xml:space="preserve">ich bodies </w:t>
      </w:r>
      <w:proofErr w:type="gramStart"/>
      <w:r>
        <w:t>in a given</w:t>
      </w:r>
      <w:proofErr w:type="gramEnd"/>
      <w:r>
        <w:t xml:space="preserve"> laterally continuous bed including rudist-rich and rudist-free portions have been estimated (</w:t>
      </w:r>
      <w:r>
        <w:rPr>
          <w:color w:val="2D3092"/>
        </w:rPr>
        <w:t>Fenerci-Masse et al., 2005</w:t>
      </w:r>
      <w:r>
        <w:t>).</w:t>
      </w:r>
    </w:p>
    <w:p w14:paraId="3AD28ECC" w14:textId="77777777" w:rsidR="00CF7124" w:rsidRDefault="001578E5">
      <w:pPr>
        <w:ind w:left="-15"/>
      </w:pPr>
      <w:r>
        <w:t>Point counting analysis of thin sections was used for estimating the net contribution of rudist bioclasts to a</w:t>
      </w:r>
    </w:p>
    <w:p w14:paraId="3ABCF4B0" w14:textId="77777777" w:rsidR="00CF7124" w:rsidRDefault="001578E5">
      <w:pPr>
        <w:spacing w:after="199" w:line="259" w:lineRule="auto"/>
        <w:ind w:left="222" w:firstLine="0"/>
        <w:jc w:val="left"/>
      </w:pPr>
      <w:r>
        <w:rPr>
          <w:noProof/>
        </w:rPr>
        <w:drawing>
          <wp:inline distT="0" distB="0" distL="0" distR="0" wp14:anchorId="36FAFAE9" wp14:editId="55788EFD">
            <wp:extent cx="2637942" cy="1980000"/>
            <wp:effectExtent l="0" t="0" r="0" b="0"/>
            <wp:docPr id="206" name="Picture 206"/>
            <wp:cNvGraphicFramePr/>
            <a:graphic xmlns:a="http://schemas.openxmlformats.org/drawingml/2006/main">
              <a:graphicData uri="http://schemas.openxmlformats.org/drawingml/2006/picture">
                <pic:pic xmlns:pic="http://schemas.openxmlformats.org/drawingml/2006/picture">
                  <pic:nvPicPr>
                    <pic:cNvPr id="206" name="Picture 206"/>
                    <pic:cNvPicPr/>
                  </pic:nvPicPr>
                  <pic:blipFill>
                    <a:blip r:embed="rId13"/>
                    <a:stretch>
                      <a:fillRect/>
                    </a:stretch>
                  </pic:blipFill>
                  <pic:spPr>
                    <a:xfrm>
                      <a:off x="0" y="0"/>
                      <a:ext cx="2637942" cy="1980000"/>
                    </a:xfrm>
                    <a:prstGeom prst="rect">
                      <a:avLst/>
                    </a:prstGeom>
                  </pic:spPr>
                </pic:pic>
              </a:graphicData>
            </a:graphic>
          </wp:inline>
        </w:drawing>
      </w:r>
    </w:p>
    <w:p w14:paraId="7E03CFD6" w14:textId="77777777" w:rsidR="00CF7124" w:rsidRDefault="001578E5">
      <w:pPr>
        <w:spacing w:after="270" w:line="269" w:lineRule="auto"/>
        <w:ind w:left="86" w:firstLine="0"/>
      </w:pPr>
      <w:r>
        <w:rPr>
          <w:sz w:val="16"/>
        </w:rPr>
        <w:t>Fig. 1. Sketch diagram illustrating the method used for quantifying the stratigraphic contribution of rudist beds, community types, and their corresponding skeletal contribution.</w:t>
      </w:r>
    </w:p>
    <w:p w14:paraId="73494504" w14:textId="77777777" w:rsidR="00CF7124" w:rsidRDefault="001578E5">
      <w:pPr>
        <w:spacing w:after="21" w:line="249" w:lineRule="auto"/>
        <w:ind w:left="81" w:right="-14" w:hanging="10"/>
        <w:jc w:val="left"/>
      </w:pPr>
      <w:r>
        <w:t>given sediment (</w:t>
      </w:r>
      <w:r>
        <w:rPr>
          <w:color w:val="2D3092"/>
        </w:rPr>
        <w:t>Masse, 1976; Amico, 1977; Petta, 1977; Scott, 1990</w:t>
      </w:r>
      <w:r>
        <w:t>).</w:t>
      </w:r>
    </w:p>
    <w:p w14:paraId="5CE9A975" w14:textId="77777777" w:rsidR="00CF7124" w:rsidRDefault="001578E5">
      <w:pPr>
        <w:ind w:left="86"/>
      </w:pPr>
      <w:r>
        <w:t>Shell/m</w:t>
      </w:r>
      <w:r>
        <w:t>atrix relationships were measured on polished slabs (</w:t>
      </w:r>
      <w:r>
        <w:rPr>
          <w:color w:val="2D3092"/>
        </w:rPr>
        <w:t>Gili, 1992; Gili and Skelton, 2000; Vilardell and Gili, 2003; Go¨tz, 2003; Fenerci-Masse et al., 2004</w:t>
      </w:r>
      <w:r>
        <w:t xml:space="preserve">), yielding in % the packing density (number of individuals per surface unit) or coverage (horizontal </w:t>
      </w:r>
      <w:r>
        <w:t>surface occupied by shell material and/or shell+body cavity).</w:t>
      </w:r>
    </w:p>
    <w:p w14:paraId="0B16C2DA" w14:textId="77777777" w:rsidR="00CF7124" w:rsidRDefault="001578E5">
      <w:pPr>
        <w:ind w:left="86"/>
      </w:pPr>
      <w:proofErr w:type="gramStart"/>
      <w:r>
        <w:t>Actually</w:t>
      </w:r>
      <w:proofErr w:type="gramEnd"/>
      <w:r>
        <w:t xml:space="preserve"> the foregoing approaches did not provide estimates on carbonate production sensu stricto, i.e. the amount of bioprecipitated CaCO</w:t>
      </w:r>
      <w:r>
        <w:rPr>
          <w:vertAlign w:val="subscript"/>
        </w:rPr>
        <w:t xml:space="preserve">3 </w:t>
      </w:r>
      <w:r>
        <w:t>in a given time interval on a given surface, but merel</w:t>
      </w:r>
      <w:r>
        <w:t xml:space="preserve">y reflect the proportion of rudist shell material at various scales, </w:t>
      </w:r>
      <w:r>
        <w:t xml:space="preserve">relatively to other skeletal or non-skeletal elements. Sclerochronological analyses of isotopic and geochemical compositions have been used successfully for interpreting growth rates and </w:t>
      </w:r>
      <w:r>
        <w:t>the corresponding annual carbonate production of individual rudist shells (</w:t>
      </w:r>
      <w:r>
        <w:rPr>
          <w:color w:val="2D3092"/>
        </w:rPr>
        <w:t>Steuber, 1996, 1997; Steuber et al., 1998; Rauch and Steuber, 2002</w:t>
      </w:r>
      <w:r>
        <w:t>) including extrapolation to community production (</w:t>
      </w:r>
      <w:r>
        <w:rPr>
          <w:color w:val="2D3092"/>
        </w:rPr>
        <w:t>Steuber, 2000</w:t>
      </w:r>
      <w:r>
        <w:t>). The method provides a rough estimate of the pote</w:t>
      </w:r>
      <w:r>
        <w:t>ntial production.</w:t>
      </w:r>
    </w:p>
    <w:p w14:paraId="033DD467" w14:textId="77777777" w:rsidR="00CF7124" w:rsidRDefault="001578E5">
      <w:pPr>
        <w:ind w:left="86"/>
      </w:pPr>
      <w:r>
        <w:t>In order to quantify the role of rudists in the overall inner platform sedimentation, requieniid-dominated communities from the Late Barremian of Provence (SE France) (</w:t>
      </w:r>
      <w:r>
        <w:rPr>
          <w:color w:val="2D3092"/>
        </w:rPr>
        <w:t>Masse, 1976; Fenerci-Masse et al., 2004</w:t>
      </w:r>
      <w:r>
        <w:t>) were investigated by addressi</w:t>
      </w:r>
      <w:r>
        <w:t>ng the following aspects.</w:t>
      </w:r>
    </w:p>
    <w:p w14:paraId="760A3786" w14:textId="77777777" w:rsidR="00CF7124" w:rsidRDefault="001578E5">
      <w:pPr>
        <w:ind w:left="86"/>
      </w:pPr>
      <w:r>
        <w:t xml:space="preserve">The stratigraphic contribution of rudists, </w:t>
      </w:r>
      <w:proofErr w:type="gramStart"/>
      <w:r>
        <w:t>i.e.</w:t>
      </w:r>
      <w:proofErr w:type="gramEnd"/>
      <w:r>
        <w:t xml:space="preserve"> the quantitative role ofrudist-rich beds invertical successions and regional stratigraphic units, was estimated for individual rudist communities, then derived for the rudist materia</w:t>
      </w:r>
      <w:r>
        <w:t xml:space="preserve">l in general. The skeletal contribution, </w:t>
      </w:r>
      <w:proofErr w:type="gramStart"/>
      <w:r>
        <w:t>i.e.</w:t>
      </w:r>
      <w:proofErr w:type="gramEnd"/>
      <w:r>
        <w:t xml:space="preserve"> the proportion of shelly elements produced by rudists, was quantified for each community and their adjacent (vertical and lateral) sediments, and then evaluated for stratigraphic successions and regional strati</w:t>
      </w:r>
      <w:r>
        <w:t xml:space="preserve">graphic units. </w:t>
      </w:r>
      <w:r>
        <w:rPr>
          <w:color w:val="2D3092"/>
        </w:rPr>
        <w:t xml:space="preserve">Fig. 1 </w:t>
      </w:r>
      <w:r>
        <w:t xml:space="preserve">illustrates the methods used for the foregoing quantitative approaches. Carbonate production </w:t>
      </w:r>
      <w:proofErr w:type="gramStart"/>
      <w:r>
        <w:t>i.e.</w:t>
      </w:r>
      <w:proofErr w:type="gramEnd"/>
      <w:r>
        <w:t xml:space="preserve"> amount of CaCO</w:t>
      </w:r>
      <w:r>
        <w:rPr>
          <w:vertAlign w:val="subscript"/>
        </w:rPr>
        <w:t xml:space="preserve">3 </w:t>
      </w:r>
      <w:r>
        <w:t>ka</w:t>
      </w:r>
      <w:r>
        <w:rPr>
          <w:vertAlign w:val="superscript"/>
        </w:rPr>
        <w:t xml:space="preserve">1 </w:t>
      </w:r>
      <w:r>
        <w:t>m</w:t>
      </w:r>
      <w:r>
        <w:rPr>
          <w:vertAlign w:val="superscript"/>
        </w:rPr>
        <w:t xml:space="preserve">2 </w:t>
      </w:r>
      <w:r>
        <w:t>derived from shell growth was calculated by assessing bed durations based on Milankovitch cyclicity and accumulation rates, for each community.</w:t>
      </w:r>
    </w:p>
    <w:p w14:paraId="01011429" w14:textId="77777777" w:rsidR="00CF7124" w:rsidRDefault="001578E5">
      <w:pPr>
        <w:spacing w:after="230"/>
        <w:ind w:left="-15"/>
      </w:pPr>
      <w:r>
        <w:t>The corresponding results are discussed relatively to earlier investigations on skeletal production of rudists o</w:t>
      </w:r>
      <w:r>
        <w:t>btained after distinctive proxies, and data from modern bivalves thriving in shallow tropical environments. Special attention was paid to comparisons with modern coral reefs.</w:t>
      </w:r>
    </w:p>
    <w:p w14:paraId="216F127B" w14:textId="77777777" w:rsidR="00CF7124" w:rsidRDefault="001578E5">
      <w:pPr>
        <w:spacing w:after="234" w:line="253" w:lineRule="auto"/>
        <w:ind w:left="-5" w:hanging="10"/>
        <w:jc w:val="left"/>
      </w:pPr>
      <w:r>
        <w:t>2. Regional stratigraphical and palaeogeographical framework</w:t>
      </w:r>
    </w:p>
    <w:p w14:paraId="3D24CB42" w14:textId="77777777" w:rsidR="00CF7124" w:rsidRDefault="001578E5">
      <w:pPr>
        <w:ind w:left="-15"/>
      </w:pPr>
      <w:r>
        <w:t>The Lower Cretaceous succession of Provence consists of platform carbonates the age of which range from Valanginian to Early Aptian (</w:t>
      </w:r>
      <w:r>
        <w:rPr>
          <w:color w:val="2D3092"/>
        </w:rPr>
        <w:t>Masse, 1976</w:t>
      </w:r>
      <w:r>
        <w:t>). The Provence platform occurs on the south side o</w:t>
      </w:r>
      <w:r>
        <w:t>f the Vocontian Basin, which represents the western extent in S.E. France of the Alpine basin (</w:t>
      </w:r>
      <w:r>
        <w:rPr>
          <w:color w:val="2D3092"/>
        </w:rPr>
        <w:t>Fig. 2</w:t>
      </w:r>
      <w:r>
        <w:t>). Northward progradation, punctuated by southward backstepping linked to</w:t>
      </w:r>
    </w:p>
    <w:p w14:paraId="47966866" w14:textId="77777777" w:rsidR="00CF7124" w:rsidRDefault="001578E5">
      <w:pPr>
        <w:spacing w:after="199" w:line="259" w:lineRule="auto"/>
        <w:ind w:left="142" w:firstLine="0"/>
        <w:jc w:val="left"/>
      </w:pPr>
      <w:r>
        <w:rPr>
          <w:noProof/>
        </w:rPr>
        <w:lastRenderedPageBreak/>
        <w:drawing>
          <wp:inline distT="0" distB="0" distL="0" distR="0" wp14:anchorId="0D1271A8" wp14:editId="179EE32B">
            <wp:extent cx="2630424" cy="3569209"/>
            <wp:effectExtent l="0" t="0" r="0" b="0"/>
            <wp:docPr id="39234" name="Picture 39234"/>
            <wp:cNvGraphicFramePr/>
            <a:graphic xmlns:a="http://schemas.openxmlformats.org/drawingml/2006/main">
              <a:graphicData uri="http://schemas.openxmlformats.org/drawingml/2006/picture">
                <pic:pic xmlns:pic="http://schemas.openxmlformats.org/drawingml/2006/picture">
                  <pic:nvPicPr>
                    <pic:cNvPr id="39234" name="Picture 39234"/>
                    <pic:cNvPicPr/>
                  </pic:nvPicPr>
                  <pic:blipFill>
                    <a:blip r:embed="rId14"/>
                    <a:stretch>
                      <a:fillRect/>
                    </a:stretch>
                  </pic:blipFill>
                  <pic:spPr>
                    <a:xfrm>
                      <a:off x="0" y="0"/>
                      <a:ext cx="2630424" cy="3569209"/>
                    </a:xfrm>
                    <a:prstGeom prst="rect">
                      <a:avLst/>
                    </a:prstGeom>
                  </pic:spPr>
                </pic:pic>
              </a:graphicData>
            </a:graphic>
          </wp:inline>
        </w:drawing>
      </w:r>
    </w:p>
    <w:p w14:paraId="702FE2E0" w14:textId="77777777" w:rsidR="00CF7124" w:rsidRDefault="001578E5">
      <w:pPr>
        <w:spacing w:after="4" w:line="269" w:lineRule="auto"/>
        <w:ind w:left="-15" w:firstLine="0"/>
      </w:pPr>
      <w:r>
        <w:rPr>
          <w:sz w:val="16"/>
        </w:rPr>
        <w:t>Fig. 2. Palaeogeographical configuration of SE France during the Late Barremian</w:t>
      </w:r>
      <w:r>
        <w:rPr>
          <w:sz w:val="16"/>
        </w:rPr>
        <w:t>. West of the Ce´vennes fault system, Lower Cretaceous deposits were removed by the Mid-Cretaceous uplift. Notice the wide extent of the rudist-bearing domain compared to the narrow bioclastic belt.</w:t>
      </w:r>
    </w:p>
    <w:p w14:paraId="781F92B3" w14:textId="77777777" w:rsidR="00CF7124" w:rsidRDefault="001578E5">
      <w:pPr>
        <w:ind w:left="-15" w:firstLine="0"/>
      </w:pPr>
      <w:r>
        <w:t>drowning events, is dominant from Valanginian to Barremia</w:t>
      </w:r>
      <w:r>
        <w:t>n. The Late Barremian is marked by the maximum northward platform spreading (</w:t>
      </w:r>
      <w:r>
        <w:rPr>
          <w:color w:val="2D3092"/>
        </w:rPr>
        <w:t>Fig. 3</w:t>
      </w:r>
      <w:r>
        <w:t>).</w:t>
      </w:r>
    </w:p>
    <w:p w14:paraId="6E4BC972" w14:textId="77777777" w:rsidR="00CF7124" w:rsidRDefault="001578E5">
      <w:pPr>
        <w:ind w:left="-15"/>
      </w:pPr>
      <w:r>
        <w:t xml:space="preserve">The Marseille region represents at that time the inner domain of the so-called Urgonian platform. In this region, from Cassis to Martigues, the so-called </w:t>
      </w:r>
      <w:r>
        <w:rPr>
          <w:rFonts w:ascii="Calibri" w:eastAsia="Calibri" w:hAnsi="Calibri" w:cs="Calibri"/>
        </w:rPr>
        <w:t>b</w:t>
      </w:r>
      <w:r>
        <w:t>Urgonian Format</w:t>
      </w:r>
      <w:r>
        <w:t>ion</w:t>
      </w:r>
      <w:r>
        <w:rPr>
          <w:rFonts w:ascii="Calibri" w:eastAsia="Calibri" w:hAnsi="Calibri" w:cs="Calibri"/>
        </w:rPr>
        <w:t xml:space="preserve">Q </w:t>
      </w:r>
      <w:r>
        <w:t xml:space="preserve">begins with bioclastic coral beds ascribed to the Hauterivian–Barremian transition, grading upward to rudist-dominated beds, capped by a drowning discontinuity ascribed to the Late Barremian </w:t>
      </w:r>
      <w:r>
        <w:t xml:space="preserve">Giraudi </w:t>
      </w:r>
      <w:r>
        <w:t>zone (</w:t>
      </w:r>
      <w:r>
        <w:rPr>
          <w:color w:val="2D3092"/>
        </w:rPr>
        <w:t>Masse, 1976; Ropolo et al., 1998</w:t>
      </w:r>
      <w:r>
        <w:t>) (</w:t>
      </w:r>
      <w:r>
        <w:rPr>
          <w:color w:val="2D3092"/>
        </w:rPr>
        <w:t>Fig. 4</w:t>
      </w:r>
      <w:r>
        <w:t>).</w:t>
      </w:r>
    </w:p>
    <w:p w14:paraId="6C7C1452" w14:textId="77777777" w:rsidR="00CF7124" w:rsidRDefault="001578E5">
      <w:pPr>
        <w:ind w:left="-15"/>
      </w:pPr>
      <w:r>
        <w:t>Th</w:t>
      </w:r>
      <w:r>
        <w:t xml:space="preserve">e studied interval, the so-called </w:t>
      </w:r>
      <w:r>
        <w:rPr>
          <w:rFonts w:ascii="Calibri" w:eastAsia="Calibri" w:hAnsi="Calibri" w:cs="Calibri"/>
        </w:rPr>
        <w:t>b</w:t>
      </w:r>
      <w:r>
        <w:t>Boumandariel sequence</w:t>
      </w:r>
      <w:r>
        <w:rPr>
          <w:rFonts w:ascii="Calibri" w:eastAsia="Calibri" w:hAnsi="Calibri" w:cs="Calibri"/>
        </w:rPr>
        <w:t xml:space="preserve">Q </w:t>
      </w:r>
      <w:r>
        <w:t>(after the name of the Boumandariel bight, near Sausset-les-Pins) (</w:t>
      </w:r>
      <w:r>
        <w:rPr>
          <w:color w:val="2D3092"/>
        </w:rPr>
        <w:t>Fenerci-Masse et al., 2005</w:t>
      </w:r>
      <w:r>
        <w:t>) (</w:t>
      </w:r>
      <w:r>
        <w:rPr>
          <w:color w:val="2D3092"/>
        </w:rPr>
        <w:t>Fig. 5</w:t>
      </w:r>
      <w:r>
        <w:t xml:space="preserve">), is nearly 27 m thick, and </w:t>
      </w:r>
      <w:proofErr w:type="gramStart"/>
      <w:r>
        <w:t>is located in</w:t>
      </w:r>
      <w:proofErr w:type="gramEnd"/>
      <w:r>
        <w:t xml:space="preserve"> the topmost part of the Urgonian, in the Barremian (t</w:t>
      </w:r>
      <w:r>
        <w:t xml:space="preserve">otal thickness c. 350 m). The presence in this interval of </w:t>
      </w:r>
      <w:r>
        <w:t xml:space="preserve">Palaeodictyoconus actinostoma </w:t>
      </w:r>
      <w:r>
        <w:t xml:space="preserve">Arnaud Vanneau and Schroeder and </w:t>
      </w:r>
      <w:r>
        <w:t xml:space="preserve">Paracoskinolina maynci </w:t>
      </w:r>
      <w:r>
        <w:t>(Chevalier) documents a Late Barremian age (</w:t>
      </w:r>
      <w:r>
        <w:rPr>
          <w:color w:val="2D3092"/>
        </w:rPr>
        <w:t>Arnaud et al., 1998</w:t>
      </w:r>
      <w:r>
        <w:t xml:space="preserve">). Calcareous algae </w:t>
      </w:r>
      <w:r>
        <w:t xml:space="preserve">Hensonella urladanasi </w:t>
      </w:r>
      <w:r>
        <w:t>(Conra</w:t>
      </w:r>
      <w:r>
        <w:t xml:space="preserve">d et al.), </w:t>
      </w:r>
      <w:r>
        <w:t xml:space="preserve">Apinella hispanica </w:t>
      </w:r>
      <w:r>
        <w:t xml:space="preserve">(Conrad and Grabner) and </w:t>
      </w:r>
      <w:r>
        <w:t xml:space="preserve">Falsolikanella nerae </w:t>
      </w:r>
      <w:r>
        <w:t>(Dragastan, Bucur and Demeter) found in the upper part of the sequence corroborate this age assignment (</w:t>
      </w:r>
      <w:r>
        <w:rPr>
          <w:color w:val="2D3092"/>
        </w:rPr>
        <w:t>Masse, 1993</w:t>
      </w:r>
      <w:r>
        <w:t>). The Boumandariel sequence is bound by two distinctive disconti</w:t>
      </w:r>
      <w:r>
        <w:t>nuity surfaces found throughout the Marseille region (</w:t>
      </w:r>
      <w:r>
        <w:rPr>
          <w:color w:val="2D3092"/>
        </w:rPr>
        <w:t>Fig. 6</w:t>
      </w:r>
      <w:r>
        <w:t>) (</w:t>
      </w:r>
      <w:r>
        <w:rPr>
          <w:color w:val="2D3092"/>
        </w:rPr>
        <w:t>Masse, 1976; Masse et al., 2001; Fenerci-Masse et al., 2005</w:t>
      </w:r>
      <w:r>
        <w:t xml:space="preserve">): the lower bounding surface (E1) (see </w:t>
      </w:r>
      <w:r>
        <w:rPr>
          <w:color w:val="2D3092"/>
        </w:rPr>
        <w:t>Fig. 5</w:t>
      </w:r>
      <w:r>
        <w:t>) is a wellmarked, karstified exposure surface; and the upper bounding surface (E5) (see</w:t>
      </w:r>
      <w:r>
        <w:t xml:space="preserve"> </w:t>
      </w:r>
      <w:r>
        <w:rPr>
          <w:color w:val="2D3092"/>
        </w:rPr>
        <w:t>Fig. 5</w:t>
      </w:r>
      <w:r>
        <w:t>) is a calcrete horizon included within a microcoprolite bed (</w:t>
      </w:r>
      <w:r>
        <w:t>Favreina</w:t>
      </w:r>
      <w:r>
        <w:t xml:space="preserve">, </w:t>
      </w:r>
      <w:r>
        <w:t>Pethrocoprolithus</w:t>
      </w:r>
      <w:r>
        <w:t xml:space="preserve">), otherwise called the </w:t>
      </w:r>
      <w:r>
        <w:t xml:space="preserve">Pethrocoprolithus </w:t>
      </w:r>
      <w:r>
        <w:t>horizon (</w:t>
      </w:r>
      <w:r>
        <w:rPr>
          <w:color w:val="2D3092"/>
        </w:rPr>
        <w:t>Masse, 1966</w:t>
      </w:r>
      <w:r>
        <w:t>).</w:t>
      </w:r>
    </w:p>
    <w:p w14:paraId="6F247C02" w14:textId="77777777" w:rsidR="00CF7124" w:rsidRDefault="001578E5">
      <w:pPr>
        <w:ind w:left="-15" w:right="88"/>
      </w:pPr>
      <w:r>
        <w:t>Moreover 3 more exposure surfaces (E2, E3, E4) have been recognized within the Boumandariel seq</w:t>
      </w:r>
      <w:r>
        <w:t xml:space="preserve">uence, so that in total 4 stratigraphic units can be defined (ascribed to parasequence sets), labelled 1 to 4. Unit 4 is characterized by the first occurrence (FO) of two calcareous green algae: </w:t>
      </w:r>
      <w:r>
        <w:t xml:space="preserve">F. nerae </w:t>
      </w:r>
      <w:r>
        <w:t xml:space="preserve">and </w:t>
      </w:r>
      <w:r>
        <w:t xml:space="preserve">Carpathocodium </w:t>
      </w:r>
      <w:r>
        <w:t>sp., with a regional biostratigraphical significance. Stratigraphic correlations in the Boumandariel sequence show the presence 14 laterally correlatable rudist bed sets labelled R1–R14 (</w:t>
      </w:r>
      <w:r>
        <w:rPr>
          <w:color w:val="2D3092"/>
        </w:rPr>
        <w:t>Fig. 7</w:t>
      </w:r>
      <w:r>
        <w:t>), and these can be observed in wide areas or even throughout t</w:t>
      </w:r>
      <w:r>
        <w:t>he Marseille region.</w:t>
      </w:r>
    </w:p>
    <w:p w14:paraId="65B63A0E" w14:textId="77777777" w:rsidR="00CF7124" w:rsidRDefault="001578E5">
      <w:pPr>
        <w:ind w:left="-15" w:right="88"/>
      </w:pPr>
      <w:r>
        <w:t>The reconstruction of the stratigraphic architecture of rudist beds was based on the study 7 sections distributed along a 46 km wide transect from Martigues to the Cassis-La Bedoule area (</w:t>
      </w:r>
      <w:r>
        <w:rPr>
          <w:color w:val="2D3092"/>
        </w:rPr>
        <w:t>Fig. 7</w:t>
      </w:r>
      <w:r>
        <w:t>), the lateral spacing of which varies fr</w:t>
      </w:r>
      <w:r>
        <w:t>om 6.7 to 15 km. Stratigraphic correlations are based on facies types: including rudist-free and rudist-rich (</w:t>
      </w:r>
      <w:proofErr w:type="gramStart"/>
      <w:r>
        <w:t>i.e.</w:t>
      </w:r>
      <w:proofErr w:type="gramEnd"/>
      <w:r>
        <w:t xml:space="preserve"> community types) beds and key stratigraphic surfaces, mainly exposure surfaces (see above) (</w:t>
      </w:r>
      <w:r>
        <w:rPr>
          <w:color w:val="2D3092"/>
        </w:rPr>
        <w:t>Fenerci-Masse et al., 2005</w:t>
      </w:r>
      <w:r>
        <w:t>).</w:t>
      </w:r>
    </w:p>
    <w:tbl>
      <w:tblPr>
        <w:tblStyle w:val="TableGrid"/>
        <w:tblpPr w:vertAnchor="text" w:horzAnchor="margin" w:tblpY="6762"/>
        <w:tblOverlap w:val="never"/>
        <w:tblW w:w="9326" w:type="dxa"/>
        <w:tblInd w:w="0" w:type="dxa"/>
        <w:tblCellMar>
          <w:top w:w="0" w:type="dxa"/>
          <w:left w:w="0" w:type="dxa"/>
          <w:bottom w:w="4" w:type="dxa"/>
          <w:right w:w="86" w:type="dxa"/>
        </w:tblCellMar>
        <w:tblLook w:val="04A0" w:firstRow="1" w:lastRow="0" w:firstColumn="1" w:lastColumn="0" w:noHBand="0" w:noVBand="1"/>
      </w:tblPr>
      <w:tblGrid>
        <w:gridCol w:w="9326"/>
      </w:tblGrid>
      <w:tr w:rsidR="00CF7124" w14:paraId="5BD63E99" w14:textId="77777777">
        <w:trPr>
          <w:trHeight w:val="349"/>
        </w:trPr>
        <w:tc>
          <w:tcPr>
            <w:tcW w:w="9326" w:type="dxa"/>
            <w:tcBorders>
              <w:top w:val="nil"/>
              <w:left w:val="nil"/>
              <w:bottom w:val="nil"/>
              <w:right w:val="nil"/>
            </w:tcBorders>
            <w:vAlign w:val="bottom"/>
          </w:tcPr>
          <w:p w14:paraId="1ADE297E" w14:textId="77777777" w:rsidR="00CF7124" w:rsidRDefault="001578E5">
            <w:pPr>
              <w:spacing w:after="199" w:line="259" w:lineRule="auto"/>
              <w:ind w:left="98" w:firstLine="0"/>
              <w:jc w:val="left"/>
            </w:pPr>
            <w:r>
              <w:rPr>
                <w:noProof/>
              </w:rPr>
              <w:lastRenderedPageBreak/>
              <w:drawing>
                <wp:inline distT="0" distB="0" distL="0" distR="0" wp14:anchorId="457DB7BF" wp14:editId="02FEED09">
                  <wp:extent cx="5687279" cy="2589120"/>
                  <wp:effectExtent l="0" t="0" r="0" b="0"/>
                  <wp:docPr id="387" name="Picture 387"/>
                  <wp:cNvGraphicFramePr/>
                  <a:graphic xmlns:a="http://schemas.openxmlformats.org/drawingml/2006/main">
                    <a:graphicData uri="http://schemas.openxmlformats.org/drawingml/2006/picture">
                      <pic:pic xmlns:pic="http://schemas.openxmlformats.org/drawingml/2006/picture">
                        <pic:nvPicPr>
                          <pic:cNvPr id="387" name="Picture 387"/>
                          <pic:cNvPicPr/>
                        </pic:nvPicPr>
                        <pic:blipFill>
                          <a:blip r:embed="rId15"/>
                          <a:stretch>
                            <a:fillRect/>
                          </a:stretch>
                        </pic:blipFill>
                        <pic:spPr>
                          <a:xfrm>
                            <a:off x="0" y="0"/>
                            <a:ext cx="5687279" cy="2589120"/>
                          </a:xfrm>
                          <a:prstGeom prst="rect">
                            <a:avLst/>
                          </a:prstGeom>
                        </pic:spPr>
                      </pic:pic>
                    </a:graphicData>
                  </a:graphic>
                </wp:inline>
              </w:drawing>
            </w:r>
          </w:p>
          <w:p w14:paraId="57EA8AA8" w14:textId="77777777" w:rsidR="00CF7124" w:rsidRDefault="001578E5">
            <w:pPr>
              <w:spacing w:after="0" w:line="259" w:lineRule="auto"/>
              <w:ind w:left="-86" w:firstLine="0"/>
            </w:pPr>
            <w:r>
              <w:rPr>
                <w:sz w:val="16"/>
              </w:rPr>
              <w:t>Fig. 3. Stratigrap</w:t>
            </w:r>
            <w:r>
              <w:rPr>
                <w:sz w:val="16"/>
              </w:rPr>
              <w:t xml:space="preserve">hic cross section of the Early Cretaceous platform carbonates from Provence showing the Barremian maximum regional spreading (see </w:t>
            </w:r>
            <w:r>
              <w:rPr>
                <w:color w:val="2D3092"/>
                <w:sz w:val="16"/>
              </w:rPr>
              <w:t xml:space="preserve">Fig. 6 </w:t>
            </w:r>
            <w:r>
              <w:rPr>
                <w:sz w:val="16"/>
              </w:rPr>
              <w:t>for the geographic location of the transect).</w:t>
            </w:r>
          </w:p>
        </w:tc>
      </w:tr>
    </w:tbl>
    <w:p w14:paraId="452C5F2E" w14:textId="77777777" w:rsidR="00CF7124" w:rsidRDefault="001578E5">
      <w:pPr>
        <w:ind w:left="-15" w:right="88"/>
      </w:pPr>
      <w:r>
        <w:t>From a stratigraphic point of view rudist beds consist of decimetre to metre thick beds having a significant lateral continuity with rudist congregations or even rudist fragments playing a prominent physiognomic role. This role refers to dominance and dens</w:t>
      </w:r>
      <w:r>
        <w:t xml:space="preserve">ity, </w:t>
      </w:r>
      <w:proofErr w:type="gramStart"/>
      <w:r>
        <w:t>e.g.</w:t>
      </w:r>
      <w:proofErr w:type="gramEnd"/>
      <w:r>
        <w:t xml:space="preserve"> beds having less than 1 individual m</w:t>
      </w:r>
      <w:r>
        <w:rPr>
          <w:vertAlign w:val="superscript"/>
        </w:rPr>
        <w:t xml:space="preserve">2 </w:t>
      </w:r>
      <w:r>
        <w:t>are excluded from our definition and fossil rich beds where rudists are subordinate (e.g. coral beds) are excluded as well. Four types of rudist assemblage within these beds have been defined, based on quanti</w:t>
      </w:r>
      <w:r>
        <w:t>tative biological and sed-</w:t>
      </w:r>
    </w:p>
    <w:p w14:paraId="524C3B41" w14:textId="77777777" w:rsidR="00CF7124" w:rsidRDefault="001578E5">
      <w:pPr>
        <w:spacing w:after="199" w:line="259" w:lineRule="auto"/>
        <w:ind w:left="203" w:firstLine="0"/>
        <w:jc w:val="left"/>
      </w:pPr>
      <w:r>
        <w:rPr>
          <w:noProof/>
        </w:rPr>
        <w:lastRenderedPageBreak/>
        <w:drawing>
          <wp:inline distT="0" distB="0" distL="0" distR="0" wp14:anchorId="08D83329" wp14:editId="692F6AE9">
            <wp:extent cx="2660399" cy="5613839"/>
            <wp:effectExtent l="0" t="0" r="0" b="0"/>
            <wp:docPr id="480" name="Picture 480"/>
            <wp:cNvGraphicFramePr/>
            <a:graphic xmlns:a="http://schemas.openxmlformats.org/drawingml/2006/main">
              <a:graphicData uri="http://schemas.openxmlformats.org/drawingml/2006/picture">
                <pic:pic xmlns:pic="http://schemas.openxmlformats.org/drawingml/2006/picture">
                  <pic:nvPicPr>
                    <pic:cNvPr id="480" name="Picture 480"/>
                    <pic:cNvPicPr/>
                  </pic:nvPicPr>
                  <pic:blipFill>
                    <a:blip r:embed="rId16"/>
                    <a:stretch>
                      <a:fillRect/>
                    </a:stretch>
                  </pic:blipFill>
                  <pic:spPr>
                    <a:xfrm>
                      <a:off x="0" y="0"/>
                      <a:ext cx="2660399" cy="5613839"/>
                    </a:xfrm>
                    <a:prstGeom prst="rect">
                      <a:avLst/>
                    </a:prstGeom>
                  </pic:spPr>
                </pic:pic>
              </a:graphicData>
            </a:graphic>
          </wp:inline>
        </w:drawing>
      </w:r>
    </w:p>
    <w:p w14:paraId="518A1AC2" w14:textId="77777777" w:rsidR="00CF7124" w:rsidRDefault="001578E5">
      <w:pPr>
        <w:spacing w:after="286" w:line="269" w:lineRule="auto"/>
        <w:ind w:left="86" w:firstLine="0"/>
      </w:pPr>
      <w:r>
        <w:rPr>
          <w:sz w:val="16"/>
        </w:rPr>
        <w:t>Fig. 4. Stratigraphic section of the Early Cretaceous platform carbonates from the Marseille region, showing the distribution of rudistbearing limestones.</w:t>
      </w:r>
    </w:p>
    <w:p w14:paraId="3A315EC4" w14:textId="77777777" w:rsidR="00CF7124" w:rsidRDefault="001578E5">
      <w:pPr>
        <w:spacing w:after="239" w:line="249" w:lineRule="auto"/>
        <w:ind w:left="81" w:right="-14" w:hanging="10"/>
        <w:jc w:val="left"/>
      </w:pPr>
      <w:r>
        <w:t>imentological parameters (</w:t>
      </w:r>
      <w:r>
        <w:rPr>
          <w:color w:val="2D3092"/>
        </w:rPr>
        <w:t>Fenerci-Masse et al., 2004</w:t>
      </w:r>
      <w:r>
        <w:t>) (</w:t>
      </w:r>
      <w:r>
        <w:rPr>
          <w:color w:val="2D3092"/>
        </w:rPr>
        <w:t>Fig. 8</w:t>
      </w:r>
      <w:r>
        <w:t>):</w:t>
      </w:r>
    </w:p>
    <w:p w14:paraId="130D5A53" w14:textId="77777777" w:rsidR="00CF7124" w:rsidRDefault="001578E5">
      <w:pPr>
        <w:spacing w:after="230"/>
        <w:ind w:left="315" w:firstLine="0"/>
      </w:pPr>
      <w:r>
        <w:t xml:space="preserve">type 1: </w:t>
      </w:r>
      <w:r>
        <w:t>small thin shelled rudists within wackestone, type 2: small rudists within packstone, type 3: mixed small and large rudists within packstone and grainstone, type 4: large rudists within grainstone.</w:t>
      </w:r>
    </w:p>
    <w:p w14:paraId="024EE2D2" w14:textId="77777777" w:rsidR="00CF7124" w:rsidRDefault="001578E5">
      <w:pPr>
        <w:ind w:left="86"/>
      </w:pPr>
      <w:r>
        <w:t>Their dominant components are the Requieniidae represented</w:t>
      </w:r>
      <w:r>
        <w:t xml:space="preserve"> by various </w:t>
      </w:r>
      <w:r>
        <w:t xml:space="preserve">Requienia </w:t>
      </w:r>
      <w:r>
        <w:t xml:space="preserve">and </w:t>
      </w:r>
      <w:r>
        <w:t xml:space="preserve">Toucasia </w:t>
      </w:r>
      <w:r>
        <w:t>species.</w:t>
      </w:r>
    </w:p>
    <w:p w14:paraId="27603C67" w14:textId="77777777" w:rsidR="00CF7124" w:rsidRDefault="001578E5">
      <w:pPr>
        <w:spacing w:after="199" w:line="259" w:lineRule="auto"/>
        <w:ind w:left="116" w:firstLine="0"/>
        <w:jc w:val="left"/>
      </w:pPr>
      <w:r>
        <w:rPr>
          <w:noProof/>
        </w:rPr>
        <w:drawing>
          <wp:inline distT="0" distB="0" distL="0" distR="0" wp14:anchorId="5B255442" wp14:editId="421E60E9">
            <wp:extent cx="2665302" cy="6981838"/>
            <wp:effectExtent l="0" t="0" r="0" b="0"/>
            <wp:docPr id="485" name="Picture 485"/>
            <wp:cNvGraphicFramePr/>
            <a:graphic xmlns:a="http://schemas.openxmlformats.org/drawingml/2006/main">
              <a:graphicData uri="http://schemas.openxmlformats.org/drawingml/2006/picture">
                <pic:pic xmlns:pic="http://schemas.openxmlformats.org/drawingml/2006/picture">
                  <pic:nvPicPr>
                    <pic:cNvPr id="485" name="Picture 485"/>
                    <pic:cNvPicPr/>
                  </pic:nvPicPr>
                  <pic:blipFill>
                    <a:blip r:embed="rId17"/>
                    <a:stretch>
                      <a:fillRect/>
                    </a:stretch>
                  </pic:blipFill>
                  <pic:spPr>
                    <a:xfrm>
                      <a:off x="0" y="0"/>
                      <a:ext cx="2665302" cy="6981838"/>
                    </a:xfrm>
                    <a:prstGeom prst="rect">
                      <a:avLst/>
                    </a:prstGeom>
                  </pic:spPr>
                </pic:pic>
              </a:graphicData>
            </a:graphic>
          </wp:inline>
        </w:drawing>
      </w:r>
    </w:p>
    <w:p w14:paraId="31F9F20B" w14:textId="77777777" w:rsidR="00CF7124" w:rsidRDefault="001578E5">
      <w:pPr>
        <w:spacing w:after="4" w:line="269" w:lineRule="auto"/>
        <w:ind w:left="-15" w:firstLine="0"/>
      </w:pPr>
      <w:r>
        <w:rPr>
          <w:sz w:val="16"/>
        </w:rPr>
        <w:t>Fig. 5. Type section of the Boumandariel sequence at Sausset-les Pins showing the stratigraphic units 1 to 4 and their bounding surfaces E1 to E5.</w:t>
      </w:r>
    </w:p>
    <w:tbl>
      <w:tblPr>
        <w:tblStyle w:val="TableGrid"/>
        <w:tblpPr w:vertAnchor="text" w:horzAnchor="margin"/>
        <w:tblOverlap w:val="never"/>
        <w:tblW w:w="9325" w:type="dxa"/>
        <w:tblInd w:w="0" w:type="dxa"/>
        <w:tblCellMar>
          <w:top w:w="0" w:type="dxa"/>
          <w:left w:w="1827" w:type="dxa"/>
          <w:bottom w:w="0" w:type="dxa"/>
          <w:right w:w="1825" w:type="dxa"/>
        </w:tblCellMar>
        <w:tblLook w:val="04A0" w:firstRow="1" w:lastRow="0" w:firstColumn="1" w:lastColumn="0" w:noHBand="0" w:noVBand="1"/>
      </w:tblPr>
      <w:tblGrid>
        <w:gridCol w:w="9325"/>
      </w:tblGrid>
      <w:tr w:rsidR="00CF7124" w14:paraId="7E66F305" w14:textId="77777777">
        <w:trPr>
          <w:trHeight w:val="145"/>
        </w:trPr>
        <w:tc>
          <w:tcPr>
            <w:tcW w:w="4676" w:type="dxa"/>
            <w:tcBorders>
              <w:top w:val="nil"/>
              <w:left w:val="nil"/>
              <w:bottom w:val="nil"/>
              <w:right w:val="nil"/>
            </w:tcBorders>
            <w:vAlign w:val="bottom"/>
          </w:tcPr>
          <w:p w14:paraId="5CC76A6F" w14:textId="77777777" w:rsidR="00CF7124" w:rsidRDefault="001578E5">
            <w:pPr>
              <w:spacing w:after="198" w:line="259" w:lineRule="auto"/>
              <w:ind w:firstLine="0"/>
              <w:jc w:val="left"/>
            </w:pPr>
            <w:r>
              <w:rPr>
                <w:noProof/>
              </w:rPr>
              <w:lastRenderedPageBreak/>
              <w:drawing>
                <wp:inline distT="0" distB="0" distL="0" distR="0" wp14:anchorId="2278AAEE" wp14:editId="0A422F9A">
                  <wp:extent cx="3602548" cy="2560319"/>
                  <wp:effectExtent l="0" t="0" r="0" b="0"/>
                  <wp:docPr id="580" name="Picture 580"/>
                  <wp:cNvGraphicFramePr/>
                  <a:graphic xmlns:a="http://schemas.openxmlformats.org/drawingml/2006/main">
                    <a:graphicData uri="http://schemas.openxmlformats.org/drawingml/2006/picture">
                      <pic:pic xmlns:pic="http://schemas.openxmlformats.org/drawingml/2006/picture">
                        <pic:nvPicPr>
                          <pic:cNvPr id="580" name="Picture 580"/>
                          <pic:cNvPicPr/>
                        </pic:nvPicPr>
                        <pic:blipFill>
                          <a:blip r:embed="rId18"/>
                          <a:stretch>
                            <a:fillRect/>
                          </a:stretch>
                        </pic:blipFill>
                        <pic:spPr>
                          <a:xfrm>
                            <a:off x="0" y="0"/>
                            <a:ext cx="3602548" cy="2560319"/>
                          </a:xfrm>
                          <a:prstGeom prst="rect">
                            <a:avLst/>
                          </a:prstGeom>
                        </pic:spPr>
                      </pic:pic>
                    </a:graphicData>
                  </a:graphic>
                </wp:inline>
              </w:drawing>
            </w:r>
          </w:p>
          <w:p w14:paraId="694B0761" w14:textId="77777777" w:rsidR="00CF7124" w:rsidRDefault="001578E5">
            <w:pPr>
              <w:spacing w:after="0" w:line="259" w:lineRule="auto"/>
              <w:ind w:left="498" w:firstLine="0"/>
            </w:pPr>
            <w:r>
              <w:rPr>
                <w:sz w:val="16"/>
              </w:rPr>
              <w:t>Fig. 6. Study area and location of the investigated stratigraphic sections.</w:t>
            </w:r>
          </w:p>
        </w:tc>
      </w:tr>
    </w:tbl>
    <w:p w14:paraId="4E85FE67" w14:textId="77777777" w:rsidR="00CF7124" w:rsidRDefault="001578E5">
      <w:pPr>
        <w:ind w:left="-15" w:firstLine="0"/>
      </w:pPr>
      <w:r>
        <w:t>Monopleuridae,</w:t>
      </w:r>
      <w:r>
        <w:tab/>
      </w:r>
      <w:r>
        <w:t>Monopleura</w:t>
      </w:r>
      <w:r>
        <w:tab/>
      </w:r>
      <w:r>
        <w:t>and</w:t>
      </w:r>
      <w:r>
        <w:tab/>
      </w:r>
      <w:r>
        <w:t>Agriopleura</w:t>
      </w:r>
      <w:r>
        <w:t>,</w:t>
      </w:r>
      <w:r>
        <w:tab/>
        <w:t>are subordinates.</w:t>
      </w:r>
    </w:p>
    <w:p w14:paraId="057D8B5D" w14:textId="77777777" w:rsidR="00CF7124" w:rsidRDefault="001578E5">
      <w:pPr>
        <w:spacing w:after="230"/>
        <w:ind w:left="-15"/>
      </w:pPr>
      <w:r>
        <w:t>Rudist-free sediments include inter-supratidal and subtidal facies. Supratidal and intertidal facies are represented by fenestrate mudstones, stromatolites, miliolid wackestones and gastropod-miliolid wackestones (</w:t>
      </w:r>
      <w:r>
        <w:rPr>
          <w:color w:val="2D3092"/>
        </w:rPr>
        <w:t>Masse et al</w:t>
      </w:r>
      <w:r>
        <w:rPr>
          <w:color w:val="2D3092"/>
        </w:rPr>
        <w:t>., 2003</w:t>
      </w:r>
      <w:r>
        <w:t>). Subtidal facies include: peloidal-bioclastic, coprolite (</w:t>
      </w:r>
      <w:r>
        <w:t>Favreina</w:t>
      </w:r>
      <w:r>
        <w:t xml:space="preserve">), oncoidal/ooidal or </w:t>
      </w:r>
      <w:r>
        <w:t>Bacinella</w:t>
      </w:r>
      <w:r>
        <w:t>-rich packstones and grainstones; digitate microbial structures are locally present.</w:t>
      </w:r>
    </w:p>
    <w:p w14:paraId="3C582F60" w14:textId="77777777" w:rsidR="00CF7124" w:rsidRDefault="001578E5">
      <w:pPr>
        <w:numPr>
          <w:ilvl w:val="0"/>
          <w:numId w:val="1"/>
        </w:numPr>
        <w:spacing w:after="234" w:line="253" w:lineRule="auto"/>
        <w:ind w:hanging="10"/>
        <w:jc w:val="left"/>
      </w:pPr>
      <w:r>
        <w:t>Quantitative contribution of rudist beds instratigraphic entities</w:t>
      </w:r>
    </w:p>
    <w:p w14:paraId="1E1E3F62" w14:textId="77777777" w:rsidR="00CF7124" w:rsidRDefault="001578E5">
      <w:pPr>
        <w:spacing w:after="226"/>
        <w:ind w:left="-15"/>
      </w:pPr>
      <w:r>
        <w:t>This section addresses the quantification of rudist beds at vertical and horizontal scales and deals with the following aspects: the stratigraphic contribution of rudists based on the cumulative thickness of rudist beds, expressed in percentage of the tot</w:t>
      </w:r>
      <w:r>
        <w:t>al thickness, evaluated for each of the 7 study stratigraphic sections, and for each of the 4 stratigraphic units of the Boumandariel sequence; and the contribution of the 4 rudist communities, expressed in %, was also estimated after their cumulative thic</w:t>
      </w:r>
      <w:r>
        <w:t xml:space="preserve">kness in each stratigraphic unit, then for the total of rudist-bearing beds. </w:t>
      </w:r>
      <w:r>
        <w:t>3.1. Total rudist stratigraphic contribution</w:t>
      </w:r>
    </w:p>
    <w:p w14:paraId="09724D59" w14:textId="77777777" w:rsidR="00CF7124" w:rsidRDefault="001578E5">
      <w:pPr>
        <w:ind w:left="-15"/>
      </w:pPr>
      <w:r>
        <w:t>For individual sections the stratigraphic contribution of rudist beds (</w:t>
      </w:r>
      <w:r>
        <w:rPr>
          <w:color w:val="2D3092"/>
        </w:rPr>
        <w:t>Table 1</w:t>
      </w:r>
      <w:r>
        <w:t>) fluctuates from 22% (La Bedoule) to 71% (Jas de Laure)</w:t>
      </w:r>
      <w:r>
        <w:t>. Low values (</w:t>
      </w:r>
      <w:r>
        <w:rPr>
          <w:rFonts w:ascii="Calibri" w:eastAsia="Calibri" w:hAnsi="Calibri" w:cs="Calibri"/>
        </w:rPr>
        <w:t>b</w:t>
      </w:r>
      <w:r>
        <w:t>25%) characterize La Bedoule and Le Merlan, whereas relatively high values (</w:t>
      </w:r>
      <w:r>
        <w:t>z</w:t>
      </w:r>
      <w:r>
        <w:t>43%) are found in the other localities.</w:t>
      </w:r>
    </w:p>
    <w:p w14:paraId="010E1266" w14:textId="77777777" w:rsidR="00CF7124" w:rsidRDefault="001578E5">
      <w:pPr>
        <w:spacing w:after="230"/>
        <w:ind w:left="-15" w:right="88"/>
      </w:pPr>
      <w:r>
        <w:t>Estimates performed for each stratigraphic unit expected to provide a more realistic picture, show the following results (</w:t>
      </w:r>
      <w:r>
        <w:rPr>
          <w:color w:val="2D3092"/>
        </w:rPr>
        <w:t>Table 2</w:t>
      </w:r>
      <w:r>
        <w:t>): for unit 1, the stratigraphic contribution of rudists beds fluctuates from 37% (Le Merlan) to 80% (Jas de Laure), and the av</w:t>
      </w:r>
      <w:r>
        <w:t xml:space="preserve">erage is 59%; for unit 2, it ranges from 12% (La Bedoule) to 88% (Jas de Laure), compared to unit 1 the average decreases to 47%; for unit 3, its value is between 11% (La Bedoule) to 87% (Jas de Laure), compared to unit 2 the average increases to 56%; and </w:t>
      </w:r>
      <w:r>
        <w:t>for unit 4, it fluctuates from 10% (Cassis) to 56% (Jas de Laure), compared to unit 3 the average drops down to 32%.</w:t>
      </w:r>
    </w:p>
    <w:p w14:paraId="13E475F9" w14:textId="77777777" w:rsidR="00CF7124" w:rsidRDefault="001578E5">
      <w:pPr>
        <w:spacing w:after="234" w:line="254" w:lineRule="auto"/>
        <w:ind w:left="-5" w:hanging="10"/>
        <w:jc w:val="left"/>
      </w:pPr>
      <w:r>
        <w:t>3.2. Stratigraphic contribution of rudist communities</w:t>
      </w:r>
    </w:p>
    <w:p w14:paraId="3E8E9DA9" w14:textId="77777777" w:rsidR="00CF7124" w:rsidRDefault="001578E5">
      <w:pPr>
        <w:ind w:left="-15" w:right="88"/>
      </w:pPr>
      <w:r>
        <w:t xml:space="preserve">The relative proportion of community types to the overall stratigraphic contribution </w:t>
      </w:r>
      <w:r>
        <w:t>of rudist beds (</w:t>
      </w:r>
      <w:r>
        <w:rPr>
          <w:color w:val="2D3092"/>
        </w:rPr>
        <w:t>Table 1</w:t>
      </w:r>
      <w:r>
        <w:t>), community 2 has the highest record (50%) then followed by community 4 (28%), and community 3 (15%), community 1 having the lowest record (7%).</w:t>
      </w:r>
    </w:p>
    <w:p w14:paraId="00433753" w14:textId="77777777" w:rsidR="00CF7124" w:rsidRDefault="001578E5">
      <w:pPr>
        <w:ind w:left="-15" w:right="88"/>
      </w:pPr>
      <w:r>
        <w:t>Per unit distribution of community types (</w:t>
      </w:r>
      <w:r>
        <w:rPr>
          <w:color w:val="2D3092"/>
        </w:rPr>
        <w:t>Table 3</w:t>
      </w:r>
      <w:r>
        <w:t xml:space="preserve">) </w:t>
      </w:r>
      <w:r>
        <w:t xml:space="preserve">relative to both rudist-free sediments and rudist beds tends to corroborate the above picture. Community 2 has the highest record 24% (16.5% to 37.8%) followed by community 4, with 13% (6.3% to 20.4%). The record of community 3 is 7% (1.4% to 12.6%). As </w:t>
      </w:r>
      <w:proofErr w:type="gramStart"/>
      <w:r>
        <w:t>ex</w:t>
      </w:r>
      <w:r>
        <w:t>pected</w:t>
      </w:r>
      <w:proofErr w:type="gramEnd"/>
      <w:r>
        <w:t xml:space="preserve"> the record of community 1 is low 3% (0.3 to 5.2%). Referring to stratigraphic </w:t>
      </w:r>
      <w:proofErr w:type="gramStart"/>
      <w:r>
        <w:t>units</w:t>
      </w:r>
      <w:proofErr w:type="gramEnd"/>
      <w:r>
        <w:t xml:space="preserve"> community 1 has its highest contribution in unit 3 and community 3</w:t>
      </w:r>
    </w:p>
    <w:p w14:paraId="2DAE1B8F" w14:textId="77777777" w:rsidR="00CF7124" w:rsidRDefault="00CF7124">
      <w:pPr>
        <w:sectPr w:rsidR="00CF7124">
          <w:type w:val="continuous"/>
          <w:pgSz w:w="10885" w:h="14854"/>
          <w:pgMar w:top="1346" w:right="736" w:bottom="1033" w:left="737" w:header="720" w:footer="720" w:gutter="0"/>
          <w:cols w:num="2" w:space="483"/>
        </w:sectPr>
      </w:pPr>
    </w:p>
    <w:p w14:paraId="0B63FD78" w14:textId="77777777" w:rsidR="00CF7124" w:rsidRDefault="001578E5">
      <w:pPr>
        <w:spacing w:after="0" w:line="259" w:lineRule="auto"/>
        <w:ind w:left="942" w:firstLine="0"/>
        <w:jc w:val="left"/>
      </w:pPr>
      <w:r>
        <w:rPr>
          <w:rFonts w:ascii="Calibri" w:eastAsia="Calibri" w:hAnsi="Calibri" w:cs="Calibri"/>
          <w:noProof/>
          <w:color w:val="000000"/>
          <w:sz w:val="22"/>
        </w:rPr>
        <w:lastRenderedPageBreak/>
        <mc:AlternateContent>
          <mc:Choice Requires="wpg">
            <w:drawing>
              <wp:inline distT="0" distB="0" distL="0" distR="0" wp14:anchorId="2828D0D5" wp14:editId="40E04376">
                <wp:extent cx="4857282" cy="7031518"/>
                <wp:effectExtent l="0" t="0" r="0" b="0"/>
                <wp:docPr id="29962" name="Group 29962"/>
                <wp:cNvGraphicFramePr/>
                <a:graphic xmlns:a="http://schemas.openxmlformats.org/drawingml/2006/main">
                  <a:graphicData uri="http://schemas.microsoft.com/office/word/2010/wordprocessingGroup">
                    <wpg:wgp>
                      <wpg:cNvGrpSpPr/>
                      <wpg:grpSpPr>
                        <a:xfrm>
                          <a:off x="0" y="0"/>
                          <a:ext cx="4857282" cy="7031518"/>
                          <a:chOff x="0" y="0"/>
                          <a:chExt cx="4857282" cy="7031518"/>
                        </a:xfrm>
                      </wpg:grpSpPr>
                      <pic:pic xmlns:pic="http://schemas.openxmlformats.org/drawingml/2006/picture">
                        <pic:nvPicPr>
                          <pic:cNvPr id="632" name="Picture 632"/>
                          <pic:cNvPicPr/>
                        </pic:nvPicPr>
                        <pic:blipFill>
                          <a:blip r:embed="rId19"/>
                          <a:stretch>
                            <a:fillRect/>
                          </a:stretch>
                        </pic:blipFill>
                        <pic:spPr>
                          <a:xfrm rot="-5399999">
                            <a:off x="-1196279" y="1196280"/>
                            <a:ext cx="7031518" cy="4638960"/>
                          </a:xfrm>
                          <a:prstGeom prst="rect">
                            <a:avLst/>
                          </a:prstGeom>
                        </pic:spPr>
                      </pic:pic>
                      <wps:wsp>
                        <wps:cNvPr id="633" name="Rectangle 633"/>
                        <wps:cNvSpPr/>
                        <wps:spPr>
                          <a:xfrm rot="-5399999">
                            <a:off x="2301736" y="2827768"/>
                            <a:ext cx="5049447" cy="122374"/>
                          </a:xfrm>
                          <a:prstGeom prst="rect">
                            <a:avLst/>
                          </a:prstGeom>
                          <a:ln>
                            <a:noFill/>
                          </a:ln>
                        </wps:spPr>
                        <wps:txbx>
                          <w:txbxContent>
                            <w:p w14:paraId="508B0B46" w14:textId="77777777" w:rsidR="00CF7124" w:rsidRDefault="001578E5">
                              <w:pPr>
                                <w:spacing w:after="160" w:line="259" w:lineRule="auto"/>
                                <w:ind w:firstLine="0"/>
                                <w:jc w:val="left"/>
                              </w:pPr>
                              <w:r>
                                <w:rPr>
                                  <w:sz w:val="16"/>
                                </w:rPr>
                                <w:t>Fig.7.StratigraphiccorrelationpaneloftheBoumandarielsequenceintheMarseiller</w:t>
                              </w:r>
                              <w:r>
                                <w:rPr>
                                  <w:sz w:val="16"/>
                                </w:rPr>
                                <w:t>egion.</w:t>
                              </w:r>
                            </w:p>
                          </w:txbxContent>
                        </wps:txbx>
                        <wps:bodyPr horzOverflow="overflow" vert="horz" lIns="0" tIns="0" rIns="0" bIns="0" rtlCol="0">
                          <a:noAutofit/>
                        </wps:bodyPr>
                      </wps:wsp>
                    </wpg:wgp>
                  </a:graphicData>
                </a:graphic>
              </wp:inline>
            </w:drawing>
          </mc:Choice>
          <mc:Fallback xmlns:a="http://schemas.openxmlformats.org/drawingml/2006/main">
            <w:pict>
              <v:group id="Group 29962" style="width:382.463pt;height:553.663pt;mso-position-horizontal-relative:char;mso-position-vertical-relative:line" coordsize="48572,70315">
                <v:shape id="Picture 632" style="position:absolute;width:70315;height:46389;left:-11962;top:11962;rotation:-89;" filled="f">
                  <v:imagedata r:id="rId20"/>
                </v:shape>
                <v:rect id="Rectangle 633" style="position:absolute;width:50494;height:1223;left:23017;top:28277;rotation:270;" filled="f" stroked="f">
                  <v:textbox inset="0,0,0,0" style="layout-flow:vertical;mso-layout-flow-alt:bottom-to-top">
                    <w:txbxContent>
                      <w:p>
                        <w:pPr>
                          <w:spacing w:before="0" w:after="160" w:line="259" w:lineRule="auto"/>
                          <w:ind w:left="0" w:firstLine="0"/>
                          <w:jc w:val="left"/>
                        </w:pPr>
                        <w:r>
                          <w:rPr>
                            <w:sz w:val="16"/>
                          </w:rPr>
                          <w:t xml:space="preserve">Fig.7.StratigraphiccorrelationpaneloftheBoumandarielsequenceintheMarseilleregion.</w:t>
                        </w:r>
                      </w:p>
                    </w:txbxContent>
                  </v:textbox>
                </v:rect>
              </v:group>
            </w:pict>
          </mc:Fallback>
        </mc:AlternateContent>
      </w:r>
    </w:p>
    <w:p w14:paraId="15FF8F28" w14:textId="77777777" w:rsidR="00CF7124" w:rsidRDefault="001578E5">
      <w:pPr>
        <w:spacing w:after="198" w:line="259" w:lineRule="auto"/>
        <w:ind w:left="266" w:firstLine="0"/>
        <w:jc w:val="left"/>
      </w:pPr>
      <w:r>
        <w:rPr>
          <w:noProof/>
        </w:rPr>
        <w:lastRenderedPageBreak/>
        <w:drawing>
          <wp:inline distT="0" distB="0" distL="0" distR="0" wp14:anchorId="7688D5AA" wp14:editId="7A79C5C1">
            <wp:extent cx="5586536" cy="5561280"/>
            <wp:effectExtent l="0" t="0" r="0" b="0"/>
            <wp:docPr id="639" name="Picture 639"/>
            <wp:cNvGraphicFramePr/>
            <a:graphic xmlns:a="http://schemas.openxmlformats.org/drawingml/2006/main">
              <a:graphicData uri="http://schemas.openxmlformats.org/drawingml/2006/picture">
                <pic:pic xmlns:pic="http://schemas.openxmlformats.org/drawingml/2006/picture">
                  <pic:nvPicPr>
                    <pic:cNvPr id="639" name="Picture 639"/>
                    <pic:cNvPicPr/>
                  </pic:nvPicPr>
                  <pic:blipFill>
                    <a:blip r:embed="rId21"/>
                    <a:stretch>
                      <a:fillRect/>
                    </a:stretch>
                  </pic:blipFill>
                  <pic:spPr>
                    <a:xfrm>
                      <a:off x="0" y="0"/>
                      <a:ext cx="5586536" cy="5561280"/>
                    </a:xfrm>
                    <a:prstGeom prst="rect">
                      <a:avLst/>
                    </a:prstGeom>
                  </pic:spPr>
                </pic:pic>
              </a:graphicData>
            </a:graphic>
          </wp:inline>
        </w:drawing>
      </w:r>
    </w:p>
    <w:p w14:paraId="0823AB9B" w14:textId="77777777" w:rsidR="00CF7124" w:rsidRDefault="001578E5">
      <w:pPr>
        <w:spacing w:after="609" w:line="269" w:lineRule="auto"/>
        <w:ind w:left="-15" w:right="87" w:firstLine="0"/>
      </w:pPr>
      <w:r>
        <w:rPr>
          <w:sz w:val="16"/>
        </w:rPr>
        <w:t>Fig. 8. Rudist community types. (a) Community type 1 with small thin-shelled forms. (b) Community type 2 with small requieniids. (c) Community type 3 with small and large forms. (d) Community type 4 with large monopleurids and requieniids. (a) na</w:t>
      </w:r>
      <w:r>
        <w:rPr>
          <w:sz w:val="16"/>
        </w:rPr>
        <w:t>tural outcrop, (b, c, d) polished slabs.</w:t>
      </w:r>
    </w:p>
    <w:p w14:paraId="5B7B0404" w14:textId="77777777" w:rsidR="00CF7124" w:rsidRDefault="001578E5">
      <w:pPr>
        <w:spacing w:after="230"/>
        <w:ind w:left="-15" w:firstLine="0"/>
      </w:pPr>
      <w:r>
        <w:t xml:space="preserve">as well. Community 2 has its highest record in unit 1 whereas community 4 has its highest record in unit 2. </w:t>
      </w:r>
      <w:proofErr w:type="gramStart"/>
      <w:r>
        <w:t>Therefore</w:t>
      </w:r>
      <w:proofErr w:type="gramEnd"/>
      <w:r>
        <w:t xml:space="preserve"> each unit tends to have a distinctive dominant community type.</w:t>
      </w:r>
    </w:p>
    <w:p w14:paraId="1955FBD3" w14:textId="77777777" w:rsidR="00CF7124" w:rsidRDefault="001578E5">
      <w:pPr>
        <w:spacing w:after="234" w:line="253" w:lineRule="auto"/>
        <w:ind w:left="-5" w:hanging="10"/>
        <w:jc w:val="left"/>
      </w:pPr>
      <w:r>
        <w:t>4. The skeletal contribution of ru</w:t>
      </w:r>
      <w:r>
        <w:t>dists</w:t>
      </w:r>
    </w:p>
    <w:p w14:paraId="12AA967C" w14:textId="77777777" w:rsidR="00CF7124" w:rsidRDefault="001578E5">
      <w:pPr>
        <w:ind w:left="-15" w:right="87"/>
      </w:pPr>
      <w:r>
        <w:t>In this chapter, our intent is to address the quantification of the skeletal contribution of rudists with different methods and scales. The basic data are the macro and microskeletal contribution of rudists evaluated for each community type in their associ</w:t>
      </w:r>
      <w:r>
        <w:t xml:space="preserve">ated depositional facies, by using the results of </w:t>
      </w:r>
      <w:r>
        <w:rPr>
          <w:color w:val="2D3092"/>
        </w:rPr>
        <w:t>Fenerci-Masse et al. (2004)</w:t>
      </w:r>
      <w:r>
        <w:t>. The foregoing results are used for the quantification of the skeletal contribution of rudists for vertical stratigraphic successions, then for horizontal stratigraphic units.</w:t>
      </w:r>
    </w:p>
    <w:p w14:paraId="355BDBCE" w14:textId="77777777" w:rsidR="00CF7124" w:rsidRDefault="001578E5">
      <w:pPr>
        <w:spacing w:after="4" w:line="269" w:lineRule="auto"/>
        <w:ind w:left="86" w:firstLine="0"/>
      </w:pPr>
      <w:r>
        <w:rPr>
          <w:sz w:val="16"/>
        </w:rPr>
        <w:lastRenderedPageBreak/>
        <w:t>Ta</w:t>
      </w:r>
      <w:r>
        <w:rPr>
          <w:sz w:val="16"/>
        </w:rPr>
        <w:t>ble 1</w:t>
      </w:r>
    </w:p>
    <w:p w14:paraId="200C2FA0" w14:textId="77777777" w:rsidR="00CF7124" w:rsidRDefault="001578E5">
      <w:pPr>
        <w:spacing w:after="4" w:line="269" w:lineRule="auto"/>
        <w:ind w:left="86" w:firstLine="0"/>
      </w:pPr>
      <w:r>
        <w:rPr>
          <w:sz w:val="16"/>
        </w:rPr>
        <w:t>For individual stratigraphic sections are given: the stratigraphic contribution of rudist community types, total rudists and their corresponding skeletal contribution</w:t>
      </w:r>
    </w:p>
    <w:tbl>
      <w:tblPr>
        <w:tblStyle w:val="TableGrid"/>
        <w:tblW w:w="9325" w:type="dxa"/>
        <w:tblInd w:w="86" w:type="dxa"/>
        <w:tblCellMar>
          <w:top w:w="27" w:type="dxa"/>
          <w:left w:w="0" w:type="dxa"/>
          <w:bottom w:w="0" w:type="dxa"/>
          <w:right w:w="0" w:type="dxa"/>
        </w:tblCellMar>
        <w:tblLook w:val="04A0" w:firstRow="1" w:lastRow="0" w:firstColumn="1" w:lastColumn="0" w:noHBand="0" w:noVBand="1"/>
      </w:tblPr>
      <w:tblGrid>
        <w:gridCol w:w="1547"/>
        <w:gridCol w:w="855"/>
        <w:gridCol w:w="916"/>
        <w:gridCol w:w="612"/>
        <w:gridCol w:w="785"/>
        <w:gridCol w:w="890"/>
        <w:gridCol w:w="620"/>
        <w:gridCol w:w="964"/>
        <w:gridCol w:w="1308"/>
        <w:gridCol w:w="828"/>
      </w:tblGrid>
      <w:tr w:rsidR="00CF7124" w14:paraId="61BA3F15" w14:textId="77777777">
        <w:trPr>
          <w:trHeight w:val="468"/>
        </w:trPr>
        <w:tc>
          <w:tcPr>
            <w:tcW w:w="1547" w:type="dxa"/>
            <w:tcBorders>
              <w:top w:val="single" w:sz="4" w:space="0" w:color="221F1F"/>
              <w:left w:val="nil"/>
              <w:bottom w:val="single" w:sz="4" w:space="0" w:color="221F1F"/>
              <w:right w:val="nil"/>
            </w:tcBorders>
          </w:tcPr>
          <w:p w14:paraId="0E8BD309" w14:textId="77777777" w:rsidR="00CF7124" w:rsidRDefault="00CF7124">
            <w:pPr>
              <w:spacing w:after="160" w:line="259" w:lineRule="auto"/>
              <w:ind w:firstLine="0"/>
              <w:jc w:val="left"/>
            </w:pPr>
          </w:p>
        </w:tc>
        <w:tc>
          <w:tcPr>
            <w:tcW w:w="855" w:type="dxa"/>
            <w:tcBorders>
              <w:top w:val="single" w:sz="4" w:space="0" w:color="221F1F"/>
              <w:left w:val="nil"/>
              <w:bottom w:val="single" w:sz="4" w:space="0" w:color="221F1F"/>
              <w:right w:val="nil"/>
            </w:tcBorders>
          </w:tcPr>
          <w:p w14:paraId="252BC5CE" w14:textId="77777777" w:rsidR="00CF7124" w:rsidRDefault="001578E5">
            <w:pPr>
              <w:spacing w:after="0" w:line="259" w:lineRule="auto"/>
              <w:ind w:firstLine="0"/>
              <w:jc w:val="left"/>
            </w:pPr>
            <w:r>
              <w:rPr>
                <w:sz w:val="16"/>
              </w:rPr>
              <w:t>Martigues</w:t>
            </w:r>
          </w:p>
        </w:tc>
        <w:tc>
          <w:tcPr>
            <w:tcW w:w="916" w:type="dxa"/>
            <w:tcBorders>
              <w:top w:val="single" w:sz="4" w:space="0" w:color="221F1F"/>
              <w:left w:val="nil"/>
              <w:bottom w:val="single" w:sz="4" w:space="0" w:color="221F1F"/>
              <w:right w:val="nil"/>
            </w:tcBorders>
          </w:tcPr>
          <w:p w14:paraId="1B5038E5" w14:textId="77777777" w:rsidR="00CF7124" w:rsidRDefault="001578E5">
            <w:pPr>
              <w:spacing w:after="0" w:line="259" w:lineRule="auto"/>
              <w:ind w:firstLine="0"/>
              <w:jc w:val="left"/>
            </w:pPr>
            <w:r>
              <w:rPr>
                <w:sz w:val="16"/>
              </w:rPr>
              <w:t>Sausset-les</w:t>
            </w:r>
          </w:p>
          <w:p w14:paraId="6FA3607C" w14:textId="77777777" w:rsidR="00CF7124" w:rsidRDefault="001578E5">
            <w:pPr>
              <w:spacing w:after="0" w:line="259" w:lineRule="auto"/>
              <w:ind w:firstLine="0"/>
              <w:jc w:val="left"/>
            </w:pPr>
            <w:r>
              <w:rPr>
                <w:sz w:val="16"/>
              </w:rPr>
              <w:t>Pins</w:t>
            </w:r>
          </w:p>
        </w:tc>
        <w:tc>
          <w:tcPr>
            <w:tcW w:w="612" w:type="dxa"/>
            <w:tcBorders>
              <w:top w:val="single" w:sz="4" w:space="0" w:color="221F1F"/>
              <w:left w:val="nil"/>
              <w:bottom w:val="single" w:sz="4" w:space="0" w:color="221F1F"/>
              <w:right w:val="nil"/>
            </w:tcBorders>
          </w:tcPr>
          <w:p w14:paraId="69B97732" w14:textId="77777777" w:rsidR="00CF7124" w:rsidRDefault="001578E5">
            <w:pPr>
              <w:spacing w:after="0" w:line="259" w:lineRule="auto"/>
              <w:ind w:firstLine="0"/>
              <w:jc w:val="left"/>
            </w:pPr>
            <w:r>
              <w:rPr>
                <w:sz w:val="16"/>
              </w:rPr>
              <w:t>Jas de</w:t>
            </w:r>
          </w:p>
          <w:p w14:paraId="0B1EA6A3" w14:textId="77777777" w:rsidR="00CF7124" w:rsidRDefault="001578E5">
            <w:pPr>
              <w:spacing w:after="0" w:line="259" w:lineRule="auto"/>
              <w:ind w:firstLine="0"/>
              <w:jc w:val="left"/>
            </w:pPr>
            <w:r>
              <w:rPr>
                <w:sz w:val="16"/>
              </w:rPr>
              <w:t>Laure</w:t>
            </w:r>
          </w:p>
        </w:tc>
        <w:tc>
          <w:tcPr>
            <w:tcW w:w="785" w:type="dxa"/>
            <w:tcBorders>
              <w:top w:val="single" w:sz="4" w:space="0" w:color="221F1F"/>
              <w:left w:val="nil"/>
              <w:bottom w:val="single" w:sz="4" w:space="0" w:color="221F1F"/>
              <w:right w:val="nil"/>
            </w:tcBorders>
          </w:tcPr>
          <w:p w14:paraId="31EB7D27" w14:textId="77777777" w:rsidR="00CF7124" w:rsidRDefault="001578E5">
            <w:pPr>
              <w:spacing w:after="0" w:line="259" w:lineRule="auto"/>
              <w:ind w:firstLine="0"/>
              <w:jc w:val="left"/>
            </w:pPr>
            <w:r>
              <w:rPr>
                <w:sz w:val="16"/>
              </w:rPr>
              <w:t>Cap</w:t>
            </w:r>
          </w:p>
          <w:p w14:paraId="322D1504" w14:textId="77777777" w:rsidR="00CF7124" w:rsidRDefault="001578E5">
            <w:pPr>
              <w:spacing w:after="0" w:line="259" w:lineRule="auto"/>
              <w:ind w:firstLine="0"/>
              <w:jc w:val="left"/>
            </w:pPr>
            <w:r>
              <w:rPr>
                <w:sz w:val="16"/>
              </w:rPr>
              <w:t>Croisette</w:t>
            </w:r>
          </w:p>
        </w:tc>
        <w:tc>
          <w:tcPr>
            <w:tcW w:w="890" w:type="dxa"/>
            <w:tcBorders>
              <w:top w:val="single" w:sz="4" w:space="0" w:color="221F1F"/>
              <w:left w:val="nil"/>
              <w:bottom w:val="single" w:sz="4" w:space="0" w:color="221F1F"/>
              <w:right w:val="nil"/>
            </w:tcBorders>
          </w:tcPr>
          <w:p w14:paraId="068BF7C0" w14:textId="77777777" w:rsidR="00CF7124" w:rsidRDefault="001578E5">
            <w:pPr>
              <w:spacing w:after="0" w:line="259" w:lineRule="auto"/>
              <w:ind w:firstLine="0"/>
              <w:jc w:val="left"/>
            </w:pPr>
            <w:r>
              <w:rPr>
                <w:sz w:val="16"/>
              </w:rPr>
              <w:t>Le Merlan</w:t>
            </w:r>
          </w:p>
        </w:tc>
        <w:tc>
          <w:tcPr>
            <w:tcW w:w="620" w:type="dxa"/>
            <w:tcBorders>
              <w:top w:val="single" w:sz="4" w:space="0" w:color="221F1F"/>
              <w:left w:val="nil"/>
              <w:bottom w:val="single" w:sz="4" w:space="0" w:color="221F1F"/>
              <w:right w:val="nil"/>
            </w:tcBorders>
          </w:tcPr>
          <w:p w14:paraId="42AC2431" w14:textId="77777777" w:rsidR="00CF7124" w:rsidRDefault="001578E5">
            <w:pPr>
              <w:spacing w:after="0" w:line="259" w:lineRule="auto"/>
              <w:ind w:firstLine="0"/>
              <w:jc w:val="left"/>
            </w:pPr>
            <w:r>
              <w:rPr>
                <w:sz w:val="16"/>
              </w:rPr>
              <w:t>Cassis</w:t>
            </w:r>
          </w:p>
        </w:tc>
        <w:tc>
          <w:tcPr>
            <w:tcW w:w="964" w:type="dxa"/>
            <w:tcBorders>
              <w:top w:val="single" w:sz="4" w:space="0" w:color="221F1F"/>
              <w:left w:val="nil"/>
              <w:bottom w:val="single" w:sz="4" w:space="0" w:color="221F1F"/>
              <w:right w:val="nil"/>
            </w:tcBorders>
          </w:tcPr>
          <w:p w14:paraId="60F5426B" w14:textId="77777777" w:rsidR="00CF7124" w:rsidRDefault="001578E5">
            <w:pPr>
              <w:spacing w:after="0" w:line="259" w:lineRule="auto"/>
              <w:ind w:firstLine="0"/>
              <w:jc w:val="left"/>
            </w:pPr>
            <w:r>
              <w:rPr>
                <w:sz w:val="16"/>
              </w:rPr>
              <w:t>La Bedoule</w:t>
            </w:r>
          </w:p>
        </w:tc>
        <w:tc>
          <w:tcPr>
            <w:tcW w:w="1308" w:type="dxa"/>
            <w:tcBorders>
              <w:top w:val="single" w:sz="4" w:space="0" w:color="221F1F"/>
              <w:left w:val="nil"/>
              <w:bottom w:val="single" w:sz="4" w:space="0" w:color="221F1F"/>
              <w:right w:val="nil"/>
            </w:tcBorders>
          </w:tcPr>
          <w:p w14:paraId="3C01DBD0" w14:textId="77777777" w:rsidR="00CF7124" w:rsidRDefault="001578E5">
            <w:pPr>
              <w:spacing w:after="0" w:line="259" w:lineRule="auto"/>
              <w:ind w:firstLine="0"/>
              <w:jc w:val="left"/>
            </w:pPr>
            <w:r>
              <w:rPr>
                <w:sz w:val="16"/>
              </w:rPr>
              <w:t>Average regional contribution</w:t>
            </w:r>
          </w:p>
        </w:tc>
        <w:tc>
          <w:tcPr>
            <w:tcW w:w="828" w:type="dxa"/>
            <w:tcBorders>
              <w:top w:val="single" w:sz="4" w:space="0" w:color="221F1F"/>
              <w:left w:val="nil"/>
              <w:bottom w:val="single" w:sz="4" w:space="0" w:color="221F1F"/>
              <w:right w:val="nil"/>
            </w:tcBorders>
          </w:tcPr>
          <w:p w14:paraId="2E5A8558" w14:textId="77777777" w:rsidR="00CF7124" w:rsidRDefault="001578E5">
            <w:pPr>
              <w:spacing w:after="0" w:line="259" w:lineRule="auto"/>
              <w:ind w:firstLine="0"/>
              <w:jc w:val="left"/>
            </w:pPr>
            <w:r>
              <w:rPr>
                <w:sz w:val="16"/>
              </w:rPr>
              <w:t>% relative to total rudists</w:t>
            </w:r>
          </w:p>
        </w:tc>
      </w:tr>
      <w:tr w:rsidR="00CF7124" w14:paraId="2272C2C6" w14:textId="77777777">
        <w:trPr>
          <w:trHeight w:val="266"/>
        </w:trPr>
        <w:tc>
          <w:tcPr>
            <w:tcW w:w="1547" w:type="dxa"/>
            <w:tcBorders>
              <w:top w:val="single" w:sz="4" w:space="0" w:color="221F1F"/>
              <w:left w:val="nil"/>
              <w:bottom w:val="nil"/>
              <w:right w:val="nil"/>
            </w:tcBorders>
          </w:tcPr>
          <w:p w14:paraId="4112F8B9" w14:textId="77777777" w:rsidR="00CF7124" w:rsidRDefault="001578E5">
            <w:pPr>
              <w:spacing w:after="0" w:line="259" w:lineRule="auto"/>
              <w:ind w:firstLine="0"/>
              <w:jc w:val="left"/>
            </w:pPr>
            <w:r>
              <w:rPr>
                <w:sz w:val="16"/>
              </w:rPr>
              <w:t>Community 1 (%)</w:t>
            </w:r>
          </w:p>
        </w:tc>
        <w:tc>
          <w:tcPr>
            <w:tcW w:w="855" w:type="dxa"/>
            <w:tcBorders>
              <w:top w:val="single" w:sz="4" w:space="0" w:color="221F1F"/>
              <w:left w:val="nil"/>
              <w:bottom w:val="nil"/>
              <w:right w:val="nil"/>
            </w:tcBorders>
          </w:tcPr>
          <w:p w14:paraId="0FDCA0DC" w14:textId="77777777" w:rsidR="00CF7124" w:rsidRDefault="001578E5">
            <w:pPr>
              <w:spacing w:after="0" w:line="259" w:lineRule="auto"/>
              <w:ind w:left="79" w:firstLine="0"/>
              <w:jc w:val="left"/>
            </w:pPr>
            <w:r>
              <w:rPr>
                <w:sz w:val="16"/>
              </w:rPr>
              <w:t>4</w:t>
            </w:r>
          </w:p>
        </w:tc>
        <w:tc>
          <w:tcPr>
            <w:tcW w:w="916" w:type="dxa"/>
            <w:tcBorders>
              <w:top w:val="single" w:sz="4" w:space="0" w:color="221F1F"/>
              <w:left w:val="nil"/>
              <w:bottom w:val="nil"/>
              <w:right w:val="nil"/>
            </w:tcBorders>
          </w:tcPr>
          <w:p w14:paraId="1E13CE9F" w14:textId="77777777" w:rsidR="00CF7124" w:rsidRDefault="001578E5">
            <w:pPr>
              <w:spacing w:after="0" w:line="259" w:lineRule="auto"/>
              <w:ind w:left="79" w:firstLine="0"/>
              <w:jc w:val="left"/>
            </w:pPr>
            <w:r>
              <w:rPr>
                <w:sz w:val="16"/>
              </w:rPr>
              <w:t>2</w:t>
            </w:r>
          </w:p>
        </w:tc>
        <w:tc>
          <w:tcPr>
            <w:tcW w:w="612" w:type="dxa"/>
            <w:tcBorders>
              <w:top w:val="single" w:sz="4" w:space="0" w:color="221F1F"/>
              <w:left w:val="nil"/>
              <w:bottom w:val="nil"/>
              <w:right w:val="nil"/>
            </w:tcBorders>
          </w:tcPr>
          <w:p w14:paraId="78EA742A" w14:textId="77777777" w:rsidR="00CF7124" w:rsidRDefault="001578E5">
            <w:pPr>
              <w:spacing w:after="0" w:line="259" w:lineRule="auto"/>
              <w:ind w:left="79" w:firstLine="0"/>
              <w:jc w:val="left"/>
            </w:pPr>
            <w:r>
              <w:rPr>
                <w:sz w:val="16"/>
              </w:rPr>
              <w:t>2</w:t>
            </w:r>
          </w:p>
        </w:tc>
        <w:tc>
          <w:tcPr>
            <w:tcW w:w="785" w:type="dxa"/>
            <w:tcBorders>
              <w:top w:val="single" w:sz="4" w:space="0" w:color="221F1F"/>
              <w:left w:val="nil"/>
              <w:bottom w:val="nil"/>
              <w:right w:val="nil"/>
            </w:tcBorders>
          </w:tcPr>
          <w:p w14:paraId="55775742" w14:textId="77777777" w:rsidR="00CF7124" w:rsidRDefault="001578E5">
            <w:pPr>
              <w:spacing w:after="0" w:line="259" w:lineRule="auto"/>
              <w:ind w:left="79" w:firstLine="0"/>
              <w:jc w:val="left"/>
            </w:pPr>
            <w:r>
              <w:rPr>
                <w:sz w:val="16"/>
              </w:rPr>
              <w:t>2</w:t>
            </w:r>
          </w:p>
        </w:tc>
        <w:tc>
          <w:tcPr>
            <w:tcW w:w="890" w:type="dxa"/>
            <w:tcBorders>
              <w:top w:val="single" w:sz="4" w:space="0" w:color="221F1F"/>
              <w:left w:val="nil"/>
              <w:bottom w:val="nil"/>
              <w:right w:val="nil"/>
            </w:tcBorders>
          </w:tcPr>
          <w:p w14:paraId="5E5B5D4F" w14:textId="77777777" w:rsidR="00CF7124" w:rsidRDefault="001578E5">
            <w:pPr>
              <w:spacing w:after="0" w:line="259" w:lineRule="auto"/>
              <w:ind w:left="79" w:firstLine="0"/>
              <w:jc w:val="left"/>
            </w:pPr>
            <w:r>
              <w:rPr>
                <w:sz w:val="16"/>
              </w:rPr>
              <w:t>1</w:t>
            </w:r>
          </w:p>
        </w:tc>
        <w:tc>
          <w:tcPr>
            <w:tcW w:w="620" w:type="dxa"/>
            <w:tcBorders>
              <w:top w:val="single" w:sz="4" w:space="0" w:color="221F1F"/>
              <w:left w:val="nil"/>
              <w:bottom w:val="nil"/>
              <w:right w:val="nil"/>
            </w:tcBorders>
          </w:tcPr>
          <w:p w14:paraId="721793D6" w14:textId="77777777" w:rsidR="00CF7124" w:rsidRDefault="001578E5">
            <w:pPr>
              <w:spacing w:after="0" w:line="259" w:lineRule="auto"/>
              <w:ind w:left="79" w:firstLine="0"/>
              <w:jc w:val="left"/>
            </w:pPr>
            <w:r>
              <w:rPr>
                <w:sz w:val="16"/>
              </w:rPr>
              <w:t>6</w:t>
            </w:r>
          </w:p>
        </w:tc>
        <w:tc>
          <w:tcPr>
            <w:tcW w:w="964" w:type="dxa"/>
            <w:tcBorders>
              <w:top w:val="single" w:sz="4" w:space="0" w:color="221F1F"/>
              <w:left w:val="nil"/>
              <w:bottom w:val="nil"/>
              <w:right w:val="nil"/>
            </w:tcBorders>
          </w:tcPr>
          <w:p w14:paraId="0D8F676A" w14:textId="77777777" w:rsidR="00CF7124" w:rsidRDefault="001578E5">
            <w:pPr>
              <w:spacing w:after="0" w:line="259" w:lineRule="auto"/>
              <w:ind w:left="80" w:firstLine="0"/>
              <w:jc w:val="left"/>
            </w:pPr>
            <w:r>
              <w:rPr>
                <w:sz w:val="16"/>
              </w:rPr>
              <w:t>3</w:t>
            </w:r>
          </w:p>
        </w:tc>
        <w:tc>
          <w:tcPr>
            <w:tcW w:w="1308" w:type="dxa"/>
            <w:tcBorders>
              <w:top w:val="single" w:sz="4" w:space="0" w:color="221F1F"/>
              <w:left w:val="nil"/>
              <w:bottom w:val="nil"/>
              <w:right w:val="nil"/>
            </w:tcBorders>
          </w:tcPr>
          <w:p w14:paraId="517F0BEC" w14:textId="77777777" w:rsidR="00CF7124" w:rsidRDefault="001578E5">
            <w:pPr>
              <w:spacing w:after="0" w:line="259" w:lineRule="auto"/>
              <w:ind w:left="79" w:firstLine="0"/>
              <w:jc w:val="left"/>
            </w:pPr>
            <w:r>
              <w:rPr>
                <w:sz w:val="16"/>
              </w:rPr>
              <w:t>3</w:t>
            </w:r>
          </w:p>
        </w:tc>
        <w:tc>
          <w:tcPr>
            <w:tcW w:w="828" w:type="dxa"/>
            <w:tcBorders>
              <w:top w:val="single" w:sz="4" w:space="0" w:color="221F1F"/>
              <w:left w:val="nil"/>
              <w:bottom w:val="nil"/>
              <w:right w:val="nil"/>
            </w:tcBorders>
          </w:tcPr>
          <w:p w14:paraId="11F94257" w14:textId="77777777" w:rsidR="00CF7124" w:rsidRDefault="001578E5">
            <w:pPr>
              <w:spacing w:after="0" w:line="259" w:lineRule="auto"/>
              <w:ind w:left="79" w:firstLine="0"/>
              <w:jc w:val="left"/>
            </w:pPr>
            <w:r>
              <w:rPr>
                <w:sz w:val="16"/>
              </w:rPr>
              <w:t>7</w:t>
            </w:r>
          </w:p>
        </w:tc>
      </w:tr>
      <w:tr w:rsidR="00CF7124" w14:paraId="13D8D5A0" w14:textId="77777777">
        <w:trPr>
          <w:trHeight w:val="199"/>
        </w:trPr>
        <w:tc>
          <w:tcPr>
            <w:tcW w:w="1547" w:type="dxa"/>
            <w:tcBorders>
              <w:top w:val="nil"/>
              <w:left w:val="nil"/>
              <w:bottom w:val="nil"/>
              <w:right w:val="nil"/>
            </w:tcBorders>
          </w:tcPr>
          <w:p w14:paraId="27A6DE21" w14:textId="77777777" w:rsidR="00CF7124" w:rsidRDefault="001578E5">
            <w:pPr>
              <w:spacing w:after="0" w:line="259" w:lineRule="auto"/>
              <w:ind w:firstLine="0"/>
              <w:jc w:val="left"/>
            </w:pPr>
            <w:r>
              <w:rPr>
                <w:sz w:val="16"/>
              </w:rPr>
              <w:t>Community 2 (%)</w:t>
            </w:r>
          </w:p>
        </w:tc>
        <w:tc>
          <w:tcPr>
            <w:tcW w:w="855" w:type="dxa"/>
            <w:tcBorders>
              <w:top w:val="nil"/>
              <w:left w:val="nil"/>
              <w:bottom w:val="nil"/>
              <w:right w:val="nil"/>
            </w:tcBorders>
          </w:tcPr>
          <w:p w14:paraId="47A4544E" w14:textId="77777777" w:rsidR="00CF7124" w:rsidRDefault="001578E5">
            <w:pPr>
              <w:spacing w:after="0" w:line="259" w:lineRule="auto"/>
              <w:ind w:firstLine="0"/>
              <w:jc w:val="left"/>
            </w:pPr>
            <w:r>
              <w:rPr>
                <w:sz w:val="16"/>
              </w:rPr>
              <w:t>26</w:t>
            </w:r>
          </w:p>
        </w:tc>
        <w:tc>
          <w:tcPr>
            <w:tcW w:w="916" w:type="dxa"/>
            <w:tcBorders>
              <w:top w:val="nil"/>
              <w:left w:val="nil"/>
              <w:bottom w:val="nil"/>
              <w:right w:val="nil"/>
            </w:tcBorders>
          </w:tcPr>
          <w:p w14:paraId="064316A5" w14:textId="77777777" w:rsidR="00CF7124" w:rsidRDefault="001578E5">
            <w:pPr>
              <w:spacing w:after="0" w:line="259" w:lineRule="auto"/>
              <w:ind w:firstLine="0"/>
              <w:jc w:val="left"/>
            </w:pPr>
            <w:r>
              <w:rPr>
                <w:sz w:val="16"/>
              </w:rPr>
              <w:t>31</w:t>
            </w:r>
          </w:p>
        </w:tc>
        <w:tc>
          <w:tcPr>
            <w:tcW w:w="612" w:type="dxa"/>
            <w:tcBorders>
              <w:top w:val="nil"/>
              <w:left w:val="nil"/>
              <w:bottom w:val="nil"/>
              <w:right w:val="nil"/>
            </w:tcBorders>
          </w:tcPr>
          <w:p w14:paraId="56C87768" w14:textId="77777777" w:rsidR="00CF7124" w:rsidRDefault="001578E5">
            <w:pPr>
              <w:spacing w:after="0" w:line="259" w:lineRule="auto"/>
              <w:ind w:firstLine="0"/>
              <w:jc w:val="left"/>
            </w:pPr>
            <w:r>
              <w:rPr>
                <w:sz w:val="16"/>
              </w:rPr>
              <w:t>25</w:t>
            </w:r>
          </w:p>
        </w:tc>
        <w:tc>
          <w:tcPr>
            <w:tcW w:w="785" w:type="dxa"/>
            <w:tcBorders>
              <w:top w:val="nil"/>
              <w:left w:val="nil"/>
              <w:bottom w:val="nil"/>
              <w:right w:val="nil"/>
            </w:tcBorders>
          </w:tcPr>
          <w:p w14:paraId="6399A4D9" w14:textId="77777777" w:rsidR="00CF7124" w:rsidRDefault="001578E5">
            <w:pPr>
              <w:spacing w:after="0" w:line="259" w:lineRule="auto"/>
              <w:ind w:firstLine="0"/>
              <w:jc w:val="left"/>
            </w:pPr>
            <w:r>
              <w:rPr>
                <w:sz w:val="16"/>
              </w:rPr>
              <w:t>27</w:t>
            </w:r>
          </w:p>
        </w:tc>
        <w:tc>
          <w:tcPr>
            <w:tcW w:w="890" w:type="dxa"/>
            <w:tcBorders>
              <w:top w:val="nil"/>
              <w:left w:val="nil"/>
              <w:bottom w:val="nil"/>
              <w:right w:val="nil"/>
            </w:tcBorders>
          </w:tcPr>
          <w:p w14:paraId="18561165" w14:textId="77777777" w:rsidR="00CF7124" w:rsidRDefault="001578E5">
            <w:pPr>
              <w:spacing w:after="0" w:line="259" w:lineRule="auto"/>
              <w:ind w:left="79" w:firstLine="0"/>
              <w:jc w:val="left"/>
            </w:pPr>
            <w:r>
              <w:rPr>
                <w:sz w:val="16"/>
              </w:rPr>
              <w:t>7</w:t>
            </w:r>
          </w:p>
        </w:tc>
        <w:tc>
          <w:tcPr>
            <w:tcW w:w="620" w:type="dxa"/>
            <w:tcBorders>
              <w:top w:val="nil"/>
              <w:left w:val="nil"/>
              <w:bottom w:val="nil"/>
              <w:right w:val="nil"/>
            </w:tcBorders>
          </w:tcPr>
          <w:p w14:paraId="38E60D22" w14:textId="77777777" w:rsidR="00CF7124" w:rsidRDefault="001578E5">
            <w:pPr>
              <w:spacing w:after="0" w:line="259" w:lineRule="auto"/>
              <w:ind w:firstLine="0"/>
              <w:jc w:val="left"/>
            </w:pPr>
            <w:r>
              <w:rPr>
                <w:sz w:val="16"/>
              </w:rPr>
              <w:t>20</w:t>
            </w:r>
          </w:p>
        </w:tc>
        <w:tc>
          <w:tcPr>
            <w:tcW w:w="964" w:type="dxa"/>
            <w:tcBorders>
              <w:top w:val="nil"/>
              <w:left w:val="nil"/>
              <w:bottom w:val="nil"/>
              <w:right w:val="nil"/>
            </w:tcBorders>
          </w:tcPr>
          <w:p w14:paraId="6C92A917" w14:textId="77777777" w:rsidR="00CF7124" w:rsidRDefault="001578E5">
            <w:pPr>
              <w:spacing w:after="0" w:line="259" w:lineRule="auto"/>
              <w:ind w:firstLine="0"/>
              <w:jc w:val="left"/>
            </w:pPr>
            <w:r>
              <w:rPr>
                <w:sz w:val="16"/>
              </w:rPr>
              <w:t>16</w:t>
            </w:r>
          </w:p>
        </w:tc>
        <w:tc>
          <w:tcPr>
            <w:tcW w:w="1308" w:type="dxa"/>
            <w:tcBorders>
              <w:top w:val="nil"/>
              <w:left w:val="nil"/>
              <w:bottom w:val="nil"/>
              <w:right w:val="nil"/>
            </w:tcBorders>
          </w:tcPr>
          <w:p w14:paraId="516DCC18" w14:textId="77777777" w:rsidR="00CF7124" w:rsidRDefault="001578E5">
            <w:pPr>
              <w:spacing w:after="0" w:line="259" w:lineRule="auto"/>
              <w:ind w:firstLine="0"/>
              <w:jc w:val="left"/>
            </w:pPr>
            <w:r>
              <w:rPr>
                <w:sz w:val="16"/>
              </w:rPr>
              <w:t>24</w:t>
            </w:r>
          </w:p>
        </w:tc>
        <w:tc>
          <w:tcPr>
            <w:tcW w:w="828" w:type="dxa"/>
            <w:tcBorders>
              <w:top w:val="nil"/>
              <w:left w:val="nil"/>
              <w:bottom w:val="nil"/>
              <w:right w:val="nil"/>
            </w:tcBorders>
          </w:tcPr>
          <w:p w14:paraId="7C3B8E8E" w14:textId="77777777" w:rsidR="00CF7124" w:rsidRDefault="001578E5">
            <w:pPr>
              <w:spacing w:after="0" w:line="259" w:lineRule="auto"/>
              <w:ind w:firstLine="0"/>
              <w:jc w:val="left"/>
            </w:pPr>
            <w:r>
              <w:rPr>
                <w:sz w:val="16"/>
              </w:rPr>
              <w:t>50</w:t>
            </w:r>
          </w:p>
        </w:tc>
      </w:tr>
      <w:tr w:rsidR="00CF7124" w14:paraId="516DC50E" w14:textId="77777777">
        <w:trPr>
          <w:trHeight w:val="199"/>
        </w:trPr>
        <w:tc>
          <w:tcPr>
            <w:tcW w:w="1547" w:type="dxa"/>
            <w:tcBorders>
              <w:top w:val="nil"/>
              <w:left w:val="nil"/>
              <w:bottom w:val="nil"/>
              <w:right w:val="nil"/>
            </w:tcBorders>
          </w:tcPr>
          <w:p w14:paraId="00880E4E" w14:textId="77777777" w:rsidR="00CF7124" w:rsidRDefault="001578E5">
            <w:pPr>
              <w:spacing w:after="0" w:line="259" w:lineRule="auto"/>
              <w:ind w:firstLine="0"/>
              <w:jc w:val="left"/>
            </w:pPr>
            <w:r>
              <w:rPr>
                <w:sz w:val="16"/>
              </w:rPr>
              <w:t>Community 3 (%)</w:t>
            </w:r>
          </w:p>
        </w:tc>
        <w:tc>
          <w:tcPr>
            <w:tcW w:w="855" w:type="dxa"/>
            <w:tcBorders>
              <w:top w:val="nil"/>
              <w:left w:val="nil"/>
              <w:bottom w:val="nil"/>
              <w:right w:val="nil"/>
            </w:tcBorders>
          </w:tcPr>
          <w:p w14:paraId="7E997C22" w14:textId="77777777" w:rsidR="00CF7124" w:rsidRDefault="001578E5">
            <w:pPr>
              <w:spacing w:after="0" w:line="259" w:lineRule="auto"/>
              <w:ind w:left="79" w:firstLine="0"/>
              <w:jc w:val="left"/>
            </w:pPr>
            <w:r>
              <w:rPr>
                <w:sz w:val="16"/>
              </w:rPr>
              <w:t>8</w:t>
            </w:r>
          </w:p>
        </w:tc>
        <w:tc>
          <w:tcPr>
            <w:tcW w:w="916" w:type="dxa"/>
            <w:tcBorders>
              <w:top w:val="nil"/>
              <w:left w:val="nil"/>
              <w:bottom w:val="nil"/>
              <w:right w:val="nil"/>
            </w:tcBorders>
          </w:tcPr>
          <w:p w14:paraId="613C0E3A" w14:textId="77777777" w:rsidR="00CF7124" w:rsidRDefault="001578E5">
            <w:pPr>
              <w:spacing w:after="0" w:line="259" w:lineRule="auto"/>
              <w:ind w:left="79" w:firstLine="0"/>
              <w:jc w:val="left"/>
            </w:pPr>
            <w:r>
              <w:rPr>
                <w:sz w:val="16"/>
              </w:rPr>
              <w:t>4</w:t>
            </w:r>
          </w:p>
        </w:tc>
        <w:tc>
          <w:tcPr>
            <w:tcW w:w="612" w:type="dxa"/>
            <w:tcBorders>
              <w:top w:val="nil"/>
              <w:left w:val="nil"/>
              <w:bottom w:val="nil"/>
              <w:right w:val="nil"/>
            </w:tcBorders>
          </w:tcPr>
          <w:p w14:paraId="57FA9F69" w14:textId="77777777" w:rsidR="00CF7124" w:rsidRDefault="001578E5">
            <w:pPr>
              <w:spacing w:after="0" w:line="259" w:lineRule="auto"/>
              <w:ind w:firstLine="0"/>
              <w:jc w:val="left"/>
            </w:pPr>
            <w:r>
              <w:rPr>
                <w:sz w:val="16"/>
              </w:rPr>
              <w:t>16</w:t>
            </w:r>
          </w:p>
        </w:tc>
        <w:tc>
          <w:tcPr>
            <w:tcW w:w="785" w:type="dxa"/>
            <w:tcBorders>
              <w:top w:val="nil"/>
              <w:left w:val="nil"/>
              <w:bottom w:val="nil"/>
              <w:right w:val="nil"/>
            </w:tcBorders>
          </w:tcPr>
          <w:p w14:paraId="44C25EE7" w14:textId="77777777" w:rsidR="00CF7124" w:rsidRDefault="001578E5">
            <w:pPr>
              <w:spacing w:after="0" w:line="259" w:lineRule="auto"/>
              <w:ind w:left="79" w:firstLine="0"/>
              <w:jc w:val="left"/>
            </w:pPr>
            <w:r>
              <w:rPr>
                <w:sz w:val="16"/>
              </w:rPr>
              <w:t>6</w:t>
            </w:r>
          </w:p>
        </w:tc>
        <w:tc>
          <w:tcPr>
            <w:tcW w:w="890" w:type="dxa"/>
            <w:tcBorders>
              <w:top w:val="nil"/>
              <w:left w:val="nil"/>
              <w:bottom w:val="nil"/>
              <w:right w:val="nil"/>
            </w:tcBorders>
          </w:tcPr>
          <w:p w14:paraId="6FBFA300" w14:textId="77777777" w:rsidR="00CF7124" w:rsidRDefault="001578E5">
            <w:pPr>
              <w:spacing w:after="0" w:line="259" w:lineRule="auto"/>
              <w:ind w:left="79" w:firstLine="0"/>
              <w:jc w:val="left"/>
            </w:pPr>
            <w:r>
              <w:rPr>
                <w:sz w:val="16"/>
              </w:rPr>
              <w:t>5</w:t>
            </w:r>
          </w:p>
        </w:tc>
        <w:tc>
          <w:tcPr>
            <w:tcW w:w="620" w:type="dxa"/>
            <w:tcBorders>
              <w:top w:val="nil"/>
              <w:left w:val="nil"/>
              <w:bottom w:val="nil"/>
              <w:right w:val="nil"/>
            </w:tcBorders>
          </w:tcPr>
          <w:p w14:paraId="25DD2419" w14:textId="77777777" w:rsidR="00CF7124" w:rsidRDefault="001578E5">
            <w:pPr>
              <w:spacing w:after="0" w:line="259" w:lineRule="auto"/>
              <w:ind w:left="79" w:firstLine="0"/>
              <w:jc w:val="left"/>
            </w:pPr>
            <w:r>
              <w:rPr>
                <w:sz w:val="16"/>
              </w:rPr>
              <w:t>8</w:t>
            </w:r>
          </w:p>
        </w:tc>
        <w:tc>
          <w:tcPr>
            <w:tcW w:w="964" w:type="dxa"/>
            <w:tcBorders>
              <w:top w:val="nil"/>
              <w:left w:val="nil"/>
              <w:bottom w:val="nil"/>
              <w:right w:val="nil"/>
            </w:tcBorders>
          </w:tcPr>
          <w:p w14:paraId="2FBE988B" w14:textId="77777777" w:rsidR="00CF7124" w:rsidRDefault="001578E5">
            <w:pPr>
              <w:spacing w:after="0" w:line="259" w:lineRule="auto"/>
              <w:ind w:left="80" w:firstLine="0"/>
              <w:jc w:val="left"/>
            </w:pPr>
            <w:r>
              <w:rPr>
                <w:sz w:val="16"/>
              </w:rPr>
              <w:t>0</w:t>
            </w:r>
          </w:p>
        </w:tc>
        <w:tc>
          <w:tcPr>
            <w:tcW w:w="1308" w:type="dxa"/>
            <w:tcBorders>
              <w:top w:val="nil"/>
              <w:left w:val="nil"/>
              <w:bottom w:val="nil"/>
              <w:right w:val="nil"/>
            </w:tcBorders>
          </w:tcPr>
          <w:p w14:paraId="3DEECE95" w14:textId="77777777" w:rsidR="00CF7124" w:rsidRDefault="001578E5">
            <w:pPr>
              <w:spacing w:after="0" w:line="259" w:lineRule="auto"/>
              <w:ind w:left="79" w:firstLine="0"/>
              <w:jc w:val="left"/>
            </w:pPr>
            <w:r>
              <w:rPr>
                <w:sz w:val="16"/>
              </w:rPr>
              <w:t>7</w:t>
            </w:r>
          </w:p>
        </w:tc>
        <w:tc>
          <w:tcPr>
            <w:tcW w:w="828" w:type="dxa"/>
            <w:tcBorders>
              <w:top w:val="nil"/>
              <w:left w:val="nil"/>
              <w:bottom w:val="nil"/>
              <w:right w:val="nil"/>
            </w:tcBorders>
          </w:tcPr>
          <w:p w14:paraId="0D780BEA" w14:textId="77777777" w:rsidR="00CF7124" w:rsidRDefault="001578E5">
            <w:pPr>
              <w:spacing w:after="0" w:line="259" w:lineRule="auto"/>
              <w:ind w:firstLine="0"/>
              <w:jc w:val="left"/>
            </w:pPr>
            <w:r>
              <w:rPr>
                <w:sz w:val="16"/>
              </w:rPr>
              <w:t>15</w:t>
            </w:r>
          </w:p>
        </w:tc>
      </w:tr>
      <w:tr w:rsidR="00CF7124" w14:paraId="25456DC8" w14:textId="77777777">
        <w:trPr>
          <w:trHeight w:val="200"/>
        </w:trPr>
        <w:tc>
          <w:tcPr>
            <w:tcW w:w="1547" w:type="dxa"/>
            <w:tcBorders>
              <w:top w:val="nil"/>
              <w:left w:val="nil"/>
              <w:bottom w:val="nil"/>
              <w:right w:val="nil"/>
            </w:tcBorders>
          </w:tcPr>
          <w:p w14:paraId="7B2D9B00" w14:textId="77777777" w:rsidR="00CF7124" w:rsidRDefault="001578E5">
            <w:pPr>
              <w:spacing w:after="0" w:line="259" w:lineRule="auto"/>
              <w:ind w:firstLine="0"/>
              <w:jc w:val="left"/>
            </w:pPr>
            <w:r>
              <w:rPr>
                <w:sz w:val="16"/>
              </w:rPr>
              <w:t>Community 4 (%)</w:t>
            </w:r>
          </w:p>
        </w:tc>
        <w:tc>
          <w:tcPr>
            <w:tcW w:w="855" w:type="dxa"/>
            <w:tcBorders>
              <w:top w:val="nil"/>
              <w:left w:val="nil"/>
              <w:bottom w:val="nil"/>
              <w:right w:val="nil"/>
            </w:tcBorders>
          </w:tcPr>
          <w:p w14:paraId="1FA044F0" w14:textId="77777777" w:rsidR="00CF7124" w:rsidRDefault="001578E5">
            <w:pPr>
              <w:spacing w:after="0" w:line="259" w:lineRule="auto"/>
              <w:ind w:left="79" w:firstLine="0"/>
              <w:jc w:val="left"/>
            </w:pPr>
            <w:r>
              <w:rPr>
                <w:sz w:val="16"/>
              </w:rPr>
              <w:t>5</w:t>
            </w:r>
          </w:p>
        </w:tc>
        <w:tc>
          <w:tcPr>
            <w:tcW w:w="916" w:type="dxa"/>
            <w:tcBorders>
              <w:top w:val="nil"/>
              <w:left w:val="nil"/>
              <w:bottom w:val="nil"/>
              <w:right w:val="nil"/>
            </w:tcBorders>
          </w:tcPr>
          <w:p w14:paraId="6281816E" w14:textId="77777777" w:rsidR="00CF7124" w:rsidRDefault="001578E5">
            <w:pPr>
              <w:spacing w:after="0" w:line="259" w:lineRule="auto"/>
              <w:ind w:left="79" w:firstLine="0"/>
              <w:jc w:val="left"/>
            </w:pPr>
            <w:r>
              <w:rPr>
                <w:sz w:val="16"/>
              </w:rPr>
              <w:t>7</w:t>
            </w:r>
          </w:p>
        </w:tc>
        <w:tc>
          <w:tcPr>
            <w:tcW w:w="612" w:type="dxa"/>
            <w:tcBorders>
              <w:top w:val="nil"/>
              <w:left w:val="nil"/>
              <w:bottom w:val="nil"/>
              <w:right w:val="nil"/>
            </w:tcBorders>
          </w:tcPr>
          <w:p w14:paraId="1D4F356D" w14:textId="77777777" w:rsidR="00CF7124" w:rsidRDefault="001578E5">
            <w:pPr>
              <w:spacing w:after="0" w:line="259" w:lineRule="auto"/>
              <w:ind w:firstLine="0"/>
              <w:jc w:val="left"/>
            </w:pPr>
            <w:r>
              <w:rPr>
                <w:sz w:val="16"/>
              </w:rPr>
              <w:t>28</w:t>
            </w:r>
          </w:p>
        </w:tc>
        <w:tc>
          <w:tcPr>
            <w:tcW w:w="785" w:type="dxa"/>
            <w:tcBorders>
              <w:top w:val="nil"/>
              <w:left w:val="nil"/>
              <w:bottom w:val="nil"/>
              <w:right w:val="nil"/>
            </w:tcBorders>
          </w:tcPr>
          <w:p w14:paraId="02C14F9F" w14:textId="77777777" w:rsidR="00CF7124" w:rsidRDefault="001578E5">
            <w:pPr>
              <w:spacing w:after="0" w:line="259" w:lineRule="auto"/>
              <w:ind w:firstLine="0"/>
              <w:jc w:val="left"/>
            </w:pPr>
            <w:r>
              <w:rPr>
                <w:sz w:val="16"/>
              </w:rPr>
              <w:t>18</w:t>
            </w:r>
          </w:p>
        </w:tc>
        <w:tc>
          <w:tcPr>
            <w:tcW w:w="890" w:type="dxa"/>
            <w:tcBorders>
              <w:top w:val="nil"/>
              <w:left w:val="nil"/>
              <w:bottom w:val="nil"/>
              <w:right w:val="nil"/>
            </w:tcBorders>
          </w:tcPr>
          <w:p w14:paraId="4D184301" w14:textId="77777777" w:rsidR="00CF7124" w:rsidRDefault="001578E5">
            <w:pPr>
              <w:spacing w:after="0" w:line="259" w:lineRule="auto"/>
              <w:ind w:left="4" w:firstLine="0"/>
              <w:jc w:val="left"/>
            </w:pPr>
            <w:r>
              <w:rPr>
                <w:sz w:val="16"/>
              </w:rPr>
              <w:t>11</w:t>
            </w:r>
          </w:p>
        </w:tc>
        <w:tc>
          <w:tcPr>
            <w:tcW w:w="620" w:type="dxa"/>
            <w:tcBorders>
              <w:top w:val="nil"/>
              <w:left w:val="nil"/>
              <w:bottom w:val="nil"/>
              <w:right w:val="nil"/>
            </w:tcBorders>
          </w:tcPr>
          <w:p w14:paraId="36CF58B4" w14:textId="77777777" w:rsidR="00CF7124" w:rsidRDefault="001578E5">
            <w:pPr>
              <w:spacing w:after="0" w:line="259" w:lineRule="auto"/>
              <w:ind w:left="5" w:firstLine="0"/>
              <w:jc w:val="left"/>
            </w:pPr>
            <w:r>
              <w:rPr>
                <w:sz w:val="16"/>
              </w:rPr>
              <w:t>11</w:t>
            </w:r>
          </w:p>
        </w:tc>
        <w:tc>
          <w:tcPr>
            <w:tcW w:w="964" w:type="dxa"/>
            <w:tcBorders>
              <w:top w:val="nil"/>
              <w:left w:val="nil"/>
              <w:bottom w:val="nil"/>
              <w:right w:val="nil"/>
            </w:tcBorders>
          </w:tcPr>
          <w:p w14:paraId="4B8ACBFB" w14:textId="77777777" w:rsidR="00CF7124" w:rsidRDefault="001578E5">
            <w:pPr>
              <w:spacing w:after="0" w:line="259" w:lineRule="auto"/>
              <w:ind w:left="80" w:firstLine="0"/>
              <w:jc w:val="left"/>
            </w:pPr>
            <w:r>
              <w:rPr>
                <w:sz w:val="16"/>
              </w:rPr>
              <w:t>3</w:t>
            </w:r>
          </w:p>
        </w:tc>
        <w:tc>
          <w:tcPr>
            <w:tcW w:w="1308" w:type="dxa"/>
            <w:tcBorders>
              <w:top w:val="nil"/>
              <w:left w:val="nil"/>
              <w:bottom w:val="nil"/>
              <w:right w:val="nil"/>
            </w:tcBorders>
          </w:tcPr>
          <w:p w14:paraId="26C026D0" w14:textId="77777777" w:rsidR="00CF7124" w:rsidRDefault="001578E5">
            <w:pPr>
              <w:spacing w:after="0" w:line="259" w:lineRule="auto"/>
              <w:ind w:firstLine="0"/>
              <w:jc w:val="left"/>
            </w:pPr>
            <w:r>
              <w:rPr>
                <w:sz w:val="16"/>
              </w:rPr>
              <w:t>13.5</w:t>
            </w:r>
          </w:p>
        </w:tc>
        <w:tc>
          <w:tcPr>
            <w:tcW w:w="828" w:type="dxa"/>
            <w:tcBorders>
              <w:top w:val="nil"/>
              <w:left w:val="nil"/>
              <w:bottom w:val="nil"/>
              <w:right w:val="nil"/>
            </w:tcBorders>
          </w:tcPr>
          <w:p w14:paraId="349DD01B" w14:textId="77777777" w:rsidR="00CF7124" w:rsidRDefault="001578E5">
            <w:pPr>
              <w:spacing w:after="0" w:line="259" w:lineRule="auto"/>
              <w:ind w:firstLine="0"/>
              <w:jc w:val="left"/>
            </w:pPr>
            <w:r>
              <w:rPr>
                <w:sz w:val="16"/>
              </w:rPr>
              <w:t>28</w:t>
            </w:r>
          </w:p>
        </w:tc>
      </w:tr>
      <w:tr w:rsidR="00CF7124" w14:paraId="6A00DFAE" w14:textId="77777777">
        <w:trPr>
          <w:trHeight w:val="598"/>
        </w:trPr>
        <w:tc>
          <w:tcPr>
            <w:tcW w:w="1547" w:type="dxa"/>
            <w:tcBorders>
              <w:top w:val="nil"/>
              <w:left w:val="nil"/>
              <w:bottom w:val="nil"/>
              <w:right w:val="nil"/>
            </w:tcBorders>
          </w:tcPr>
          <w:p w14:paraId="7391608E" w14:textId="77777777" w:rsidR="00CF7124" w:rsidRDefault="001578E5">
            <w:pPr>
              <w:spacing w:after="0" w:line="259" w:lineRule="auto"/>
              <w:ind w:left="159" w:right="390" w:hanging="159"/>
              <w:jc w:val="left"/>
            </w:pPr>
            <w:r>
              <w:rPr>
                <w:sz w:val="16"/>
              </w:rPr>
              <w:t>Total stratigraphic contribution of rudists (%)</w:t>
            </w:r>
          </w:p>
        </w:tc>
        <w:tc>
          <w:tcPr>
            <w:tcW w:w="855" w:type="dxa"/>
            <w:tcBorders>
              <w:top w:val="nil"/>
              <w:left w:val="nil"/>
              <w:bottom w:val="nil"/>
              <w:right w:val="nil"/>
            </w:tcBorders>
          </w:tcPr>
          <w:p w14:paraId="2B320BB1" w14:textId="77777777" w:rsidR="00CF7124" w:rsidRDefault="001578E5">
            <w:pPr>
              <w:spacing w:after="0" w:line="259" w:lineRule="auto"/>
              <w:ind w:firstLine="0"/>
              <w:jc w:val="left"/>
            </w:pPr>
            <w:r>
              <w:rPr>
                <w:sz w:val="16"/>
              </w:rPr>
              <w:t>43</w:t>
            </w:r>
          </w:p>
        </w:tc>
        <w:tc>
          <w:tcPr>
            <w:tcW w:w="916" w:type="dxa"/>
            <w:tcBorders>
              <w:top w:val="nil"/>
              <w:left w:val="nil"/>
              <w:bottom w:val="nil"/>
              <w:right w:val="nil"/>
            </w:tcBorders>
          </w:tcPr>
          <w:p w14:paraId="39F7528D" w14:textId="77777777" w:rsidR="00CF7124" w:rsidRDefault="001578E5">
            <w:pPr>
              <w:spacing w:after="0" w:line="259" w:lineRule="auto"/>
              <w:ind w:firstLine="0"/>
              <w:jc w:val="left"/>
            </w:pPr>
            <w:r>
              <w:rPr>
                <w:sz w:val="16"/>
              </w:rPr>
              <w:t>44</w:t>
            </w:r>
          </w:p>
        </w:tc>
        <w:tc>
          <w:tcPr>
            <w:tcW w:w="612" w:type="dxa"/>
            <w:tcBorders>
              <w:top w:val="nil"/>
              <w:left w:val="nil"/>
              <w:bottom w:val="nil"/>
              <w:right w:val="nil"/>
            </w:tcBorders>
          </w:tcPr>
          <w:p w14:paraId="6026CF7A" w14:textId="77777777" w:rsidR="00CF7124" w:rsidRDefault="001578E5">
            <w:pPr>
              <w:spacing w:after="0" w:line="259" w:lineRule="auto"/>
              <w:ind w:firstLine="0"/>
              <w:jc w:val="left"/>
            </w:pPr>
            <w:r>
              <w:rPr>
                <w:sz w:val="16"/>
              </w:rPr>
              <w:t>71</w:t>
            </w:r>
          </w:p>
        </w:tc>
        <w:tc>
          <w:tcPr>
            <w:tcW w:w="785" w:type="dxa"/>
            <w:tcBorders>
              <w:top w:val="nil"/>
              <w:left w:val="nil"/>
              <w:bottom w:val="nil"/>
              <w:right w:val="nil"/>
            </w:tcBorders>
          </w:tcPr>
          <w:p w14:paraId="4BF25682" w14:textId="77777777" w:rsidR="00CF7124" w:rsidRDefault="001578E5">
            <w:pPr>
              <w:spacing w:after="0" w:line="259" w:lineRule="auto"/>
              <w:ind w:firstLine="0"/>
              <w:jc w:val="left"/>
            </w:pPr>
            <w:r>
              <w:rPr>
                <w:sz w:val="16"/>
              </w:rPr>
              <w:t>53</w:t>
            </w:r>
          </w:p>
        </w:tc>
        <w:tc>
          <w:tcPr>
            <w:tcW w:w="890" w:type="dxa"/>
            <w:tcBorders>
              <w:top w:val="nil"/>
              <w:left w:val="nil"/>
              <w:bottom w:val="nil"/>
              <w:right w:val="nil"/>
            </w:tcBorders>
          </w:tcPr>
          <w:p w14:paraId="2AED953D" w14:textId="77777777" w:rsidR="00CF7124" w:rsidRDefault="001578E5">
            <w:pPr>
              <w:spacing w:after="0" w:line="259" w:lineRule="auto"/>
              <w:ind w:firstLine="0"/>
              <w:jc w:val="left"/>
            </w:pPr>
            <w:r>
              <w:rPr>
                <w:sz w:val="16"/>
              </w:rPr>
              <w:t>24</w:t>
            </w:r>
          </w:p>
        </w:tc>
        <w:tc>
          <w:tcPr>
            <w:tcW w:w="620" w:type="dxa"/>
            <w:tcBorders>
              <w:top w:val="nil"/>
              <w:left w:val="nil"/>
              <w:bottom w:val="nil"/>
              <w:right w:val="nil"/>
            </w:tcBorders>
          </w:tcPr>
          <w:p w14:paraId="77832118" w14:textId="77777777" w:rsidR="00CF7124" w:rsidRDefault="001578E5">
            <w:pPr>
              <w:spacing w:after="0" w:line="259" w:lineRule="auto"/>
              <w:ind w:firstLine="0"/>
              <w:jc w:val="left"/>
            </w:pPr>
            <w:r>
              <w:rPr>
                <w:sz w:val="16"/>
              </w:rPr>
              <w:t>45</w:t>
            </w:r>
          </w:p>
        </w:tc>
        <w:tc>
          <w:tcPr>
            <w:tcW w:w="964" w:type="dxa"/>
            <w:tcBorders>
              <w:top w:val="nil"/>
              <w:left w:val="nil"/>
              <w:bottom w:val="nil"/>
              <w:right w:val="nil"/>
            </w:tcBorders>
          </w:tcPr>
          <w:p w14:paraId="7C99910C" w14:textId="77777777" w:rsidR="00CF7124" w:rsidRDefault="001578E5">
            <w:pPr>
              <w:spacing w:after="0" w:line="259" w:lineRule="auto"/>
              <w:ind w:firstLine="0"/>
              <w:jc w:val="left"/>
            </w:pPr>
            <w:r>
              <w:rPr>
                <w:sz w:val="16"/>
              </w:rPr>
              <w:t>22</w:t>
            </w:r>
          </w:p>
        </w:tc>
        <w:tc>
          <w:tcPr>
            <w:tcW w:w="1308" w:type="dxa"/>
            <w:tcBorders>
              <w:top w:val="nil"/>
              <w:left w:val="nil"/>
              <w:bottom w:val="nil"/>
              <w:right w:val="nil"/>
            </w:tcBorders>
          </w:tcPr>
          <w:p w14:paraId="2A5E78F7" w14:textId="77777777" w:rsidR="00CF7124" w:rsidRDefault="001578E5">
            <w:pPr>
              <w:spacing w:after="0" w:line="259" w:lineRule="auto"/>
              <w:ind w:firstLine="0"/>
              <w:jc w:val="left"/>
            </w:pPr>
            <w:r>
              <w:rPr>
                <w:sz w:val="16"/>
              </w:rPr>
              <w:t>43.1</w:t>
            </w:r>
          </w:p>
        </w:tc>
        <w:tc>
          <w:tcPr>
            <w:tcW w:w="828" w:type="dxa"/>
            <w:tcBorders>
              <w:top w:val="nil"/>
              <w:left w:val="nil"/>
              <w:bottom w:val="nil"/>
              <w:right w:val="nil"/>
            </w:tcBorders>
          </w:tcPr>
          <w:p w14:paraId="05535C19" w14:textId="77777777" w:rsidR="00CF7124" w:rsidRDefault="00CF7124">
            <w:pPr>
              <w:spacing w:after="160" w:line="259" w:lineRule="auto"/>
              <w:ind w:firstLine="0"/>
              <w:jc w:val="left"/>
            </w:pPr>
          </w:p>
        </w:tc>
      </w:tr>
      <w:tr w:rsidR="00CF7124" w14:paraId="13975E5A" w14:textId="77777777">
        <w:trPr>
          <w:trHeight w:val="412"/>
        </w:trPr>
        <w:tc>
          <w:tcPr>
            <w:tcW w:w="1547" w:type="dxa"/>
            <w:tcBorders>
              <w:top w:val="nil"/>
              <w:left w:val="nil"/>
              <w:bottom w:val="single" w:sz="4" w:space="0" w:color="221F1F"/>
              <w:right w:val="nil"/>
            </w:tcBorders>
          </w:tcPr>
          <w:p w14:paraId="3E9203AE" w14:textId="77777777" w:rsidR="00CF7124" w:rsidRDefault="001578E5">
            <w:pPr>
              <w:spacing w:after="0" w:line="259" w:lineRule="auto"/>
              <w:ind w:left="159" w:right="86" w:hanging="159"/>
              <w:jc w:val="left"/>
            </w:pPr>
            <w:r>
              <w:rPr>
                <w:sz w:val="16"/>
              </w:rPr>
              <w:t>Skeletal contribution of rudists (%)</w:t>
            </w:r>
          </w:p>
        </w:tc>
        <w:tc>
          <w:tcPr>
            <w:tcW w:w="855" w:type="dxa"/>
            <w:tcBorders>
              <w:top w:val="nil"/>
              <w:left w:val="nil"/>
              <w:bottom w:val="single" w:sz="4" w:space="0" w:color="221F1F"/>
              <w:right w:val="nil"/>
            </w:tcBorders>
          </w:tcPr>
          <w:p w14:paraId="02A41284" w14:textId="77777777" w:rsidR="00CF7124" w:rsidRDefault="001578E5">
            <w:pPr>
              <w:spacing w:after="0" w:line="259" w:lineRule="auto"/>
              <w:ind w:firstLine="0"/>
              <w:jc w:val="left"/>
            </w:pPr>
            <w:r>
              <w:rPr>
                <w:sz w:val="16"/>
              </w:rPr>
              <w:t>14.4</w:t>
            </w:r>
          </w:p>
        </w:tc>
        <w:tc>
          <w:tcPr>
            <w:tcW w:w="916" w:type="dxa"/>
            <w:tcBorders>
              <w:top w:val="nil"/>
              <w:left w:val="nil"/>
              <w:bottom w:val="single" w:sz="4" w:space="0" w:color="221F1F"/>
              <w:right w:val="nil"/>
            </w:tcBorders>
          </w:tcPr>
          <w:p w14:paraId="6B66FF6F" w14:textId="77777777" w:rsidR="00CF7124" w:rsidRDefault="001578E5">
            <w:pPr>
              <w:spacing w:after="0" w:line="259" w:lineRule="auto"/>
              <w:ind w:firstLine="0"/>
              <w:jc w:val="left"/>
            </w:pPr>
            <w:r>
              <w:rPr>
                <w:sz w:val="16"/>
              </w:rPr>
              <w:t>14.9</w:t>
            </w:r>
          </w:p>
        </w:tc>
        <w:tc>
          <w:tcPr>
            <w:tcW w:w="612" w:type="dxa"/>
            <w:tcBorders>
              <w:top w:val="nil"/>
              <w:left w:val="nil"/>
              <w:bottom w:val="single" w:sz="4" w:space="0" w:color="221F1F"/>
              <w:right w:val="nil"/>
            </w:tcBorders>
          </w:tcPr>
          <w:p w14:paraId="696228FB" w14:textId="77777777" w:rsidR="00CF7124" w:rsidRDefault="001578E5">
            <w:pPr>
              <w:spacing w:after="0" w:line="259" w:lineRule="auto"/>
              <w:ind w:firstLine="0"/>
              <w:jc w:val="left"/>
            </w:pPr>
            <w:r>
              <w:rPr>
                <w:sz w:val="16"/>
              </w:rPr>
              <w:t>18.7</w:t>
            </w:r>
          </w:p>
        </w:tc>
        <w:tc>
          <w:tcPr>
            <w:tcW w:w="785" w:type="dxa"/>
            <w:tcBorders>
              <w:top w:val="nil"/>
              <w:left w:val="nil"/>
              <w:bottom w:val="single" w:sz="4" w:space="0" w:color="221F1F"/>
              <w:right w:val="nil"/>
            </w:tcBorders>
          </w:tcPr>
          <w:p w14:paraId="75CB0610" w14:textId="77777777" w:rsidR="00CF7124" w:rsidRDefault="001578E5">
            <w:pPr>
              <w:spacing w:after="0" w:line="259" w:lineRule="auto"/>
              <w:ind w:firstLine="0"/>
              <w:jc w:val="left"/>
            </w:pPr>
            <w:r>
              <w:rPr>
                <w:sz w:val="16"/>
              </w:rPr>
              <w:t>16</w:t>
            </w:r>
          </w:p>
        </w:tc>
        <w:tc>
          <w:tcPr>
            <w:tcW w:w="890" w:type="dxa"/>
            <w:tcBorders>
              <w:top w:val="nil"/>
              <w:left w:val="nil"/>
              <w:bottom w:val="single" w:sz="4" w:space="0" w:color="221F1F"/>
              <w:right w:val="nil"/>
            </w:tcBorders>
          </w:tcPr>
          <w:p w14:paraId="08B48EB3" w14:textId="77777777" w:rsidR="00CF7124" w:rsidRDefault="001578E5">
            <w:pPr>
              <w:spacing w:after="0" w:line="259" w:lineRule="auto"/>
              <w:ind w:left="79" w:firstLine="0"/>
              <w:jc w:val="left"/>
            </w:pPr>
            <w:r>
              <w:rPr>
                <w:sz w:val="16"/>
              </w:rPr>
              <w:t>8.9</w:t>
            </w:r>
          </w:p>
        </w:tc>
        <w:tc>
          <w:tcPr>
            <w:tcW w:w="620" w:type="dxa"/>
            <w:tcBorders>
              <w:top w:val="nil"/>
              <w:left w:val="nil"/>
              <w:bottom w:val="single" w:sz="4" w:space="0" w:color="221F1F"/>
              <w:right w:val="nil"/>
            </w:tcBorders>
          </w:tcPr>
          <w:p w14:paraId="11D3184F" w14:textId="77777777" w:rsidR="00CF7124" w:rsidRDefault="001578E5">
            <w:pPr>
              <w:spacing w:after="0" w:line="259" w:lineRule="auto"/>
              <w:ind w:firstLine="0"/>
              <w:jc w:val="left"/>
            </w:pPr>
            <w:r>
              <w:rPr>
                <w:sz w:val="16"/>
              </w:rPr>
              <w:t>14.2</w:t>
            </w:r>
          </w:p>
        </w:tc>
        <w:tc>
          <w:tcPr>
            <w:tcW w:w="964" w:type="dxa"/>
            <w:tcBorders>
              <w:top w:val="nil"/>
              <w:left w:val="nil"/>
              <w:bottom w:val="single" w:sz="4" w:space="0" w:color="221F1F"/>
              <w:right w:val="nil"/>
            </w:tcBorders>
          </w:tcPr>
          <w:p w14:paraId="6A5859C6" w14:textId="77777777" w:rsidR="00CF7124" w:rsidRDefault="001578E5">
            <w:pPr>
              <w:spacing w:after="0" w:line="259" w:lineRule="auto"/>
              <w:ind w:left="81" w:firstLine="0"/>
              <w:jc w:val="left"/>
            </w:pPr>
            <w:r>
              <w:rPr>
                <w:sz w:val="16"/>
              </w:rPr>
              <w:t>9.7</w:t>
            </w:r>
          </w:p>
        </w:tc>
        <w:tc>
          <w:tcPr>
            <w:tcW w:w="1308" w:type="dxa"/>
            <w:tcBorders>
              <w:top w:val="nil"/>
              <w:left w:val="nil"/>
              <w:bottom w:val="single" w:sz="4" w:space="0" w:color="221F1F"/>
              <w:right w:val="nil"/>
            </w:tcBorders>
          </w:tcPr>
          <w:p w14:paraId="5A790148" w14:textId="77777777" w:rsidR="00CF7124" w:rsidRDefault="001578E5">
            <w:pPr>
              <w:spacing w:after="0" w:line="259" w:lineRule="auto"/>
              <w:ind w:firstLine="0"/>
              <w:jc w:val="left"/>
            </w:pPr>
            <w:r>
              <w:rPr>
                <w:sz w:val="16"/>
              </w:rPr>
              <w:t>13.8</w:t>
            </w:r>
          </w:p>
        </w:tc>
        <w:tc>
          <w:tcPr>
            <w:tcW w:w="828" w:type="dxa"/>
            <w:tcBorders>
              <w:top w:val="nil"/>
              <w:left w:val="nil"/>
              <w:bottom w:val="single" w:sz="4" w:space="0" w:color="221F1F"/>
              <w:right w:val="nil"/>
            </w:tcBorders>
          </w:tcPr>
          <w:p w14:paraId="6F3306C3" w14:textId="77777777" w:rsidR="00CF7124" w:rsidRDefault="00CF7124">
            <w:pPr>
              <w:spacing w:after="160" w:line="259" w:lineRule="auto"/>
              <w:ind w:firstLine="0"/>
              <w:jc w:val="left"/>
            </w:pPr>
          </w:p>
        </w:tc>
      </w:tr>
    </w:tbl>
    <w:p w14:paraId="310B71BF" w14:textId="77777777" w:rsidR="00CF7124" w:rsidRDefault="001578E5">
      <w:pPr>
        <w:spacing w:after="1328" w:line="269" w:lineRule="auto"/>
        <w:ind w:left="86" w:firstLine="0"/>
      </w:pPr>
      <w:r>
        <w:rPr>
          <w:sz w:val="16"/>
        </w:rPr>
        <w:t>Values of each community type are translated in % of total rudists. Stratigraphic and skeletal contributions are integrated at a regional scale.</w:t>
      </w:r>
    </w:p>
    <w:p w14:paraId="1F177811" w14:textId="77777777" w:rsidR="00CF7124" w:rsidRDefault="001578E5">
      <w:pPr>
        <w:spacing w:after="4" w:line="269" w:lineRule="auto"/>
        <w:ind w:left="86" w:firstLine="0"/>
      </w:pPr>
      <w:r>
        <w:rPr>
          <w:sz w:val="16"/>
        </w:rPr>
        <w:t>Table 2</w:t>
      </w:r>
    </w:p>
    <w:p w14:paraId="6265E92F" w14:textId="77777777" w:rsidR="00CF7124" w:rsidRDefault="001578E5">
      <w:pPr>
        <w:spacing w:after="4" w:line="269" w:lineRule="auto"/>
        <w:ind w:left="86" w:firstLine="0"/>
      </w:pPr>
      <w:r>
        <w:rPr>
          <w:sz w:val="16"/>
        </w:rPr>
        <w:t>Stratigraphic contribution of rudist beds (% of bed thickness) per stratigraphic unit and averages</w:t>
      </w:r>
    </w:p>
    <w:tbl>
      <w:tblPr>
        <w:tblStyle w:val="TableGrid"/>
        <w:tblW w:w="9325" w:type="dxa"/>
        <w:tblInd w:w="86" w:type="dxa"/>
        <w:tblCellMar>
          <w:top w:w="27" w:type="dxa"/>
          <w:left w:w="0" w:type="dxa"/>
          <w:bottom w:w="27" w:type="dxa"/>
          <w:right w:w="0" w:type="dxa"/>
        </w:tblCellMar>
        <w:tblLook w:val="04A0" w:firstRow="1" w:lastRow="0" w:firstColumn="1" w:lastColumn="0" w:noHBand="0" w:noVBand="1"/>
      </w:tblPr>
      <w:tblGrid>
        <w:gridCol w:w="2178"/>
        <w:gridCol w:w="1678"/>
        <w:gridCol w:w="1731"/>
        <w:gridCol w:w="750"/>
        <w:gridCol w:w="953"/>
        <w:gridCol w:w="358"/>
        <w:gridCol w:w="1148"/>
        <w:gridCol w:w="137"/>
        <w:gridCol w:w="392"/>
      </w:tblGrid>
      <w:tr w:rsidR="00CF7124" w14:paraId="6EA54B40" w14:textId="77777777">
        <w:trPr>
          <w:trHeight w:val="269"/>
        </w:trPr>
        <w:tc>
          <w:tcPr>
            <w:tcW w:w="7655" w:type="dxa"/>
            <w:gridSpan w:val="6"/>
            <w:tcBorders>
              <w:top w:val="single" w:sz="4" w:space="0" w:color="221F1F"/>
              <w:left w:val="nil"/>
              <w:bottom w:val="single" w:sz="4" w:space="0" w:color="221F1F"/>
              <w:right w:val="nil"/>
            </w:tcBorders>
          </w:tcPr>
          <w:p w14:paraId="7AAF9513" w14:textId="77777777" w:rsidR="00CF7124" w:rsidRDefault="001578E5">
            <w:pPr>
              <w:tabs>
                <w:tab w:val="center" w:pos="1135"/>
                <w:tab w:val="center" w:pos="2367"/>
                <w:tab w:val="center" w:pos="3687"/>
                <w:tab w:val="center" w:pos="4934"/>
                <w:tab w:val="center" w:pos="6110"/>
                <w:tab w:val="center" w:pos="7051"/>
              </w:tabs>
              <w:spacing w:after="0" w:line="259" w:lineRule="auto"/>
              <w:ind w:firstLine="0"/>
              <w:jc w:val="left"/>
            </w:pPr>
            <w:r>
              <w:rPr>
                <w:rFonts w:ascii="Calibri" w:eastAsia="Calibri" w:hAnsi="Calibri" w:cs="Calibri"/>
                <w:color w:val="000000"/>
                <w:sz w:val="22"/>
              </w:rPr>
              <w:tab/>
            </w:r>
            <w:r>
              <w:rPr>
                <w:sz w:val="16"/>
              </w:rPr>
              <w:t>Martigues</w:t>
            </w:r>
            <w:r>
              <w:rPr>
                <w:sz w:val="16"/>
              </w:rPr>
              <w:tab/>
              <w:t>Sausset-les Pins</w:t>
            </w:r>
            <w:r>
              <w:rPr>
                <w:sz w:val="16"/>
              </w:rPr>
              <w:tab/>
              <w:t>Jas de Laure</w:t>
            </w:r>
            <w:r>
              <w:rPr>
                <w:sz w:val="16"/>
              </w:rPr>
              <w:tab/>
              <w:t>Cap Croisette</w:t>
            </w:r>
            <w:r>
              <w:rPr>
                <w:sz w:val="16"/>
              </w:rPr>
              <w:tab/>
              <w:t>Le Merlan</w:t>
            </w:r>
            <w:r>
              <w:rPr>
                <w:sz w:val="16"/>
              </w:rPr>
              <w:tab/>
              <w:t>Cassis</w:t>
            </w:r>
          </w:p>
        </w:tc>
        <w:tc>
          <w:tcPr>
            <w:tcW w:w="1149" w:type="dxa"/>
            <w:tcBorders>
              <w:top w:val="single" w:sz="4" w:space="0" w:color="221F1F"/>
              <w:left w:val="nil"/>
              <w:bottom w:val="single" w:sz="4" w:space="0" w:color="221F1F"/>
              <w:right w:val="nil"/>
            </w:tcBorders>
          </w:tcPr>
          <w:p w14:paraId="3CF6F469" w14:textId="77777777" w:rsidR="00CF7124" w:rsidRDefault="001578E5">
            <w:pPr>
              <w:spacing w:after="0" w:line="259" w:lineRule="auto"/>
              <w:ind w:firstLine="0"/>
              <w:jc w:val="left"/>
            </w:pPr>
            <w:r>
              <w:rPr>
                <w:sz w:val="16"/>
              </w:rPr>
              <w:t>La Bedoule</w:t>
            </w:r>
          </w:p>
        </w:tc>
        <w:tc>
          <w:tcPr>
            <w:tcW w:w="522" w:type="dxa"/>
            <w:gridSpan w:val="2"/>
            <w:tcBorders>
              <w:top w:val="single" w:sz="4" w:space="0" w:color="221F1F"/>
              <w:left w:val="nil"/>
              <w:bottom w:val="single" w:sz="4" w:space="0" w:color="221F1F"/>
              <w:right w:val="nil"/>
            </w:tcBorders>
          </w:tcPr>
          <w:p w14:paraId="690B3962" w14:textId="77777777" w:rsidR="00CF7124" w:rsidRDefault="001578E5">
            <w:pPr>
              <w:spacing w:after="0" w:line="259" w:lineRule="auto"/>
              <w:ind w:firstLine="0"/>
            </w:pPr>
            <w:r>
              <w:rPr>
                <w:sz w:val="16"/>
              </w:rPr>
              <w:t>Average</w:t>
            </w:r>
          </w:p>
        </w:tc>
      </w:tr>
      <w:tr w:rsidR="00CF7124" w14:paraId="6BB205F0" w14:textId="77777777">
        <w:trPr>
          <w:trHeight w:val="266"/>
        </w:trPr>
        <w:tc>
          <w:tcPr>
            <w:tcW w:w="7655" w:type="dxa"/>
            <w:gridSpan w:val="6"/>
            <w:tcBorders>
              <w:top w:val="single" w:sz="4" w:space="0" w:color="221F1F"/>
              <w:left w:val="nil"/>
              <w:bottom w:val="nil"/>
              <w:right w:val="nil"/>
            </w:tcBorders>
          </w:tcPr>
          <w:p w14:paraId="5644D09B" w14:textId="77777777" w:rsidR="00CF7124" w:rsidRDefault="001578E5">
            <w:pPr>
              <w:tabs>
                <w:tab w:val="center" w:pos="895"/>
                <w:tab w:val="center" w:pos="1936"/>
                <w:tab w:val="center" w:pos="3360"/>
                <w:tab w:val="center" w:pos="4577"/>
                <w:tab w:val="center" w:pos="5853"/>
                <w:tab w:val="center" w:pos="6929"/>
              </w:tabs>
              <w:spacing w:after="0" w:line="259" w:lineRule="auto"/>
              <w:ind w:firstLine="0"/>
              <w:jc w:val="left"/>
            </w:pPr>
            <w:r>
              <w:rPr>
                <w:sz w:val="16"/>
              </w:rPr>
              <w:t>Unit 1</w:t>
            </w:r>
            <w:r>
              <w:rPr>
                <w:sz w:val="16"/>
              </w:rPr>
              <w:tab/>
              <w:t>51</w:t>
            </w:r>
            <w:r>
              <w:rPr>
                <w:sz w:val="16"/>
              </w:rPr>
              <w:tab/>
              <w:t>57</w:t>
            </w:r>
            <w:r>
              <w:rPr>
                <w:sz w:val="16"/>
              </w:rPr>
              <w:tab/>
              <w:t>80</w:t>
            </w:r>
            <w:r>
              <w:rPr>
                <w:sz w:val="16"/>
              </w:rPr>
              <w:tab/>
              <w:t>71</w:t>
            </w:r>
            <w:r>
              <w:rPr>
                <w:sz w:val="16"/>
              </w:rPr>
              <w:tab/>
              <w:t>37</w:t>
            </w:r>
            <w:r>
              <w:rPr>
                <w:sz w:val="16"/>
              </w:rPr>
              <w:tab/>
              <w:t>69</w:t>
            </w:r>
          </w:p>
        </w:tc>
        <w:tc>
          <w:tcPr>
            <w:tcW w:w="1149" w:type="dxa"/>
            <w:tcBorders>
              <w:top w:val="single" w:sz="4" w:space="0" w:color="221F1F"/>
              <w:left w:val="nil"/>
              <w:bottom w:val="nil"/>
              <w:right w:val="nil"/>
            </w:tcBorders>
          </w:tcPr>
          <w:p w14:paraId="2903BBFA" w14:textId="77777777" w:rsidR="00CF7124" w:rsidRDefault="001578E5">
            <w:pPr>
              <w:spacing w:after="0" w:line="259" w:lineRule="auto"/>
              <w:ind w:firstLine="0"/>
              <w:jc w:val="left"/>
            </w:pPr>
            <w:r>
              <w:rPr>
                <w:sz w:val="16"/>
              </w:rPr>
              <w:t>49</w:t>
            </w:r>
          </w:p>
        </w:tc>
        <w:tc>
          <w:tcPr>
            <w:tcW w:w="522" w:type="dxa"/>
            <w:gridSpan w:val="2"/>
            <w:tcBorders>
              <w:top w:val="single" w:sz="4" w:space="0" w:color="221F1F"/>
              <w:left w:val="nil"/>
              <w:bottom w:val="nil"/>
              <w:right w:val="nil"/>
            </w:tcBorders>
          </w:tcPr>
          <w:p w14:paraId="0F4F2E5B" w14:textId="77777777" w:rsidR="00CF7124" w:rsidRDefault="001578E5">
            <w:pPr>
              <w:spacing w:after="0" w:line="259" w:lineRule="auto"/>
              <w:ind w:firstLine="0"/>
              <w:jc w:val="left"/>
            </w:pPr>
            <w:r>
              <w:rPr>
                <w:sz w:val="16"/>
              </w:rPr>
              <w:t>59</w:t>
            </w:r>
          </w:p>
        </w:tc>
      </w:tr>
      <w:tr w:rsidR="00CF7124" w14:paraId="729E7501" w14:textId="77777777">
        <w:trPr>
          <w:trHeight w:val="199"/>
        </w:trPr>
        <w:tc>
          <w:tcPr>
            <w:tcW w:w="7655" w:type="dxa"/>
            <w:gridSpan w:val="6"/>
            <w:tcBorders>
              <w:top w:val="nil"/>
              <w:left w:val="nil"/>
              <w:bottom w:val="nil"/>
              <w:right w:val="nil"/>
            </w:tcBorders>
          </w:tcPr>
          <w:p w14:paraId="279AC0D3" w14:textId="77777777" w:rsidR="00CF7124" w:rsidRDefault="001578E5">
            <w:pPr>
              <w:tabs>
                <w:tab w:val="center" w:pos="895"/>
                <w:tab w:val="center" w:pos="1936"/>
                <w:tab w:val="center" w:pos="3360"/>
                <w:tab w:val="center" w:pos="4577"/>
                <w:tab w:val="center" w:pos="5853"/>
                <w:tab w:val="center" w:pos="6929"/>
              </w:tabs>
              <w:spacing w:after="0" w:line="259" w:lineRule="auto"/>
              <w:ind w:firstLine="0"/>
              <w:jc w:val="left"/>
            </w:pPr>
            <w:r>
              <w:rPr>
                <w:sz w:val="16"/>
              </w:rPr>
              <w:t>Unit 2</w:t>
            </w:r>
            <w:r>
              <w:rPr>
                <w:sz w:val="16"/>
              </w:rPr>
              <w:tab/>
              <w:t>39</w:t>
            </w:r>
            <w:r>
              <w:rPr>
                <w:sz w:val="16"/>
              </w:rPr>
              <w:tab/>
              <w:t>31</w:t>
            </w:r>
            <w:r>
              <w:rPr>
                <w:sz w:val="16"/>
              </w:rPr>
              <w:tab/>
              <w:t>88</w:t>
            </w:r>
            <w:r>
              <w:rPr>
                <w:sz w:val="16"/>
              </w:rPr>
              <w:tab/>
              <w:t>67</w:t>
            </w:r>
            <w:r>
              <w:rPr>
                <w:sz w:val="16"/>
              </w:rPr>
              <w:tab/>
              <w:t>37</w:t>
            </w:r>
            <w:r>
              <w:rPr>
                <w:sz w:val="16"/>
              </w:rPr>
              <w:tab/>
              <w:t>57</w:t>
            </w:r>
          </w:p>
        </w:tc>
        <w:tc>
          <w:tcPr>
            <w:tcW w:w="1149" w:type="dxa"/>
            <w:tcBorders>
              <w:top w:val="nil"/>
              <w:left w:val="nil"/>
              <w:bottom w:val="nil"/>
              <w:right w:val="nil"/>
            </w:tcBorders>
          </w:tcPr>
          <w:p w14:paraId="76E42335" w14:textId="77777777" w:rsidR="00CF7124" w:rsidRDefault="001578E5">
            <w:pPr>
              <w:spacing w:after="0" w:line="259" w:lineRule="auto"/>
              <w:ind w:firstLine="0"/>
              <w:jc w:val="left"/>
            </w:pPr>
            <w:r>
              <w:rPr>
                <w:sz w:val="16"/>
              </w:rPr>
              <w:t>12</w:t>
            </w:r>
          </w:p>
        </w:tc>
        <w:tc>
          <w:tcPr>
            <w:tcW w:w="522" w:type="dxa"/>
            <w:gridSpan w:val="2"/>
            <w:tcBorders>
              <w:top w:val="nil"/>
              <w:left w:val="nil"/>
              <w:bottom w:val="nil"/>
              <w:right w:val="nil"/>
            </w:tcBorders>
          </w:tcPr>
          <w:p w14:paraId="2927B02D" w14:textId="77777777" w:rsidR="00CF7124" w:rsidRDefault="001578E5">
            <w:pPr>
              <w:spacing w:after="0" w:line="259" w:lineRule="auto"/>
              <w:ind w:firstLine="0"/>
              <w:jc w:val="left"/>
            </w:pPr>
            <w:r>
              <w:rPr>
                <w:sz w:val="16"/>
              </w:rPr>
              <w:t>47</w:t>
            </w:r>
          </w:p>
        </w:tc>
      </w:tr>
      <w:tr w:rsidR="00CF7124" w14:paraId="56424334" w14:textId="77777777">
        <w:trPr>
          <w:trHeight w:val="199"/>
        </w:trPr>
        <w:tc>
          <w:tcPr>
            <w:tcW w:w="7655" w:type="dxa"/>
            <w:gridSpan w:val="6"/>
            <w:tcBorders>
              <w:top w:val="nil"/>
              <w:left w:val="nil"/>
              <w:bottom w:val="nil"/>
              <w:right w:val="nil"/>
            </w:tcBorders>
          </w:tcPr>
          <w:p w14:paraId="43FB8C38" w14:textId="77777777" w:rsidR="00CF7124" w:rsidRDefault="001578E5">
            <w:pPr>
              <w:tabs>
                <w:tab w:val="center" w:pos="895"/>
                <w:tab w:val="center" w:pos="1936"/>
                <w:tab w:val="center" w:pos="3360"/>
                <w:tab w:val="center" w:pos="4577"/>
                <w:tab w:val="center" w:pos="5853"/>
                <w:tab w:val="center" w:pos="6929"/>
              </w:tabs>
              <w:spacing w:after="0" w:line="259" w:lineRule="auto"/>
              <w:ind w:firstLine="0"/>
              <w:jc w:val="left"/>
            </w:pPr>
            <w:r>
              <w:rPr>
                <w:sz w:val="16"/>
              </w:rPr>
              <w:t>Unit 3</w:t>
            </w:r>
            <w:r>
              <w:rPr>
                <w:sz w:val="16"/>
              </w:rPr>
              <w:tab/>
              <w:t>83</w:t>
            </w:r>
            <w:r>
              <w:rPr>
                <w:sz w:val="16"/>
              </w:rPr>
              <w:tab/>
              <w:t>58</w:t>
            </w:r>
            <w:r>
              <w:rPr>
                <w:sz w:val="16"/>
              </w:rPr>
              <w:tab/>
              <w:t>87</w:t>
            </w:r>
            <w:r>
              <w:rPr>
                <w:sz w:val="16"/>
              </w:rPr>
              <w:tab/>
              <w:t>34</w:t>
            </w:r>
            <w:r>
              <w:rPr>
                <w:sz w:val="16"/>
              </w:rPr>
              <w:tab/>
              <w:t>29</w:t>
            </w:r>
            <w:r>
              <w:rPr>
                <w:sz w:val="16"/>
              </w:rPr>
              <w:tab/>
              <w:t>74</w:t>
            </w:r>
          </w:p>
        </w:tc>
        <w:tc>
          <w:tcPr>
            <w:tcW w:w="1149" w:type="dxa"/>
            <w:tcBorders>
              <w:top w:val="nil"/>
              <w:left w:val="nil"/>
              <w:bottom w:val="nil"/>
              <w:right w:val="nil"/>
            </w:tcBorders>
          </w:tcPr>
          <w:p w14:paraId="243F06B4" w14:textId="77777777" w:rsidR="00CF7124" w:rsidRDefault="001578E5">
            <w:pPr>
              <w:spacing w:after="0" w:line="259" w:lineRule="auto"/>
              <w:ind w:firstLine="0"/>
              <w:jc w:val="left"/>
            </w:pPr>
            <w:r>
              <w:rPr>
                <w:sz w:val="16"/>
              </w:rPr>
              <w:t>11</w:t>
            </w:r>
          </w:p>
        </w:tc>
        <w:tc>
          <w:tcPr>
            <w:tcW w:w="522" w:type="dxa"/>
            <w:gridSpan w:val="2"/>
            <w:tcBorders>
              <w:top w:val="nil"/>
              <w:left w:val="nil"/>
              <w:bottom w:val="nil"/>
              <w:right w:val="nil"/>
            </w:tcBorders>
          </w:tcPr>
          <w:p w14:paraId="20F0F05F" w14:textId="77777777" w:rsidR="00CF7124" w:rsidRDefault="001578E5">
            <w:pPr>
              <w:spacing w:after="0" w:line="259" w:lineRule="auto"/>
              <w:ind w:firstLine="0"/>
              <w:jc w:val="left"/>
            </w:pPr>
            <w:r>
              <w:rPr>
                <w:sz w:val="16"/>
              </w:rPr>
              <w:t>56</w:t>
            </w:r>
          </w:p>
        </w:tc>
      </w:tr>
      <w:tr w:rsidR="00CF7124" w14:paraId="089A9EAE" w14:textId="77777777">
        <w:trPr>
          <w:trHeight w:val="213"/>
        </w:trPr>
        <w:tc>
          <w:tcPr>
            <w:tcW w:w="7655" w:type="dxa"/>
            <w:gridSpan w:val="6"/>
            <w:tcBorders>
              <w:top w:val="nil"/>
              <w:left w:val="nil"/>
              <w:bottom w:val="single" w:sz="4" w:space="0" w:color="221F1F"/>
              <w:right w:val="nil"/>
            </w:tcBorders>
          </w:tcPr>
          <w:p w14:paraId="471901CC" w14:textId="77777777" w:rsidR="00CF7124" w:rsidRDefault="001578E5">
            <w:pPr>
              <w:tabs>
                <w:tab w:val="center" w:pos="895"/>
                <w:tab w:val="center" w:pos="1936"/>
                <w:tab w:val="center" w:pos="3360"/>
                <w:tab w:val="center" w:pos="4577"/>
                <w:tab w:val="center" w:pos="5851"/>
                <w:tab w:val="center" w:pos="6929"/>
              </w:tabs>
              <w:spacing w:after="0" w:line="259" w:lineRule="auto"/>
              <w:ind w:firstLine="0"/>
              <w:jc w:val="left"/>
            </w:pPr>
            <w:r>
              <w:rPr>
                <w:sz w:val="16"/>
              </w:rPr>
              <w:t>Unit 4</w:t>
            </w:r>
            <w:r>
              <w:rPr>
                <w:sz w:val="16"/>
              </w:rPr>
              <w:tab/>
              <w:t>24</w:t>
            </w:r>
            <w:r>
              <w:rPr>
                <w:sz w:val="16"/>
              </w:rPr>
              <w:tab/>
              <w:t>38</w:t>
            </w:r>
            <w:r>
              <w:rPr>
                <w:sz w:val="16"/>
              </w:rPr>
              <w:tab/>
              <w:t>56</w:t>
            </w:r>
            <w:r>
              <w:rPr>
                <w:sz w:val="16"/>
              </w:rPr>
              <w:tab/>
              <w:t>46</w:t>
            </w:r>
            <w:r>
              <w:rPr>
                <w:sz w:val="16"/>
              </w:rPr>
              <w:tab/>
              <w:t>11</w:t>
            </w:r>
            <w:r>
              <w:rPr>
                <w:sz w:val="16"/>
              </w:rPr>
              <w:tab/>
              <w:t>10</w:t>
            </w:r>
          </w:p>
        </w:tc>
        <w:tc>
          <w:tcPr>
            <w:tcW w:w="1149" w:type="dxa"/>
            <w:tcBorders>
              <w:top w:val="nil"/>
              <w:left w:val="nil"/>
              <w:bottom w:val="single" w:sz="4" w:space="0" w:color="221F1F"/>
              <w:right w:val="nil"/>
            </w:tcBorders>
          </w:tcPr>
          <w:p w14:paraId="2566DC22" w14:textId="77777777" w:rsidR="00CF7124" w:rsidRDefault="001578E5">
            <w:pPr>
              <w:spacing w:after="0" w:line="259" w:lineRule="auto"/>
              <w:ind w:firstLine="0"/>
              <w:jc w:val="left"/>
            </w:pPr>
            <w:r>
              <w:rPr>
                <w:sz w:val="16"/>
              </w:rPr>
              <w:t>26</w:t>
            </w:r>
          </w:p>
        </w:tc>
        <w:tc>
          <w:tcPr>
            <w:tcW w:w="522" w:type="dxa"/>
            <w:gridSpan w:val="2"/>
            <w:tcBorders>
              <w:top w:val="nil"/>
              <w:left w:val="nil"/>
              <w:bottom w:val="single" w:sz="4" w:space="0" w:color="221F1F"/>
              <w:right w:val="nil"/>
            </w:tcBorders>
          </w:tcPr>
          <w:p w14:paraId="7617C2D7" w14:textId="77777777" w:rsidR="00CF7124" w:rsidRDefault="001578E5">
            <w:pPr>
              <w:spacing w:after="0" w:line="259" w:lineRule="auto"/>
              <w:ind w:firstLine="0"/>
              <w:jc w:val="left"/>
            </w:pPr>
            <w:r>
              <w:rPr>
                <w:sz w:val="16"/>
              </w:rPr>
              <w:t>32</w:t>
            </w:r>
          </w:p>
        </w:tc>
      </w:tr>
      <w:tr w:rsidR="00CF7124" w14:paraId="1E2F6A06" w14:textId="77777777">
        <w:trPr>
          <w:trHeight w:val="1723"/>
        </w:trPr>
        <w:tc>
          <w:tcPr>
            <w:tcW w:w="7655" w:type="dxa"/>
            <w:gridSpan w:val="6"/>
            <w:tcBorders>
              <w:top w:val="single" w:sz="4" w:space="0" w:color="221F1F"/>
              <w:left w:val="nil"/>
              <w:bottom w:val="single" w:sz="4" w:space="0" w:color="221F1F"/>
              <w:right w:val="nil"/>
            </w:tcBorders>
            <w:vAlign w:val="bottom"/>
          </w:tcPr>
          <w:p w14:paraId="2EC63455" w14:textId="77777777" w:rsidR="00CF7124" w:rsidRDefault="001578E5">
            <w:pPr>
              <w:spacing w:after="20" w:line="259" w:lineRule="auto"/>
              <w:ind w:firstLine="0"/>
              <w:jc w:val="left"/>
            </w:pPr>
            <w:r>
              <w:rPr>
                <w:sz w:val="16"/>
              </w:rPr>
              <w:t>Table 3</w:t>
            </w:r>
          </w:p>
          <w:p w14:paraId="04D2606C" w14:textId="77777777" w:rsidR="00CF7124" w:rsidRDefault="001578E5">
            <w:pPr>
              <w:spacing w:after="0" w:line="259" w:lineRule="auto"/>
              <w:ind w:right="-17" w:firstLine="0"/>
            </w:pPr>
            <w:r>
              <w:rPr>
                <w:sz w:val="16"/>
              </w:rPr>
              <w:t>Per unit stratigraphic distribution of rudist community types (% of thickness) and integration for each community type</w:t>
            </w:r>
          </w:p>
        </w:tc>
        <w:tc>
          <w:tcPr>
            <w:tcW w:w="1149" w:type="dxa"/>
            <w:tcBorders>
              <w:top w:val="single" w:sz="4" w:space="0" w:color="221F1F"/>
              <w:left w:val="nil"/>
              <w:bottom w:val="single" w:sz="4" w:space="0" w:color="221F1F"/>
              <w:right w:val="nil"/>
            </w:tcBorders>
          </w:tcPr>
          <w:p w14:paraId="15C9C3E9" w14:textId="77777777" w:rsidR="00CF7124" w:rsidRDefault="00CF7124">
            <w:pPr>
              <w:spacing w:after="160" w:line="259" w:lineRule="auto"/>
              <w:ind w:firstLine="0"/>
              <w:jc w:val="left"/>
            </w:pPr>
          </w:p>
        </w:tc>
        <w:tc>
          <w:tcPr>
            <w:tcW w:w="522" w:type="dxa"/>
            <w:gridSpan w:val="2"/>
            <w:tcBorders>
              <w:top w:val="single" w:sz="4" w:space="0" w:color="221F1F"/>
              <w:left w:val="nil"/>
              <w:bottom w:val="single" w:sz="4" w:space="0" w:color="221F1F"/>
              <w:right w:val="nil"/>
            </w:tcBorders>
          </w:tcPr>
          <w:p w14:paraId="786D8FB7" w14:textId="77777777" w:rsidR="00CF7124" w:rsidRDefault="00CF7124">
            <w:pPr>
              <w:spacing w:after="160" w:line="259" w:lineRule="auto"/>
              <w:ind w:firstLine="0"/>
              <w:jc w:val="left"/>
            </w:pPr>
          </w:p>
        </w:tc>
      </w:tr>
      <w:tr w:rsidR="00CF7124" w14:paraId="4261FF4E" w14:textId="77777777">
        <w:trPr>
          <w:trHeight w:val="269"/>
        </w:trPr>
        <w:tc>
          <w:tcPr>
            <w:tcW w:w="2180" w:type="dxa"/>
            <w:tcBorders>
              <w:top w:val="single" w:sz="4" w:space="0" w:color="221F1F"/>
              <w:left w:val="nil"/>
              <w:bottom w:val="single" w:sz="4" w:space="0" w:color="221F1F"/>
              <w:right w:val="nil"/>
            </w:tcBorders>
          </w:tcPr>
          <w:p w14:paraId="1C033C7A" w14:textId="77777777" w:rsidR="00CF7124" w:rsidRDefault="00CF7124">
            <w:pPr>
              <w:spacing w:after="160" w:line="259" w:lineRule="auto"/>
              <w:ind w:firstLine="0"/>
              <w:jc w:val="left"/>
            </w:pPr>
          </w:p>
        </w:tc>
        <w:tc>
          <w:tcPr>
            <w:tcW w:w="1680" w:type="dxa"/>
            <w:tcBorders>
              <w:top w:val="single" w:sz="4" w:space="0" w:color="221F1F"/>
              <w:left w:val="nil"/>
              <w:bottom w:val="single" w:sz="4" w:space="0" w:color="221F1F"/>
              <w:right w:val="nil"/>
            </w:tcBorders>
          </w:tcPr>
          <w:p w14:paraId="4333D50F" w14:textId="77777777" w:rsidR="00CF7124" w:rsidRDefault="001578E5">
            <w:pPr>
              <w:spacing w:after="0" w:line="259" w:lineRule="auto"/>
              <w:ind w:firstLine="0"/>
              <w:jc w:val="left"/>
            </w:pPr>
            <w:r>
              <w:rPr>
                <w:sz w:val="16"/>
              </w:rPr>
              <w:t>Unit 1</w:t>
            </w:r>
          </w:p>
        </w:tc>
        <w:tc>
          <w:tcPr>
            <w:tcW w:w="1732" w:type="dxa"/>
            <w:tcBorders>
              <w:top w:val="single" w:sz="4" w:space="0" w:color="221F1F"/>
              <w:left w:val="nil"/>
              <w:bottom w:val="single" w:sz="4" w:space="0" w:color="221F1F"/>
              <w:right w:val="nil"/>
            </w:tcBorders>
          </w:tcPr>
          <w:p w14:paraId="368177E4" w14:textId="77777777" w:rsidR="00CF7124" w:rsidRDefault="001578E5">
            <w:pPr>
              <w:spacing w:after="0" w:line="259" w:lineRule="auto"/>
              <w:ind w:left="27" w:firstLine="0"/>
              <w:jc w:val="left"/>
            </w:pPr>
            <w:r>
              <w:rPr>
                <w:sz w:val="16"/>
              </w:rPr>
              <w:t>Unit 2</w:t>
            </w:r>
          </w:p>
        </w:tc>
        <w:tc>
          <w:tcPr>
            <w:tcW w:w="1705" w:type="dxa"/>
            <w:gridSpan w:val="2"/>
            <w:tcBorders>
              <w:top w:val="single" w:sz="4" w:space="0" w:color="221F1F"/>
              <w:left w:val="nil"/>
              <w:bottom w:val="single" w:sz="4" w:space="0" w:color="221F1F"/>
              <w:right w:val="nil"/>
            </w:tcBorders>
          </w:tcPr>
          <w:p w14:paraId="1FE13EB2" w14:textId="77777777" w:rsidR="00CF7124" w:rsidRDefault="001578E5">
            <w:pPr>
              <w:spacing w:after="0" w:line="259" w:lineRule="auto"/>
              <w:ind w:firstLine="0"/>
              <w:jc w:val="left"/>
            </w:pPr>
            <w:r>
              <w:rPr>
                <w:sz w:val="16"/>
              </w:rPr>
              <w:t>Unit 3</w:t>
            </w:r>
          </w:p>
        </w:tc>
        <w:tc>
          <w:tcPr>
            <w:tcW w:w="1506" w:type="dxa"/>
            <w:gridSpan w:val="2"/>
            <w:tcBorders>
              <w:top w:val="single" w:sz="4" w:space="0" w:color="221F1F"/>
              <w:left w:val="nil"/>
              <w:bottom w:val="single" w:sz="4" w:space="0" w:color="221F1F"/>
              <w:right w:val="nil"/>
            </w:tcBorders>
          </w:tcPr>
          <w:p w14:paraId="1F2EF67A" w14:textId="77777777" w:rsidR="00CF7124" w:rsidRDefault="001578E5">
            <w:pPr>
              <w:spacing w:after="0" w:line="259" w:lineRule="auto"/>
              <w:ind w:firstLine="0"/>
              <w:jc w:val="left"/>
            </w:pPr>
            <w:r>
              <w:rPr>
                <w:sz w:val="16"/>
              </w:rPr>
              <w:t>Unit 4</w:t>
            </w:r>
          </w:p>
        </w:tc>
        <w:tc>
          <w:tcPr>
            <w:tcW w:w="522" w:type="dxa"/>
            <w:gridSpan w:val="2"/>
            <w:tcBorders>
              <w:top w:val="single" w:sz="4" w:space="0" w:color="221F1F"/>
              <w:left w:val="nil"/>
              <w:bottom w:val="single" w:sz="4" w:space="0" w:color="221F1F"/>
              <w:right w:val="nil"/>
            </w:tcBorders>
          </w:tcPr>
          <w:p w14:paraId="67B2688E" w14:textId="77777777" w:rsidR="00CF7124" w:rsidRDefault="001578E5">
            <w:pPr>
              <w:spacing w:after="0" w:line="259" w:lineRule="auto"/>
              <w:ind w:firstLine="0"/>
              <w:jc w:val="right"/>
            </w:pPr>
            <w:r>
              <w:rPr>
                <w:sz w:val="16"/>
              </w:rPr>
              <w:t>Total</w:t>
            </w:r>
          </w:p>
        </w:tc>
      </w:tr>
      <w:tr w:rsidR="00CF7124" w14:paraId="4C6233E5" w14:textId="77777777">
        <w:trPr>
          <w:trHeight w:val="265"/>
        </w:trPr>
        <w:tc>
          <w:tcPr>
            <w:tcW w:w="2180" w:type="dxa"/>
            <w:tcBorders>
              <w:top w:val="single" w:sz="4" w:space="0" w:color="221F1F"/>
              <w:left w:val="nil"/>
              <w:bottom w:val="nil"/>
              <w:right w:val="nil"/>
            </w:tcBorders>
          </w:tcPr>
          <w:p w14:paraId="448C2682" w14:textId="77777777" w:rsidR="00CF7124" w:rsidRDefault="001578E5">
            <w:pPr>
              <w:spacing w:after="0" w:line="259" w:lineRule="auto"/>
              <w:ind w:firstLine="0"/>
              <w:jc w:val="left"/>
            </w:pPr>
            <w:r>
              <w:rPr>
                <w:sz w:val="16"/>
              </w:rPr>
              <w:t>Community 1</w:t>
            </w:r>
          </w:p>
        </w:tc>
        <w:tc>
          <w:tcPr>
            <w:tcW w:w="1680" w:type="dxa"/>
            <w:tcBorders>
              <w:top w:val="single" w:sz="4" w:space="0" w:color="221F1F"/>
              <w:left w:val="nil"/>
              <w:bottom w:val="nil"/>
              <w:right w:val="nil"/>
            </w:tcBorders>
          </w:tcPr>
          <w:p w14:paraId="4FAE1487" w14:textId="77777777" w:rsidR="00CF7124" w:rsidRDefault="001578E5">
            <w:pPr>
              <w:spacing w:after="0" w:line="259" w:lineRule="auto"/>
              <w:ind w:left="79" w:firstLine="0"/>
              <w:jc w:val="left"/>
            </w:pPr>
            <w:r>
              <w:rPr>
                <w:sz w:val="16"/>
              </w:rPr>
              <w:t>4.1</w:t>
            </w:r>
          </w:p>
        </w:tc>
        <w:tc>
          <w:tcPr>
            <w:tcW w:w="1732" w:type="dxa"/>
            <w:tcBorders>
              <w:top w:val="single" w:sz="4" w:space="0" w:color="221F1F"/>
              <w:left w:val="nil"/>
              <w:bottom w:val="nil"/>
              <w:right w:val="nil"/>
            </w:tcBorders>
          </w:tcPr>
          <w:p w14:paraId="64566DEF" w14:textId="77777777" w:rsidR="00CF7124" w:rsidRDefault="001578E5">
            <w:pPr>
              <w:spacing w:after="0" w:line="259" w:lineRule="auto"/>
              <w:ind w:left="106" w:firstLine="0"/>
              <w:jc w:val="left"/>
            </w:pPr>
            <w:r>
              <w:rPr>
                <w:sz w:val="16"/>
              </w:rPr>
              <w:t>0.3</w:t>
            </w:r>
          </w:p>
        </w:tc>
        <w:tc>
          <w:tcPr>
            <w:tcW w:w="1705" w:type="dxa"/>
            <w:gridSpan w:val="2"/>
            <w:tcBorders>
              <w:top w:val="single" w:sz="4" w:space="0" w:color="221F1F"/>
              <w:left w:val="nil"/>
              <w:bottom w:val="nil"/>
              <w:right w:val="nil"/>
            </w:tcBorders>
          </w:tcPr>
          <w:p w14:paraId="62C4636E" w14:textId="77777777" w:rsidR="00CF7124" w:rsidRDefault="001578E5">
            <w:pPr>
              <w:spacing w:after="0" w:line="259" w:lineRule="auto"/>
              <w:ind w:left="79" w:firstLine="0"/>
              <w:jc w:val="left"/>
            </w:pPr>
            <w:r>
              <w:rPr>
                <w:sz w:val="16"/>
              </w:rPr>
              <w:t>5.2</w:t>
            </w:r>
          </w:p>
        </w:tc>
        <w:tc>
          <w:tcPr>
            <w:tcW w:w="1506" w:type="dxa"/>
            <w:gridSpan w:val="2"/>
            <w:tcBorders>
              <w:top w:val="single" w:sz="4" w:space="0" w:color="221F1F"/>
              <w:left w:val="nil"/>
              <w:bottom w:val="nil"/>
              <w:right w:val="nil"/>
            </w:tcBorders>
          </w:tcPr>
          <w:p w14:paraId="23276B99" w14:textId="77777777" w:rsidR="00CF7124" w:rsidRDefault="001578E5">
            <w:pPr>
              <w:spacing w:after="0" w:line="259" w:lineRule="auto"/>
              <w:ind w:left="79" w:firstLine="0"/>
              <w:jc w:val="left"/>
            </w:pPr>
            <w:r>
              <w:rPr>
                <w:sz w:val="16"/>
              </w:rPr>
              <w:t>1.7</w:t>
            </w:r>
          </w:p>
        </w:tc>
        <w:tc>
          <w:tcPr>
            <w:tcW w:w="522" w:type="dxa"/>
            <w:gridSpan w:val="2"/>
            <w:tcBorders>
              <w:top w:val="single" w:sz="4" w:space="0" w:color="221F1F"/>
              <w:left w:val="nil"/>
              <w:bottom w:val="nil"/>
              <w:right w:val="nil"/>
            </w:tcBorders>
          </w:tcPr>
          <w:p w14:paraId="3A5790FE" w14:textId="77777777" w:rsidR="00CF7124" w:rsidRDefault="001578E5">
            <w:pPr>
              <w:spacing w:after="0" w:line="259" w:lineRule="auto"/>
              <w:ind w:left="118" w:firstLine="0"/>
              <w:jc w:val="center"/>
            </w:pPr>
            <w:r>
              <w:rPr>
                <w:sz w:val="16"/>
              </w:rPr>
              <w:t>3</w:t>
            </w:r>
          </w:p>
        </w:tc>
      </w:tr>
      <w:tr w:rsidR="00CF7124" w14:paraId="5BE6D32E" w14:textId="77777777">
        <w:trPr>
          <w:trHeight w:val="200"/>
        </w:trPr>
        <w:tc>
          <w:tcPr>
            <w:tcW w:w="2180" w:type="dxa"/>
            <w:tcBorders>
              <w:top w:val="nil"/>
              <w:left w:val="nil"/>
              <w:bottom w:val="nil"/>
              <w:right w:val="nil"/>
            </w:tcBorders>
          </w:tcPr>
          <w:p w14:paraId="6E6DA6F0" w14:textId="77777777" w:rsidR="00CF7124" w:rsidRDefault="001578E5">
            <w:pPr>
              <w:spacing w:after="0" w:line="259" w:lineRule="auto"/>
              <w:ind w:firstLine="0"/>
              <w:jc w:val="left"/>
            </w:pPr>
            <w:r>
              <w:rPr>
                <w:sz w:val="16"/>
              </w:rPr>
              <w:t>Community 2</w:t>
            </w:r>
          </w:p>
        </w:tc>
        <w:tc>
          <w:tcPr>
            <w:tcW w:w="1680" w:type="dxa"/>
            <w:tcBorders>
              <w:top w:val="nil"/>
              <w:left w:val="nil"/>
              <w:bottom w:val="nil"/>
              <w:right w:val="nil"/>
            </w:tcBorders>
          </w:tcPr>
          <w:p w14:paraId="7FAA41B7" w14:textId="77777777" w:rsidR="00CF7124" w:rsidRDefault="001578E5">
            <w:pPr>
              <w:spacing w:after="0" w:line="259" w:lineRule="auto"/>
              <w:ind w:firstLine="0"/>
              <w:jc w:val="left"/>
            </w:pPr>
            <w:r>
              <w:rPr>
                <w:sz w:val="16"/>
              </w:rPr>
              <w:t>37.8</w:t>
            </w:r>
          </w:p>
        </w:tc>
        <w:tc>
          <w:tcPr>
            <w:tcW w:w="1732" w:type="dxa"/>
            <w:tcBorders>
              <w:top w:val="nil"/>
              <w:left w:val="nil"/>
              <w:bottom w:val="nil"/>
              <w:right w:val="nil"/>
            </w:tcBorders>
          </w:tcPr>
          <w:p w14:paraId="41A8057D" w14:textId="77777777" w:rsidR="00CF7124" w:rsidRDefault="001578E5">
            <w:pPr>
              <w:spacing w:after="0" w:line="259" w:lineRule="auto"/>
              <w:ind w:left="27" w:firstLine="0"/>
              <w:jc w:val="left"/>
            </w:pPr>
            <w:r>
              <w:rPr>
                <w:sz w:val="16"/>
              </w:rPr>
              <w:t>18.5</w:t>
            </w:r>
          </w:p>
        </w:tc>
        <w:tc>
          <w:tcPr>
            <w:tcW w:w="1705" w:type="dxa"/>
            <w:gridSpan w:val="2"/>
            <w:tcBorders>
              <w:top w:val="nil"/>
              <w:left w:val="nil"/>
              <w:bottom w:val="nil"/>
              <w:right w:val="nil"/>
            </w:tcBorders>
          </w:tcPr>
          <w:p w14:paraId="65E75790" w14:textId="77777777" w:rsidR="00CF7124" w:rsidRDefault="001578E5">
            <w:pPr>
              <w:spacing w:after="0" w:line="259" w:lineRule="auto"/>
              <w:ind w:firstLine="0"/>
              <w:jc w:val="left"/>
            </w:pPr>
            <w:r>
              <w:rPr>
                <w:sz w:val="16"/>
              </w:rPr>
              <w:t>23.2</w:t>
            </w:r>
          </w:p>
        </w:tc>
        <w:tc>
          <w:tcPr>
            <w:tcW w:w="1506" w:type="dxa"/>
            <w:gridSpan w:val="2"/>
            <w:tcBorders>
              <w:top w:val="nil"/>
              <w:left w:val="nil"/>
              <w:bottom w:val="nil"/>
              <w:right w:val="nil"/>
            </w:tcBorders>
          </w:tcPr>
          <w:p w14:paraId="77171044" w14:textId="77777777" w:rsidR="00CF7124" w:rsidRDefault="001578E5">
            <w:pPr>
              <w:spacing w:after="0" w:line="259" w:lineRule="auto"/>
              <w:ind w:firstLine="0"/>
              <w:jc w:val="left"/>
            </w:pPr>
            <w:r>
              <w:rPr>
                <w:sz w:val="16"/>
              </w:rPr>
              <w:t>16.5</w:t>
            </w:r>
          </w:p>
        </w:tc>
        <w:tc>
          <w:tcPr>
            <w:tcW w:w="522" w:type="dxa"/>
            <w:gridSpan w:val="2"/>
            <w:tcBorders>
              <w:top w:val="nil"/>
              <w:left w:val="nil"/>
              <w:bottom w:val="nil"/>
              <w:right w:val="nil"/>
            </w:tcBorders>
          </w:tcPr>
          <w:p w14:paraId="4AD8028E" w14:textId="77777777" w:rsidR="00CF7124" w:rsidRDefault="001578E5">
            <w:pPr>
              <w:spacing w:after="0" w:line="259" w:lineRule="auto"/>
              <w:ind w:left="39" w:firstLine="0"/>
              <w:jc w:val="center"/>
            </w:pPr>
            <w:r>
              <w:rPr>
                <w:sz w:val="16"/>
              </w:rPr>
              <w:t>24</w:t>
            </w:r>
          </w:p>
        </w:tc>
      </w:tr>
      <w:tr w:rsidR="00CF7124" w14:paraId="0C5A82CF" w14:textId="77777777">
        <w:trPr>
          <w:trHeight w:val="200"/>
        </w:trPr>
        <w:tc>
          <w:tcPr>
            <w:tcW w:w="2180" w:type="dxa"/>
            <w:tcBorders>
              <w:top w:val="nil"/>
              <w:left w:val="nil"/>
              <w:bottom w:val="nil"/>
              <w:right w:val="nil"/>
            </w:tcBorders>
          </w:tcPr>
          <w:p w14:paraId="4140847F" w14:textId="77777777" w:rsidR="00CF7124" w:rsidRDefault="001578E5">
            <w:pPr>
              <w:spacing w:after="0" w:line="259" w:lineRule="auto"/>
              <w:ind w:firstLine="0"/>
              <w:jc w:val="left"/>
            </w:pPr>
            <w:r>
              <w:rPr>
                <w:sz w:val="16"/>
              </w:rPr>
              <w:t>Community 3</w:t>
            </w:r>
          </w:p>
        </w:tc>
        <w:tc>
          <w:tcPr>
            <w:tcW w:w="1680" w:type="dxa"/>
            <w:tcBorders>
              <w:top w:val="nil"/>
              <w:left w:val="nil"/>
              <w:bottom w:val="nil"/>
              <w:right w:val="nil"/>
            </w:tcBorders>
          </w:tcPr>
          <w:p w14:paraId="6327CE7B" w14:textId="77777777" w:rsidR="00CF7124" w:rsidRDefault="001578E5">
            <w:pPr>
              <w:spacing w:after="0" w:line="259" w:lineRule="auto"/>
              <w:ind w:left="79" w:firstLine="0"/>
              <w:jc w:val="left"/>
            </w:pPr>
            <w:r>
              <w:rPr>
                <w:sz w:val="16"/>
              </w:rPr>
              <w:t>1.4</w:t>
            </w:r>
          </w:p>
        </w:tc>
        <w:tc>
          <w:tcPr>
            <w:tcW w:w="1732" w:type="dxa"/>
            <w:tcBorders>
              <w:top w:val="nil"/>
              <w:left w:val="nil"/>
              <w:bottom w:val="nil"/>
              <w:right w:val="nil"/>
            </w:tcBorders>
          </w:tcPr>
          <w:p w14:paraId="0929366E" w14:textId="77777777" w:rsidR="00CF7124" w:rsidRDefault="001578E5">
            <w:pPr>
              <w:spacing w:after="0" w:line="259" w:lineRule="auto"/>
              <w:ind w:left="106" w:firstLine="0"/>
              <w:jc w:val="left"/>
            </w:pPr>
            <w:r>
              <w:rPr>
                <w:sz w:val="16"/>
              </w:rPr>
              <w:t>7.9</w:t>
            </w:r>
          </w:p>
        </w:tc>
        <w:tc>
          <w:tcPr>
            <w:tcW w:w="1705" w:type="dxa"/>
            <w:gridSpan w:val="2"/>
            <w:tcBorders>
              <w:top w:val="nil"/>
              <w:left w:val="nil"/>
              <w:bottom w:val="nil"/>
              <w:right w:val="nil"/>
            </w:tcBorders>
          </w:tcPr>
          <w:p w14:paraId="0D19C31A" w14:textId="77777777" w:rsidR="00CF7124" w:rsidRDefault="001578E5">
            <w:pPr>
              <w:spacing w:after="0" w:line="259" w:lineRule="auto"/>
              <w:ind w:firstLine="0"/>
              <w:jc w:val="left"/>
            </w:pPr>
            <w:r>
              <w:rPr>
                <w:sz w:val="16"/>
              </w:rPr>
              <w:t>12.6</w:t>
            </w:r>
          </w:p>
        </w:tc>
        <w:tc>
          <w:tcPr>
            <w:tcW w:w="1506" w:type="dxa"/>
            <w:gridSpan w:val="2"/>
            <w:tcBorders>
              <w:top w:val="nil"/>
              <w:left w:val="nil"/>
              <w:bottom w:val="nil"/>
              <w:right w:val="nil"/>
            </w:tcBorders>
          </w:tcPr>
          <w:p w14:paraId="305E6535" w14:textId="77777777" w:rsidR="00CF7124" w:rsidRDefault="001578E5">
            <w:pPr>
              <w:spacing w:after="0" w:line="259" w:lineRule="auto"/>
              <w:ind w:left="79" w:firstLine="0"/>
              <w:jc w:val="left"/>
            </w:pPr>
            <w:r>
              <w:rPr>
                <w:sz w:val="16"/>
              </w:rPr>
              <w:t>5.8</w:t>
            </w:r>
          </w:p>
        </w:tc>
        <w:tc>
          <w:tcPr>
            <w:tcW w:w="522" w:type="dxa"/>
            <w:gridSpan w:val="2"/>
            <w:tcBorders>
              <w:top w:val="nil"/>
              <w:left w:val="nil"/>
              <w:bottom w:val="nil"/>
              <w:right w:val="nil"/>
            </w:tcBorders>
          </w:tcPr>
          <w:p w14:paraId="305D74E7" w14:textId="77777777" w:rsidR="00CF7124" w:rsidRDefault="001578E5">
            <w:pPr>
              <w:spacing w:after="0" w:line="259" w:lineRule="auto"/>
              <w:ind w:left="118" w:firstLine="0"/>
              <w:jc w:val="center"/>
            </w:pPr>
            <w:r>
              <w:rPr>
                <w:sz w:val="16"/>
              </w:rPr>
              <w:t>7</w:t>
            </w:r>
          </w:p>
        </w:tc>
      </w:tr>
      <w:tr w:rsidR="00CF7124" w14:paraId="26583322" w14:textId="77777777">
        <w:trPr>
          <w:trHeight w:val="212"/>
        </w:trPr>
        <w:tc>
          <w:tcPr>
            <w:tcW w:w="2180" w:type="dxa"/>
            <w:tcBorders>
              <w:top w:val="nil"/>
              <w:left w:val="nil"/>
              <w:bottom w:val="single" w:sz="4" w:space="0" w:color="221F1F"/>
              <w:right w:val="nil"/>
            </w:tcBorders>
          </w:tcPr>
          <w:p w14:paraId="0758FE38" w14:textId="77777777" w:rsidR="00CF7124" w:rsidRDefault="001578E5">
            <w:pPr>
              <w:spacing w:after="0" w:line="259" w:lineRule="auto"/>
              <w:ind w:firstLine="0"/>
              <w:jc w:val="left"/>
            </w:pPr>
            <w:r>
              <w:rPr>
                <w:sz w:val="16"/>
              </w:rPr>
              <w:t>Community 4</w:t>
            </w:r>
          </w:p>
        </w:tc>
        <w:tc>
          <w:tcPr>
            <w:tcW w:w="1680" w:type="dxa"/>
            <w:tcBorders>
              <w:top w:val="nil"/>
              <w:left w:val="nil"/>
              <w:bottom w:val="single" w:sz="4" w:space="0" w:color="221F1F"/>
              <w:right w:val="nil"/>
            </w:tcBorders>
          </w:tcPr>
          <w:p w14:paraId="7C1D549A" w14:textId="77777777" w:rsidR="00CF7124" w:rsidRDefault="001578E5">
            <w:pPr>
              <w:spacing w:after="0" w:line="259" w:lineRule="auto"/>
              <w:ind w:firstLine="0"/>
              <w:jc w:val="left"/>
            </w:pPr>
            <w:r>
              <w:rPr>
                <w:sz w:val="16"/>
              </w:rPr>
              <w:t>15.7</w:t>
            </w:r>
          </w:p>
        </w:tc>
        <w:tc>
          <w:tcPr>
            <w:tcW w:w="1732" w:type="dxa"/>
            <w:tcBorders>
              <w:top w:val="nil"/>
              <w:left w:val="nil"/>
              <w:bottom w:val="single" w:sz="4" w:space="0" w:color="221F1F"/>
              <w:right w:val="nil"/>
            </w:tcBorders>
          </w:tcPr>
          <w:p w14:paraId="0C4382DF" w14:textId="77777777" w:rsidR="00CF7124" w:rsidRDefault="001578E5">
            <w:pPr>
              <w:spacing w:after="0" w:line="259" w:lineRule="auto"/>
              <w:ind w:left="27" w:firstLine="0"/>
              <w:jc w:val="left"/>
            </w:pPr>
            <w:r>
              <w:rPr>
                <w:sz w:val="16"/>
              </w:rPr>
              <w:t>20.4</w:t>
            </w:r>
          </w:p>
        </w:tc>
        <w:tc>
          <w:tcPr>
            <w:tcW w:w="1705" w:type="dxa"/>
            <w:gridSpan w:val="2"/>
            <w:tcBorders>
              <w:top w:val="nil"/>
              <w:left w:val="nil"/>
              <w:bottom w:val="single" w:sz="4" w:space="0" w:color="221F1F"/>
              <w:right w:val="nil"/>
            </w:tcBorders>
          </w:tcPr>
          <w:p w14:paraId="15006048" w14:textId="77777777" w:rsidR="00CF7124" w:rsidRDefault="001578E5">
            <w:pPr>
              <w:spacing w:after="0" w:line="259" w:lineRule="auto"/>
              <w:ind w:left="5" w:firstLine="0"/>
              <w:jc w:val="left"/>
            </w:pPr>
            <w:r>
              <w:rPr>
                <w:sz w:val="16"/>
              </w:rPr>
              <w:t>11.7</w:t>
            </w:r>
          </w:p>
        </w:tc>
        <w:tc>
          <w:tcPr>
            <w:tcW w:w="1506" w:type="dxa"/>
            <w:gridSpan w:val="2"/>
            <w:tcBorders>
              <w:top w:val="nil"/>
              <w:left w:val="nil"/>
              <w:bottom w:val="single" w:sz="4" w:space="0" w:color="221F1F"/>
              <w:right w:val="nil"/>
            </w:tcBorders>
          </w:tcPr>
          <w:p w14:paraId="4A7A77A2" w14:textId="77777777" w:rsidR="00CF7124" w:rsidRDefault="001578E5">
            <w:pPr>
              <w:spacing w:after="0" w:line="259" w:lineRule="auto"/>
              <w:ind w:left="79" w:firstLine="0"/>
              <w:jc w:val="left"/>
            </w:pPr>
            <w:r>
              <w:rPr>
                <w:sz w:val="16"/>
              </w:rPr>
              <w:t>6.3</w:t>
            </w:r>
          </w:p>
        </w:tc>
        <w:tc>
          <w:tcPr>
            <w:tcW w:w="522" w:type="dxa"/>
            <w:gridSpan w:val="2"/>
            <w:tcBorders>
              <w:top w:val="nil"/>
              <w:left w:val="nil"/>
              <w:bottom w:val="single" w:sz="4" w:space="0" w:color="221F1F"/>
              <w:right w:val="nil"/>
            </w:tcBorders>
          </w:tcPr>
          <w:p w14:paraId="574C54A5" w14:textId="77777777" w:rsidR="00CF7124" w:rsidRDefault="001578E5">
            <w:pPr>
              <w:spacing w:after="0" w:line="259" w:lineRule="auto"/>
              <w:ind w:left="39" w:firstLine="0"/>
              <w:jc w:val="center"/>
            </w:pPr>
            <w:r>
              <w:rPr>
                <w:sz w:val="16"/>
              </w:rPr>
              <w:t>13</w:t>
            </w:r>
          </w:p>
        </w:tc>
      </w:tr>
      <w:tr w:rsidR="00CF7124" w14:paraId="06C4874F" w14:textId="77777777">
        <w:trPr>
          <w:trHeight w:val="1854"/>
        </w:trPr>
        <w:tc>
          <w:tcPr>
            <w:tcW w:w="2180" w:type="dxa"/>
            <w:tcBorders>
              <w:top w:val="single" w:sz="4" w:space="0" w:color="221F1F"/>
              <w:left w:val="nil"/>
              <w:bottom w:val="single" w:sz="4" w:space="0" w:color="221F1F"/>
              <w:right w:val="nil"/>
            </w:tcBorders>
            <w:vAlign w:val="bottom"/>
          </w:tcPr>
          <w:p w14:paraId="20AE5620" w14:textId="77777777" w:rsidR="00CF7124" w:rsidRDefault="001578E5">
            <w:pPr>
              <w:spacing w:after="0" w:line="259" w:lineRule="auto"/>
              <w:ind w:firstLine="0"/>
              <w:jc w:val="left"/>
            </w:pPr>
            <w:r>
              <w:rPr>
                <w:sz w:val="16"/>
              </w:rPr>
              <w:t>Table 4</w:t>
            </w:r>
          </w:p>
          <w:p w14:paraId="5B2ADAFF" w14:textId="77777777" w:rsidR="00CF7124" w:rsidRDefault="001578E5">
            <w:pPr>
              <w:spacing w:after="0" w:line="259" w:lineRule="auto"/>
              <w:ind w:right="-1652" w:firstLine="0"/>
            </w:pPr>
            <w:r>
              <w:rPr>
                <w:sz w:val="16"/>
              </w:rPr>
              <w:t>Percentage of rudist skeletal material of community types content, micro: microskeletal content refered to 100% of th</w:t>
            </w:r>
          </w:p>
        </w:tc>
        <w:tc>
          <w:tcPr>
            <w:tcW w:w="1680" w:type="dxa"/>
            <w:tcBorders>
              <w:top w:val="single" w:sz="4" w:space="0" w:color="221F1F"/>
              <w:left w:val="nil"/>
              <w:bottom w:val="single" w:sz="4" w:space="0" w:color="221F1F"/>
              <w:right w:val="nil"/>
            </w:tcBorders>
          </w:tcPr>
          <w:p w14:paraId="16204C85" w14:textId="77777777" w:rsidR="00CF7124" w:rsidRDefault="00CF7124">
            <w:pPr>
              <w:spacing w:after="160" w:line="259" w:lineRule="auto"/>
              <w:ind w:firstLine="0"/>
              <w:jc w:val="left"/>
            </w:pPr>
          </w:p>
        </w:tc>
        <w:tc>
          <w:tcPr>
            <w:tcW w:w="1732" w:type="dxa"/>
            <w:tcBorders>
              <w:top w:val="single" w:sz="4" w:space="0" w:color="221F1F"/>
              <w:left w:val="nil"/>
              <w:bottom w:val="single" w:sz="4" w:space="0" w:color="221F1F"/>
              <w:right w:val="nil"/>
            </w:tcBorders>
            <w:vAlign w:val="bottom"/>
          </w:tcPr>
          <w:p w14:paraId="702442A9" w14:textId="77777777" w:rsidR="00CF7124" w:rsidRDefault="001578E5">
            <w:pPr>
              <w:spacing w:after="0" w:line="259" w:lineRule="auto"/>
              <w:ind w:left="-28" w:right="-734" w:firstLine="55"/>
            </w:pPr>
            <w:r>
              <w:rPr>
                <w:sz w:val="16"/>
              </w:rPr>
              <w:t>and their adjacent subtidal and intere sedimentary matrix)</w:t>
            </w:r>
          </w:p>
        </w:tc>
        <w:tc>
          <w:tcPr>
            <w:tcW w:w="1705" w:type="dxa"/>
            <w:gridSpan w:val="2"/>
            <w:tcBorders>
              <w:top w:val="single" w:sz="4" w:space="0" w:color="221F1F"/>
              <w:left w:val="nil"/>
              <w:bottom w:val="single" w:sz="4" w:space="0" w:color="221F1F"/>
              <w:right w:val="nil"/>
            </w:tcBorders>
          </w:tcPr>
          <w:p w14:paraId="3A1E3E03" w14:textId="77777777" w:rsidR="00CF7124" w:rsidRDefault="00CF7124">
            <w:pPr>
              <w:spacing w:after="160" w:line="259" w:lineRule="auto"/>
              <w:ind w:firstLine="0"/>
              <w:jc w:val="left"/>
            </w:pPr>
          </w:p>
        </w:tc>
        <w:tc>
          <w:tcPr>
            <w:tcW w:w="1506" w:type="dxa"/>
            <w:gridSpan w:val="2"/>
            <w:tcBorders>
              <w:top w:val="single" w:sz="4" w:space="0" w:color="221F1F"/>
              <w:left w:val="nil"/>
              <w:bottom w:val="single" w:sz="4" w:space="0" w:color="221F1F"/>
              <w:right w:val="nil"/>
            </w:tcBorders>
            <w:vAlign w:val="bottom"/>
          </w:tcPr>
          <w:p w14:paraId="353DD33B" w14:textId="77777777" w:rsidR="00CF7124" w:rsidRDefault="001578E5">
            <w:pPr>
              <w:spacing w:after="0" w:line="259" w:lineRule="auto"/>
              <w:ind w:left="-972" w:right="-105" w:firstLine="0"/>
              <w:jc w:val="right"/>
            </w:pPr>
            <w:r>
              <w:rPr>
                <w:sz w:val="16"/>
              </w:rPr>
              <w:t>to supratidal sediments (macro: macros</w:t>
            </w:r>
          </w:p>
        </w:tc>
        <w:tc>
          <w:tcPr>
            <w:tcW w:w="522" w:type="dxa"/>
            <w:gridSpan w:val="2"/>
            <w:tcBorders>
              <w:top w:val="single" w:sz="4" w:space="0" w:color="221F1F"/>
              <w:left w:val="nil"/>
              <w:bottom w:val="single" w:sz="4" w:space="0" w:color="221F1F"/>
              <w:right w:val="nil"/>
            </w:tcBorders>
            <w:vAlign w:val="bottom"/>
          </w:tcPr>
          <w:p w14:paraId="1FDD459E" w14:textId="77777777" w:rsidR="00CF7124" w:rsidRDefault="001578E5">
            <w:pPr>
              <w:spacing w:after="0" w:line="259" w:lineRule="auto"/>
              <w:ind w:left="105" w:firstLine="0"/>
              <w:jc w:val="left"/>
            </w:pPr>
            <w:r>
              <w:rPr>
                <w:sz w:val="16"/>
              </w:rPr>
              <w:t>keletal</w:t>
            </w:r>
          </w:p>
        </w:tc>
      </w:tr>
      <w:tr w:rsidR="00CF7124" w14:paraId="0D58A0B3" w14:textId="77777777">
        <w:trPr>
          <w:trHeight w:val="269"/>
        </w:trPr>
        <w:tc>
          <w:tcPr>
            <w:tcW w:w="3860" w:type="dxa"/>
            <w:gridSpan w:val="2"/>
            <w:tcBorders>
              <w:top w:val="single" w:sz="4" w:space="0" w:color="221F1F"/>
              <w:left w:val="nil"/>
              <w:bottom w:val="single" w:sz="4" w:space="0" w:color="221F1F"/>
              <w:right w:val="nil"/>
            </w:tcBorders>
          </w:tcPr>
          <w:p w14:paraId="3C878B0F" w14:textId="77777777" w:rsidR="00CF7124" w:rsidRDefault="00CF7124">
            <w:pPr>
              <w:spacing w:after="160" w:line="259" w:lineRule="auto"/>
              <w:ind w:firstLine="0"/>
              <w:jc w:val="left"/>
            </w:pPr>
          </w:p>
        </w:tc>
        <w:tc>
          <w:tcPr>
            <w:tcW w:w="2483" w:type="dxa"/>
            <w:gridSpan w:val="2"/>
            <w:tcBorders>
              <w:top w:val="single" w:sz="4" w:space="0" w:color="221F1F"/>
              <w:left w:val="nil"/>
              <w:bottom w:val="single" w:sz="4" w:space="0" w:color="221F1F"/>
              <w:right w:val="nil"/>
            </w:tcBorders>
          </w:tcPr>
          <w:p w14:paraId="36EEA27B" w14:textId="77777777" w:rsidR="00CF7124" w:rsidRDefault="001578E5">
            <w:pPr>
              <w:spacing w:after="0" w:line="259" w:lineRule="auto"/>
              <w:ind w:left="-27" w:firstLine="0"/>
              <w:jc w:val="left"/>
            </w:pPr>
            <w:r>
              <w:rPr>
                <w:sz w:val="16"/>
              </w:rPr>
              <w:t>Total</w:t>
            </w:r>
          </w:p>
        </w:tc>
        <w:tc>
          <w:tcPr>
            <w:tcW w:w="2598" w:type="dxa"/>
            <w:gridSpan w:val="4"/>
            <w:tcBorders>
              <w:top w:val="single" w:sz="4" w:space="0" w:color="221F1F"/>
              <w:left w:val="nil"/>
              <w:bottom w:val="single" w:sz="4" w:space="0" w:color="221F1F"/>
              <w:right w:val="nil"/>
            </w:tcBorders>
          </w:tcPr>
          <w:p w14:paraId="7BDC0EF7" w14:textId="77777777" w:rsidR="00CF7124" w:rsidRDefault="001578E5">
            <w:pPr>
              <w:spacing w:after="0" w:line="259" w:lineRule="auto"/>
              <w:ind w:firstLine="0"/>
              <w:jc w:val="left"/>
            </w:pPr>
            <w:r>
              <w:rPr>
                <w:sz w:val="16"/>
              </w:rPr>
              <w:t>Macro</w:t>
            </w:r>
          </w:p>
        </w:tc>
        <w:tc>
          <w:tcPr>
            <w:tcW w:w="384" w:type="dxa"/>
            <w:tcBorders>
              <w:top w:val="single" w:sz="4" w:space="0" w:color="221F1F"/>
              <w:left w:val="nil"/>
              <w:bottom w:val="single" w:sz="4" w:space="0" w:color="221F1F"/>
              <w:right w:val="nil"/>
            </w:tcBorders>
          </w:tcPr>
          <w:p w14:paraId="4437021B" w14:textId="77777777" w:rsidR="00CF7124" w:rsidRDefault="001578E5">
            <w:pPr>
              <w:spacing w:after="0" w:line="259" w:lineRule="auto"/>
              <w:ind w:firstLine="0"/>
            </w:pPr>
            <w:r>
              <w:rPr>
                <w:sz w:val="16"/>
              </w:rPr>
              <w:t>Micro</w:t>
            </w:r>
          </w:p>
        </w:tc>
      </w:tr>
      <w:tr w:rsidR="00CF7124" w14:paraId="6C11525F" w14:textId="77777777">
        <w:trPr>
          <w:trHeight w:val="266"/>
        </w:trPr>
        <w:tc>
          <w:tcPr>
            <w:tcW w:w="3860" w:type="dxa"/>
            <w:gridSpan w:val="2"/>
            <w:tcBorders>
              <w:top w:val="single" w:sz="4" w:space="0" w:color="221F1F"/>
              <w:left w:val="nil"/>
              <w:bottom w:val="nil"/>
              <w:right w:val="nil"/>
            </w:tcBorders>
          </w:tcPr>
          <w:p w14:paraId="1C19B32B" w14:textId="77777777" w:rsidR="00CF7124" w:rsidRDefault="001578E5">
            <w:pPr>
              <w:spacing w:after="0" w:line="259" w:lineRule="auto"/>
              <w:ind w:firstLine="0"/>
              <w:jc w:val="left"/>
            </w:pPr>
            <w:r>
              <w:rPr>
                <w:sz w:val="16"/>
              </w:rPr>
              <w:t>Community 1</w:t>
            </w:r>
          </w:p>
        </w:tc>
        <w:tc>
          <w:tcPr>
            <w:tcW w:w="2483" w:type="dxa"/>
            <w:gridSpan w:val="2"/>
            <w:tcBorders>
              <w:top w:val="single" w:sz="4" w:space="0" w:color="221F1F"/>
              <w:left w:val="nil"/>
              <w:bottom w:val="nil"/>
              <w:right w:val="nil"/>
            </w:tcBorders>
          </w:tcPr>
          <w:p w14:paraId="20FB3EAE" w14:textId="77777777" w:rsidR="00CF7124" w:rsidRDefault="001578E5">
            <w:pPr>
              <w:spacing w:after="0" w:line="259" w:lineRule="auto"/>
              <w:ind w:left="-27" w:firstLine="0"/>
              <w:jc w:val="left"/>
            </w:pPr>
            <w:r>
              <w:rPr>
                <w:sz w:val="16"/>
              </w:rPr>
              <w:t>24.6</w:t>
            </w:r>
          </w:p>
        </w:tc>
        <w:tc>
          <w:tcPr>
            <w:tcW w:w="2598" w:type="dxa"/>
            <w:gridSpan w:val="4"/>
            <w:tcBorders>
              <w:top w:val="single" w:sz="4" w:space="0" w:color="221F1F"/>
              <w:left w:val="nil"/>
              <w:bottom w:val="nil"/>
              <w:right w:val="nil"/>
            </w:tcBorders>
          </w:tcPr>
          <w:p w14:paraId="61A06CAE" w14:textId="77777777" w:rsidR="00CF7124" w:rsidRDefault="001578E5">
            <w:pPr>
              <w:spacing w:after="0" w:line="259" w:lineRule="auto"/>
              <w:ind w:left="5" w:firstLine="0"/>
              <w:jc w:val="left"/>
            </w:pPr>
            <w:r>
              <w:rPr>
                <w:sz w:val="16"/>
              </w:rPr>
              <w:t>11.2</w:t>
            </w:r>
          </w:p>
        </w:tc>
        <w:tc>
          <w:tcPr>
            <w:tcW w:w="384" w:type="dxa"/>
            <w:tcBorders>
              <w:top w:val="single" w:sz="4" w:space="0" w:color="221F1F"/>
              <w:left w:val="nil"/>
              <w:bottom w:val="nil"/>
              <w:right w:val="nil"/>
            </w:tcBorders>
          </w:tcPr>
          <w:p w14:paraId="62763663" w14:textId="77777777" w:rsidR="00CF7124" w:rsidRDefault="001578E5">
            <w:pPr>
              <w:spacing w:after="0" w:line="259" w:lineRule="auto"/>
              <w:ind w:firstLine="0"/>
              <w:jc w:val="left"/>
            </w:pPr>
            <w:r>
              <w:rPr>
                <w:sz w:val="16"/>
              </w:rPr>
              <w:t>15.1</w:t>
            </w:r>
          </w:p>
        </w:tc>
      </w:tr>
      <w:tr w:rsidR="00CF7124" w14:paraId="0078F01B" w14:textId="77777777">
        <w:trPr>
          <w:trHeight w:val="199"/>
        </w:trPr>
        <w:tc>
          <w:tcPr>
            <w:tcW w:w="3860" w:type="dxa"/>
            <w:gridSpan w:val="2"/>
            <w:tcBorders>
              <w:top w:val="nil"/>
              <w:left w:val="nil"/>
              <w:bottom w:val="nil"/>
              <w:right w:val="nil"/>
            </w:tcBorders>
          </w:tcPr>
          <w:p w14:paraId="6F92019E" w14:textId="77777777" w:rsidR="00CF7124" w:rsidRDefault="001578E5">
            <w:pPr>
              <w:spacing w:after="0" w:line="259" w:lineRule="auto"/>
              <w:ind w:firstLine="0"/>
              <w:jc w:val="left"/>
            </w:pPr>
            <w:r>
              <w:rPr>
                <w:sz w:val="16"/>
              </w:rPr>
              <w:t>Community 2</w:t>
            </w:r>
          </w:p>
        </w:tc>
        <w:tc>
          <w:tcPr>
            <w:tcW w:w="2483" w:type="dxa"/>
            <w:gridSpan w:val="2"/>
            <w:tcBorders>
              <w:top w:val="nil"/>
              <w:left w:val="nil"/>
              <w:bottom w:val="nil"/>
              <w:right w:val="nil"/>
            </w:tcBorders>
          </w:tcPr>
          <w:p w14:paraId="4F54F505" w14:textId="77777777" w:rsidR="00CF7124" w:rsidRDefault="001578E5">
            <w:pPr>
              <w:spacing w:after="0" w:line="259" w:lineRule="auto"/>
              <w:ind w:left="-27" w:firstLine="0"/>
              <w:jc w:val="left"/>
            </w:pPr>
            <w:r>
              <w:rPr>
                <w:sz w:val="16"/>
              </w:rPr>
              <w:t>31.5</w:t>
            </w:r>
          </w:p>
        </w:tc>
        <w:tc>
          <w:tcPr>
            <w:tcW w:w="2598" w:type="dxa"/>
            <w:gridSpan w:val="4"/>
            <w:tcBorders>
              <w:top w:val="nil"/>
              <w:left w:val="nil"/>
              <w:bottom w:val="nil"/>
              <w:right w:val="nil"/>
            </w:tcBorders>
          </w:tcPr>
          <w:p w14:paraId="0948ACF1" w14:textId="77777777" w:rsidR="00CF7124" w:rsidRDefault="001578E5">
            <w:pPr>
              <w:spacing w:after="0" w:line="259" w:lineRule="auto"/>
              <w:ind w:firstLine="0"/>
              <w:jc w:val="left"/>
            </w:pPr>
            <w:r>
              <w:rPr>
                <w:sz w:val="16"/>
              </w:rPr>
              <w:t>18.3</w:t>
            </w:r>
          </w:p>
        </w:tc>
        <w:tc>
          <w:tcPr>
            <w:tcW w:w="384" w:type="dxa"/>
            <w:tcBorders>
              <w:top w:val="nil"/>
              <w:left w:val="nil"/>
              <w:bottom w:val="nil"/>
              <w:right w:val="nil"/>
            </w:tcBorders>
          </w:tcPr>
          <w:p w14:paraId="441F5126" w14:textId="77777777" w:rsidR="00CF7124" w:rsidRDefault="001578E5">
            <w:pPr>
              <w:spacing w:after="0" w:line="259" w:lineRule="auto"/>
              <w:ind w:firstLine="0"/>
              <w:jc w:val="left"/>
            </w:pPr>
            <w:r>
              <w:rPr>
                <w:sz w:val="16"/>
              </w:rPr>
              <w:t>16.1</w:t>
            </w:r>
          </w:p>
        </w:tc>
      </w:tr>
      <w:tr w:rsidR="00CF7124" w14:paraId="33A4CFB2" w14:textId="77777777">
        <w:trPr>
          <w:trHeight w:val="199"/>
        </w:trPr>
        <w:tc>
          <w:tcPr>
            <w:tcW w:w="3860" w:type="dxa"/>
            <w:gridSpan w:val="2"/>
            <w:tcBorders>
              <w:top w:val="nil"/>
              <w:left w:val="nil"/>
              <w:bottom w:val="nil"/>
              <w:right w:val="nil"/>
            </w:tcBorders>
          </w:tcPr>
          <w:p w14:paraId="3A9FF25B" w14:textId="77777777" w:rsidR="00CF7124" w:rsidRDefault="001578E5">
            <w:pPr>
              <w:spacing w:after="0" w:line="259" w:lineRule="auto"/>
              <w:ind w:firstLine="0"/>
              <w:jc w:val="left"/>
            </w:pPr>
            <w:r>
              <w:rPr>
                <w:sz w:val="16"/>
              </w:rPr>
              <w:t>Community 3</w:t>
            </w:r>
          </w:p>
        </w:tc>
        <w:tc>
          <w:tcPr>
            <w:tcW w:w="2483" w:type="dxa"/>
            <w:gridSpan w:val="2"/>
            <w:tcBorders>
              <w:top w:val="nil"/>
              <w:left w:val="nil"/>
              <w:bottom w:val="nil"/>
              <w:right w:val="nil"/>
            </w:tcBorders>
          </w:tcPr>
          <w:p w14:paraId="25216FE4" w14:textId="77777777" w:rsidR="00CF7124" w:rsidRDefault="001578E5">
            <w:pPr>
              <w:spacing w:after="0" w:line="259" w:lineRule="auto"/>
              <w:ind w:left="-27" w:firstLine="0"/>
              <w:jc w:val="left"/>
            </w:pPr>
            <w:r>
              <w:rPr>
                <w:sz w:val="16"/>
              </w:rPr>
              <w:t>26.8</w:t>
            </w:r>
          </w:p>
        </w:tc>
        <w:tc>
          <w:tcPr>
            <w:tcW w:w="2598" w:type="dxa"/>
            <w:gridSpan w:val="4"/>
            <w:tcBorders>
              <w:top w:val="nil"/>
              <w:left w:val="nil"/>
              <w:bottom w:val="nil"/>
              <w:right w:val="nil"/>
            </w:tcBorders>
          </w:tcPr>
          <w:p w14:paraId="0ECE532D" w14:textId="77777777" w:rsidR="00CF7124" w:rsidRDefault="001578E5">
            <w:pPr>
              <w:spacing w:after="0" w:line="259" w:lineRule="auto"/>
              <w:ind w:firstLine="0"/>
              <w:jc w:val="left"/>
            </w:pPr>
            <w:r>
              <w:rPr>
                <w:sz w:val="16"/>
              </w:rPr>
              <w:t>17.5</w:t>
            </w:r>
          </w:p>
        </w:tc>
        <w:tc>
          <w:tcPr>
            <w:tcW w:w="384" w:type="dxa"/>
            <w:tcBorders>
              <w:top w:val="nil"/>
              <w:left w:val="nil"/>
              <w:bottom w:val="nil"/>
              <w:right w:val="nil"/>
            </w:tcBorders>
          </w:tcPr>
          <w:p w14:paraId="1C59948E" w14:textId="77777777" w:rsidR="00CF7124" w:rsidRDefault="001578E5">
            <w:pPr>
              <w:spacing w:after="0" w:line="259" w:lineRule="auto"/>
              <w:ind w:left="5" w:firstLine="0"/>
              <w:jc w:val="left"/>
            </w:pPr>
            <w:r>
              <w:rPr>
                <w:sz w:val="16"/>
              </w:rPr>
              <w:t>11.2</w:t>
            </w:r>
          </w:p>
        </w:tc>
      </w:tr>
      <w:tr w:rsidR="00CF7124" w14:paraId="5EBEA78C" w14:textId="77777777">
        <w:trPr>
          <w:trHeight w:val="200"/>
        </w:trPr>
        <w:tc>
          <w:tcPr>
            <w:tcW w:w="3860" w:type="dxa"/>
            <w:gridSpan w:val="2"/>
            <w:tcBorders>
              <w:top w:val="nil"/>
              <w:left w:val="nil"/>
              <w:bottom w:val="nil"/>
              <w:right w:val="nil"/>
            </w:tcBorders>
          </w:tcPr>
          <w:p w14:paraId="54C0BDC6" w14:textId="77777777" w:rsidR="00CF7124" w:rsidRDefault="001578E5">
            <w:pPr>
              <w:spacing w:after="0" w:line="259" w:lineRule="auto"/>
              <w:ind w:firstLine="0"/>
              <w:jc w:val="left"/>
            </w:pPr>
            <w:r>
              <w:rPr>
                <w:sz w:val="16"/>
              </w:rPr>
              <w:t>Community 4</w:t>
            </w:r>
          </w:p>
        </w:tc>
        <w:tc>
          <w:tcPr>
            <w:tcW w:w="2483" w:type="dxa"/>
            <w:gridSpan w:val="2"/>
            <w:tcBorders>
              <w:top w:val="nil"/>
              <w:left w:val="nil"/>
              <w:bottom w:val="nil"/>
              <w:right w:val="nil"/>
            </w:tcBorders>
          </w:tcPr>
          <w:p w14:paraId="013D342B" w14:textId="77777777" w:rsidR="00CF7124" w:rsidRDefault="001578E5">
            <w:pPr>
              <w:spacing w:after="0" w:line="259" w:lineRule="auto"/>
              <w:ind w:left="-27" w:firstLine="0"/>
              <w:jc w:val="left"/>
            </w:pPr>
            <w:r>
              <w:rPr>
                <w:sz w:val="16"/>
              </w:rPr>
              <w:t>19.2</w:t>
            </w:r>
          </w:p>
        </w:tc>
        <w:tc>
          <w:tcPr>
            <w:tcW w:w="2598" w:type="dxa"/>
            <w:gridSpan w:val="4"/>
            <w:tcBorders>
              <w:top w:val="nil"/>
              <w:left w:val="nil"/>
              <w:bottom w:val="nil"/>
              <w:right w:val="nil"/>
            </w:tcBorders>
          </w:tcPr>
          <w:p w14:paraId="240703EE" w14:textId="77777777" w:rsidR="00CF7124" w:rsidRDefault="001578E5">
            <w:pPr>
              <w:spacing w:after="0" w:line="259" w:lineRule="auto"/>
              <w:ind w:left="5" w:firstLine="0"/>
              <w:jc w:val="left"/>
            </w:pPr>
            <w:r>
              <w:rPr>
                <w:sz w:val="16"/>
              </w:rPr>
              <w:t>11.8</w:t>
            </w:r>
          </w:p>
        </w:tc>
        <w:tc>
          <w:tcPr>
            <w:tcW w:w="384" w:type="dxa"/>
            <w:tcBorders>
              <w:top w:val="nil"/>
              <w:left w:val="nil"/>
              <w:bottom w:val="nil"/>
              <w:right w:val="nil"/>
            </w:tcBorders>
          </w:tcPr>
          <w:p w14:paraId="3C2E7EAE" w14:textId="77777777" w:rsidR="00CF7124" w:rsidRDefault="001578E5">
            <w:pPr>
              <w:spacing w:after="0" w:line="259" w:lineRule="auto"/>
              <w:ind w:left="79" w:firstLine="0"/>
              <w:jc w:val="left"/>
            </w:pPr>
            <w:r>
              <w:rPr>
                <w:sz w:val="16"/>
              </w:rPr>
              <w:t>9.8</w:t>
            </w:r>
          </w:p>
        </w:tc>
      </w:tr>
      <w:tr w:rsidR="00CF7124" w14:paraId="3299BA38" w14:textId="77777777">
        <w:trPr>
          <w:trHeight w:val="199"/>
        </w:trPr>
        <w:tc>
          <w:tcPr>
            <w:tcW w:w="3860" w:type="dxa"/>
            <w:gridSpan w:val="2"/>
            <w:tcBorders>
              <w:top w:val="nil"/>
              <w:left w:val="nil"/>
              <w:bottom w:val="nil"/>
              <w:right w:val="nil"/>
            </w:tcBorders>
          </w:tcPr>
          <w:p w14:paraId="532E8F35" w14:textId="77777777" w:rsidR="00CF7124" w:rsidRDefault="001578E5">
            <w:pPr>
              <w:spacing w:after="0" w:line="259" w:lineRule="auto"/>
              <w:ind w:firstLine="0"/>
              <w:jc w:val="left"/>
            </w:pPr>
            <w:r>
              <w:rPr>
                <w:sz w:val="16"/>
              </w:rPr>
              <w:t>Subtidal sediments</w:t>
            </w:r>
          </w:p>
        </w:tc>
        <w:tc>
          <w:tcPr>
            <w:tcW w:w="2483" w:type="dxa"/>
            <w:gridSpan w:val="2"/>
            <w:tcBorders>
              <w:top w:val="nil"/>
              <w:left w:val="nil"/>
              <w:bottom w:val="nil"/>
              <w:right w:val="nil"/>
            </w:tcBorders>
          </w:tcPr>
          <w:p w14:paraId="3C38CCEE" w14:textId="77777777" w:rsidR="00CF7124" w:rsidRDefault="001578E5">
            <w:pPr>
              <w:spacing w:after="0" w:line="259" w:lineRule="auto"/>
              <w:ind w:left="53" w:firstLine="0"/>
              <w:jc w:val="left"/>
            </w:pPr>
            <w:r>
              <w:rPr>
                <w:sz w:val="16"/>
              </w:rPr>
              <w:t>5</w:t>
            </w:r>
          </w:p>
        </w:tc>
        <w:tc>
          <w:tcPr>
            <w:tcW w:w="2598" w:type="dxa"/>
            <w:gridSpan w:val="4"/>
            <w:tcBorders>
              <w:top w:val="nil"/>
              <w:left w:val="nil"/>
              <w:bottom w:val="nil"/>
              <w:right w:val="nil"/>
            </w:tcBorders>
          </w:tcPr>
          <w:p w14:paraId="6A1A96C8" w14:textId="77777777" w:rsidR="00CF7124" w:rsidRDefault="001578E5">
            <w:pPr>
              <w:spacing w:after="0" w:line="259" w:lineRule="auto"/>
              <w:ind w:left="79" w:firstLine="0"/>
              <w:jc w:val="left"/>
            </w:pPr>
            <w:r>
              <w:rPr>
                <w:sz w:val="16"/>
              </w:rPr>
              <w:t>0</w:t>
            </w:r>
          </w:p>
        </w:tc>
        <w:tc>
          <w:tcPr>
            <w:tcW w:w="384" w:type="dxa"/>
            <w:tcBorders>
              <w:top w:val="nil"/>
              <w:left w:val="nil"/>
              <w:bottom w:val="nil"/>
              <w:right w:val="nil"/>
            </w:tcBorders>
          </w:tcPr>
          <w:p w14:paraId="19176C12" w14:textId="77777777" w:rsidR="00CF7124" w:rsidRDefault="001578E5">
            <w:pPr>
              <w:spacing w:after="0" w:line="259" w:lineRule="auto"/>
              <w:ind w:left="79" w:firstLine="0"/>
              <w:jc w:val="left"/>
            </w:pPr>
            <w:r>
              <w:rPr>
                <w:sz w:val="16"/>
              </w:rPr>
              <w:t>5</w:t>
            </w:r>
          </w:p>
        </w:tc>
      </w:tr>
      <w:tr w:rsidR="00CF7124" w14:paraId="04504D7E" w14:textId="77777777">
        <w:trPr>
          <w:trHeight w:val="213"/>
        </w:trPr>
        <w:tc>
          <w:tcPr>
            <w:tcW w:w="3860" w:type="dxa"/>
            <w:gridSpan w:val="2"/>
            <w:tcBorders>
              <w:top w:val="nil"/>
              <w:left w:val="nil"/>
              <w:bottom w:val="single" w:sz="4" w:space="0" w:color="221F1F"/>
              <w:right w:val="nil"/>
            </w:tcBorders>
          </w:tcPr>
          <w:p w14:paraId="4E89BB5A" w14:textId="77777777" w:rsidR="00CF7124" w:rsidRDefault="001578E5">
            <w:pPr>
              <w:spacing w:after="0" w:line="259" w:lineRule="auto"/>
              <w:ind w:firstLine="0"/>
              <w:jc w:val="left"/>
            </w:pPr>
            <w:r>
              <w:rPr>
                <w:sz w:val="16"/>
              </w:rPr>
              <w:t>Inter-supratidal sediments</w:t>
            </w:r>
          </w:p>
        </w:tc>
        <w:tc>
          <w:tcPr>
            <w:tcW w:w="2483" w:type="dxa"/>
            <w:gridSpan w:val="2"/>
            <w:tcBorders>
              <w:top w:val="nil"/>
              <w:left w:val="nil"/>
              <w:bottom w:val="single" w:sz="4" w:space="0" w:color="221F1F"/>
              <w:right w:val="nil"/>
            </w:tcBorders>
          </w:tcPr>
          <w:p w14:paraId="14E550B4" w14:textId="77777777" w:rsidR="00CF7124" w:rsidRDefault="001578E5">
            <w:pPr>
              <w:spacing w:after="0" w:line="259" w:lineRule="auto"/>
              <w:ind w:left="53" w:firstLine="0"/>
              <w:jc w:val="left"/>
            </w:pPr>
            <w:r>
              <w:rPr>
                <w:sz w:val="16"/>
              </w:rPr>
              <w:t>1</w:t>
            </w:r>
          </w:p>
        </w:tc>
        <w:tc>
          <w:tcPr>
            <w:tcW w:w="2598" w:type="dxa"/>
            <w:gridSpan w:val="4"/>
            <w:tcBorders>
              <w:top w:val="nil"/>
              <w:left w:val="nil"/>
              <w:bottom w:val="single" w:sz="4" w:space="0" w:color="221F1F"/>
              <w:right w:val="nil"/>
            </w:tcBorders>
          </w:tcPr>
          <w:p w14:paraId="3C55B72C" w14:textId="77777777" w:rsidR="00CF7124" w:rsidRDefault="001578E5">
            <w:pPr>
              <w:spacing w:after="0" w:line="259" w:lineRule="auto"/>
              <w:ind w:left="79" w:firstLine="0"/>
              <w:jc w:val="left"/>
            </w:pPr>
            <w:r>
              <w:rPr>
                <w:sz w:val="16"/>
              </w:rPr>
              <w:t>0</w:t>
            </w:r>
          </w:p>
        </w:tc>
        <w:tc>
          <w:tcPr>
            <w:tcW w:w="384" w:type="dxa"/>
            <w:tcBorders>
              <w:top w:val="nil"/>
              <w:left w:val="nil"/>
              <w:bottom w:val="single" w:sz="4" w:space="0" w:color="221F1F"/>
              <w:right w:val="nil"/>
            </w:tcBorders>
          </w:tcPr>
          <w:p w14:paraId="3F60EC26" w14:textId="77777777" w:rsidR="00CF7124" w:rsidRDefault="001578E5">
            <w:pPr>
              <w:spacing w:after="0" w:line="259" w:lineRule="auto"/>
              <w:ind w:left="79" w:firstLine="0"/>
              <w:jc w:val="left"/>
            </w:pPr>
            <w:r>
              <w:rPr>
                <w:sz w:val="16"/>
              </w:rPr>
              <w:t>1</w:t>
            </w:r>
          </w:p>
        </w:tc>
      </w:tr>
    </w:tbl>
    <w:p w14:paraId="17B98C87" w14:textId="77777777" w:rsidR="00CF7124" w:rsidRDefault="001578E5">
      <w:pPr>
        <w:spacing w:after="234" w:line="254" w:lineRule="auto"/>
        <w:ind w:left="-5" w:hanging="10"/>
        <w:jc w:val="left"/>
      </w:pPr>
      <w:r>
        <w:t>4.1. The skeletal contribution of rudists to depositional facies</w:t>
      </w:r>
    </w:p>
    <w:p w14:paraId="4450E1E5" w14:textId="77777777" w:rsidR="00CF7124" w:rsidRDefault="001578E5">
      <w:pPr>
        <w:ind w:left="-15" w:right="86"/>
      </w:pPr>
      <w:r>
        <w:t xml:space="preserve">Rudist beds and their corresponding communities include both macroskeletal elements, </w:t>
      </w:r>
      <w:proofErr w:type="gramStart"/>
      <w:r>
        <w:t>i.e.</w:t>
      </w:r>
      <w:proofErr w:type="gramEnd"/>
      <w:r>
        <w:t xml:space="preserve"> whole shells or large fragments investigated after field photographs and quantified by image analysis</w:t>
      </w:r>
      <w:r>
        <w:t xml:space="preserve"> (by OPTILAB software), and microskeletal rudist derived components quantified by point counting on thin sections. Aside rudist fragments the sandy fraction of the sedimentary matrix is dominated by peloids, foraminifera (mainly miliolids) being subordinat</w:t>
      </w:r>
      <w:r>
        <w:t>e. The integration of estimates obtained from these two scales provides the total skeletal contribution for each rudist community type (</w:t>
      </w:r>
      <w:r>
        <w:rPr>
          <w:color w:val="2D3092"/>
        </w:rPr>
        <w:t>Fenerci-Masse et al., 2004</w:t>
      </w:r>
      <w:r>
        <w:t>). The same procedure has been applied to rudist-free sediments capping or surrounding rudist-</w:t>
      </w:r>
      <w:r>
        <w:t>rich ones.</w:t>
      </w:r>
    </w:p>
    <w:p w14:paraId="6DF6F9A3" w14:textId="77777777" w:rsidR="00CF7124" w:rsidRDefault="001578E5">
      <w:pPr>
        <w:ind w:left="-15" w:right="88"/>
      </w:pPr>
      <w:r>
        <w:t>Community 2 has the highest record, 31.5%, due to relatively high values for both macro and microskeletal elements, then followed by community 3, 26.8%, the macroskeletal content (17.5%) being higher than the microskeletal one (11.2%) (</w:t>
      </w:r>
      <w:r>
        <w:rPr>
          <w:color w:val="2D3092"/>
        </w:rPr>
        <w:t>Table 4</w:t>
      </w:r>
      <w:r>
        <w:t>).</w:t>
      </w:r>
      <w:r>
        <w:t xml:space="preserve"> Communities 1 and 4 possess similar values for macroskeletal contents (11.2 versus 11.8%) whereas they differ in their microskeletal values (15.1 versus 8.4%), therefore the total skeletal contents are different (24.6 instead of 19.2%, respectively).</w:t>
      </w:r>
    </w:p>
    <w:p w14:paraId="36D3CE30" w14:textId="77777777" w:rsidR="00CF7124" w:rsidRDefault="001578E5">
      <w:pPr>
        <w:spacing w:after="230"/>
        <w:ind w:left="-15" w:right="88"/>
      </w:pPr>
      <w:r>
        <w:t>In t</w:t>
      </w:r>
      <w:r>
        <w:t>he sediments adjacent to rudist communities the shell material derived from these bivalves is essentially represented by microskeletal components. In inter- to supratidal sediments this category is usually less than 1%, whereas significant amounts, 4–5%, a</w:t>
      </w:r>
      <w:r>
        <w:t>re found in the subtidal ones.</w:t>
      </w:r>
    </w:p>
    <w:p w14:paraId="7699D788" w14:textId="77777777" w:rsidR="00CF7124" w:rsidRDefault="001578E5">
      <w:pPr>
        <w:spacing w:after="234" w:line="254" w:lineRule="auto"/>
        <w:ind w:left="-5" w:hanging="10"/>
        <w:jc w:val="left"/>
      </w:pPr>
      <w:r>
        <w:t>4.2. The skeletal contribution of rudists in stratigraphic successions</w:t>
      </w:r>
    </w:p>
    <w:p w14:paraId="06EE8348" w14:textId="77777777" w:rsidR="00CF7124" w:rsidRDefault="001578E5">
      <w:pPr>
        <w:spacing w:after="206"/>
        <w:ind w:left="-15" w:right="88"/>
      </w:pPr>
      <w:r>
        <w:t>For a given stratigraphic section, estimates of the skeletal contribution are based on: the cumulative thickness of rudist-rich beds referred to community</w:t>
      </w:r>
      <w:r>
        <w:t xml:space="preserve"> types, and rudist-free beds referred to subtidal and inter- to supratidal sediments, the skeletal contribution for each facies type, and total thickness, by using</w:t>
      </w:r>
    </w:p>
    <w:p w14:paraId="072F12D6" w14:textId="77777777" w:rsidR="00CF7124" w:rsidRDefault="001578E5">
      <w:pPr>
        <w:ind w:left="511" w:firstLine="0"/>
      </w:pPr>
      <w:r>
        <w:t>X</w:t>
      </w:r>
      <w:r>
        <w:rPr>
          <w:vertAlign w:val="superscript"/>
        </w:rPr>
        <w:t xml:space="preserve">6 </w:t>
      </w:r>
      <w:r>
        <w:rPr>
          <w:rFonts w:ascii="Calibri" w:eastAsia="Calibri" w:hAnsi="Calibri" w:cs="Calibri"/>
        </w:rPr>
        <w:t>½</w:t>
      </w:r>
      <w:r>
        <w:t xml:space="preserve">Cumulative </w:t>
      </w:r>
      <w:proofErr w:type="gramStart"/>
      <w:r>
        <w:t xml:space="preserve">thickness </w:t>
      </w:r>
      <w:r>
        <w:rPr>
          <w:rFonts w:ascii="Calibri" w:eastAsia="Calibri" w:hAnsi="Calibri" w:cs="Calibri"/>
        </w:rPr>
        <w:t xml:space="preserve"> </w:t>
      </w:r>
      <w:r>
        <w:t>skeletal</w:t>
      </w:r>
      <w:proofErr w:type="gramEnd"/>
      <w:r>
        <w:t xml:space="preserve"> contribution of rudist</w:t>
      </w:r>
    </w:p>
    <w:p w14:paraId="33F25FA1" w14:textId="77777777" w:rsidR="00CF7124" w:rsidRDefault="001578E5">
      <w:pPr>
        <w:tabs>
          <w:tab w:val="center" w:pos="4668"/>
          <w:tab w:val="right" w:pos="9412"/>
        </w:tabs>
        <w:spacing w:after="0" w:line="259" w:lineRule="auto"/>
        <w:ind w:firstLine="0"/>
        <w:jc w:val="left"/>
      </w:pPr>
      <w:r>
        <w:rPr>
          <w:rFonts w:ascii="Calibri" w:eastAsia="Calibri" w:hAnsi="Calibri" w:cs="Calibri"/>
          <w:color w:val="000000"/>
          <w:sz w:val="22"/>
        </w:rPr>
        <w:tab/>
      </w:r>
      <w:r>
        <w:rPr>
          <w:rFonts w:ascii="Calibri" w:eastAsia="Calibri" w:hAnsi="Calibri" w:cs="Calibri"/>
          <w:noProof/>
          <w:color w:val="000000"/>
          <w:sz w:val="22"/>
        </w:rPr>
        <mc:AlternateContent>
          <mc:Choice Requires="wpg">
            <w:drawing>
              <wp:inline distT="0" distB="0" distL="0" distR="0" wp14:anchorId="2CA465A4" wp14:editId="39DC070A">
                <wp:extent cx="2954160" cy="5040"/>
                <wp:effectExtent l="0" t="0" r="0" b="0"/>
                <wp:docPr id="29801" name="Group 29801"/>
                <wp:cNvGraphicFramePr/>
                <a:graphic xmlns:a="http://schemas.openxmlformats.org/drawingml/2006/main">
                  <a:graphicData uri="http://schemas.microsoft.com/office/word/2010/wordprocessingGroup">
                    <wpg:wgp>
                      <wpg:cNvGrpSpPr/>
                      <wpg:grpSpPr>
                        <a:xfrm>
                          <a:off x="0" y="0"/>
                          <a:ext cx="2954160" cy="5040"/>
                          <a:chOff x="0" y="0"/>
                          <a:chExt cx="2954160" cy="5040"/>
                        </a:xfrm>
                      </wpg:grpSpPr>
                      <wps:wsp>
                        <wps:cNvPr id="40578" name="Shape 40578"/>
                        <wps:cNvSpPr/>
                        <wps:spPr>
                          <a:xfrm>
                            <a:off x="0" y="0"/>
                            <a:ext cx="2954160" cy="9144"/>
                          </a:xfrm>
                          <a:custGeom>
                            <a:avLst/>
                            <a:gdLst/>
                            <a:ahLst/>
                            <a:cxnLst/>
                            <a:rect l="0" t="0" r="0" b="0"/>
                            <a:pathLst>
                              <a:path w="2954160" h="9144">
                                <a:moveTo>
                                  <a:pt x="0" y="0"/>
                                </a:moveTo>
                                <a:lnTo>
                                  <a:pt x="2954160" y="0"/>
                                </a:lnTo>
                                <a:lnTo>
                                  <a:pt x="2954160" y="9144"/>
                                </a:lnTo>
                                <a:lnTo>
                                  <a:pt x="0" y="9144"/>
                                </a:lnTo>
                                <a:lnTo>
                                  <a:pt x="0" y="0"/>
                                </a:lnTo>
                              </a:path>
                            </a:pathLst>
                          </a:custGeom>
                          <a:ln w="0" cap="flat">
                            <a:miter lim="127000"/>
                          </a:ln>
                        </wps:spPr>
                        <wps:style>
                          <a:lnRef idx="0">
                            <a:srgbClr val="000000">
                              <a:alpha val="0"/>
                            </a:srgbClr>
                          </a:lnRef>
                          <a:fillRef idx="1">
                            <a:srgbClr val="221F1F"/>
                          </a:fillRef>
                          <a:effectRef idx="0">
                            <a:scrgbClr r="0" g="0" b="0"/>
                          </a:effectRef>
                          <a:fontRef idx="none"/>
                        </wps:style>
                        <wps:bodyPr/>
                      </wps:wsp>
                    </wpg:wgp>
                  </a:graphicData>
                </a:graphic>
              </wp:inline>
            </w:drawing>
          </mc:Choice>
          <mc:Fallback xmlns:a="http://schemas.openxmlformats.org/drawingml/2006/main">
            <w:pict>
              <v:group id="Group 29801" style="width:232.611pt;height:0.396851pt;mso-position-horizontal-relative:char;mso-position-vertical-relative:line" coordsize="29541,50">
                <v:shape id="Shape 40579" style="position:absolute;width:29541;height:91;left:0;top:0;" coordsize="2954160,9144" path="m0,0l2954160,0l2954160,9144l0,9144l0,0">
                  <v:stroke weight="0pt" endcap="flat" joinstyle="miter" miterlimit="10" on="false" color="#000000" opacity="0"/>
                  <v:fill on="true" color="#221f1f"/>
                </v:shape>
              </v:group>
            </w:pict>
          </mc:Fallback>
        </mc:AlternateContent>
      </w:r>
      <w:r>
        <w:rPr>
          <w:rFonts w:ascii="Calibri" w:eastAsia="Calibri" w:hAnsi="Calibri" w:cs="Calibri"/>
        </w:rPr>
        <w:t xml:space="preserve"> ¼ </w:t>
      </w:r>
      <w:r>
        <w:t>Stratigraphic skeletal contribution</w:t>
      </w:r>
      <w:r>
        <w:tab/>
      </w:r>
      <w:r>
        <w:rPr>
          <w:rFonts w:ascii="Calibri" w:eastAsia="Calibri" w:hAnsi="Calibri" w:cs="Calibri"/>
        </w:rPr>
        <w:t>ð</w:t>
      </w:r>
      <w:r>
        <w:t>1</w:t>
      </w:r>
      <w:r>
        <w:rPr>
          <w:rFonts w:ascii="Calibri" w:eastAsia="Calibri" w:hAnsi="Calibri" w:cs="Calibri"/>
        </w:rPr>
        <w:t>Þ</w:t>
      </w:r>
    </w:p>
    <w:p w14:paraId="744B6CB1" w14:textId="77777777" w:rsidR="00CF7124" w:rsidRDefault="001578E5">
      <w:pPr>
        <w:ind w:left="2547" w:firstLine="0"/>
      </w:pPr>
      <w:r>
        <w:t>Total thickness</w:t>
      </w:r>
    </w:p>
    <w:p w14:paraId="0C95ADE7" w14:textId="77777777" w:rsidR="00CF7124" w:rsidRDefault="001578E5">
      <w:pPr>
        <w:spacing w:after="171" w:line="264" w:lineRule="auto"/>
        <w:ind w:left="541" w:hanging="10"/>
        <w:jc w:val="left"/>
      </w:pPr>
      <w:r>
        <w:rPr>
          <w:sz w:val="14"/>
        </w:rPr>
        <w:t>i</w:t>
      </w:r>
      <w:r>
        <w:rPr>
          <w:rFonts w:ascii="Calibri" w:eastAsia="Calibri" w:hAnsi="Calibri" w:cs="Calibri"/>
          <w:sz w:val="14"/>
        </w:rPr>
        <w:t>¼</w:t>
      </w:r>
      <w:r>
        <w:rPr>
          <w:sz w:val="14"/>
        </w:rPr>
        <w:t>1</w:t>
      </w:r>
    </w:p>
    <w:p w14:paraId="653D2419" w14:textId="77777777" w:rsidR="00CF7124" w:rsidRDefault="001578E5">
      <w:pPr>
        <w:ind w:left="-15" w:firstLine="0"/>
      </w:pPr>
      <w:r>
        <w:t>i</w:t>
      </w:r>
      <w:r>
        <w:t xml:space="preserve">=1; community 1, </w:t>
      </w:r>
      <w:r>
        <w:t>i</w:t>
      </w:r>
      <w:r>
        <w:t xml:space="preserve">=2; community 2, </w:t>
      </w:r>
      <w:r>
        <w:t>i</w:t>
      </w:r>
      <w:r>
        <w:t xml:space="preserve">=3; community 3, </w:t>
      </w:r>
      <w:r>
        <w:t>i</w:t>
      </w:r>
      <w:r>
        <w:t xml:space="preserve">=4; community 4, </w:t>
      </w:r>
      <w:r>
        <w:t>i</w:t>
      </w:r>
      <w:r>
        <w:t xml:space="preserve">=5; subtidal sediments, </w:t>
      </w:r>
      <w:r>
        <w:t>i</w:t>
      </w:r>
      <w:r>
        <w:t>=6; intersupratidal sediments.</w:t>
      </w:r>
    </w:p>
    <w:p w14:paraId="759EC139" w14:textId="77777777" w:rsidR="00CF7124" w:rsidRDefault="001578E5">
      <w:pPr>
        <w:spacing w:after="227"/>
        <w:ind w:left="-15" w:right="87"/>
      </w:pPr>
      <w:r>
        <w:t>The skeletal contribution fluctuates from 9.7% (La Bedoule, Le Merlan) to 18.7% (Jas de Laure), in close correspondence with the stratigraphic contribution of rudist beds (</w:t>
      </w:r>
      <w:r>
        <w:rPr>
          <w:color w:val="2D3092"/>
        </w:rPr>
        <w:t>Fig. 9</w:t>
      </w:r>
      <w:r>
        <w:t>). The linear relationship (</w:t>
      </w:r>
      <w:r>
        <w:t>R</w:t>
      </w:r>
      <w:r>
        <w:rPr>
          <w:vertAlign w:val="superscript"/>
        </w:rPr>
        <w:t>2</w:t>
      </w:r>
      <w:r>
        <w:t xml:space="preserve">=0.959, </w:t>
      </w:r>
      <w:r>
        <w:t>p</w:t>
      </w:r>
      <w:r>
        <w:t>=0.001) between the two kinds of estima</w:t>
      </w:r>
      <w:r>
        <w:t>tes gives a clue for predicting the skeletal contribution from the stratigraphic contribution of rudist beds and vice versa.</w:t>
      </w:r>
    </w:p>
    <w:p w14:paraId="6667A85B" w14:textId="77777777" w:rsidR="00CF7124" w:rsidRDefault="001578E5">
      <w:pPr>
        <w:spacing w:after="234" w:line="254" w:lineRule="auto"/>
        <w:ind w:left="-5" w:hanging="10"/>
        <w:jc w:val="left"/>
      </w:pPr>
      <w:r>
        <w:t>4.3. The skeletal contribution of rudists in stratigraphic units</w:t>
      </w:r>
    </w:p>
    <w:p w14:paraId="31B2A69E" w14:textId="77777777" w:rsidR="00CF7124" w:rsidRDefault="001578E5">
      <w:pPr>
        <w:ind w:left="-15"/>
      </w:pPr>
      <w:r>
        <w:t>Rudist beds tend to be laterally continuous over several tens of k</w:t>
      </w:r>
      <w:r>
        <w:t>ilometres whereas rudist bodies, with a distinctive association of community types, have a more limited spatial extent (</w:t>
      </w:r>
      <w:r>
        <w:rPr>
          <w:color w:val="2D3092"/>
        </w:rPr>
        <w:t>Fenerci-Masse et al., 2005</w:t>
      </w:r>
      <w:r>
        <w:t>). Communities 1 and 2</w:t>
      </w:r>
    </w:p>
    <w:p w14:paraId="2DAEC308" w14:textId="77777777" w:rsidR="00CF7124" w:rsidRDefault="001578E5">
      <w:pPr>
        <w:spacing w:after="199" w:line="259" w:lineRule="auto"/>
        <w:ind w:left="2566" w:firstLine="0"/>
        <w:jc w:val="left"/>
      </w:pPr>
      <w:r>
        <w:rPr>
          <w:noProof/>
        </w:rPr>
        <w:lastRenderedPageBreak/>
        <w:drawing>
          <wp:inline distT="0" distB="0" distL="0" distR="0" wp14:anchorId="4906E8E4" wp14:editId="29216000">
            <wp:extent cx="2665302" cy="1800720"/>
            <wp:effectExtent l="0" t="0" r="0" b="0"/>
            <wp:docPr id="798" name="Picture 798"/>
            <wp:cNvGraphicFramePr/>
            <a:graphic xmlns:a="http://schemas.openxmlformats.org/drawingml/2006/main">
              <a:graphicData uri="http://schemas.openxmlformats.org/drawingml/2006/picture">
                <pic:pic xmlns:pic="http://schemas.openxmlformats.org/drawingml/2006/picture">
                  <pic:nvPicPr>
                    <pic:cNvPr id="798" name="Picture 798"/>
                    <pic:cNvPicPr/>
                  </pic:nvPicPr>
                  <pic:blipFill>
                    <a:blip r:embed="rId22"/>
                    <a:stretch>
                      <a:fillRect/>
                    </a:stretch>
                  </pic:blipFill>
                  <pic:spPr>
                    <a:xfrm>
                      <a:off x="0" y="0"/>
                      <a:ext cx="2665302" cy="1800720"/>
                    </a:xfrm>
                    <a:prstGeom prst="rect">
                      <a:avLst/>
                    </a:prstGeom>
                  </pic:spPr>
                </pic:pic>
              </a:graphicData>
            </a:graphic>
          </wp:inline>
        </w:drawing>
      </w:r>
    </w:p>
    <w:p w14:paraId="247CD643" w14:textId="77777777" w:rsidR="00CF7124" w:rsidRDefault="001578E5">
      <w:pPr>
        <w:spacing w:after="360" w:line="265" w:lineRule="auto"/>
        <w:ind w:left="10" w:right="85" w:hanging="10"/>
        <w:jc w:val="center"/>
      </w:pPr>
      <w:r>
        <w:rPr>
          <w:sz w:val="16"/>
        </w:rPr>
        <w:t>Fig. 9. Relationships between the stratigraphic contribution of rudist beds and the s</w:t>
      </w:r>
      <w:r>
        <w:rPr>
          <w:sz w:val="16"/>
        </w:rPr>
        <w:t>keletal contribution.</w:t>
      </w:r>
    </w:p>
    <w:p w14:paraId="64347F56" w14:textId="77777777" w:rsidR="00CF7124" w:rsidRDefault="001578E5">
      <w:pPr>
        <w:spacing w:after="4" w:line="269" w:lineRule="auto"/>
        <w:ind w:left="86" w:firstLine="0"/>
      </w:pPr>
      <w:r>
        <w:rPr>
          <w:sz w:val="16"/>
        </w:rPr>
        <w:t>Table 5</w:t>
      </w:r>
    </w:p>
    <w:p w14:paraId="4D05EC85" w14:textId="77777777" w:rsidR="00CF7124" w:rsidRDefault="001578E5">
      <w:pPr>
        <w:spacing w:after="4" w:line="269" w:lineRule="auto"/>
        <w:ind w:left="86" w:firstLine="0"/>
      </w:pPr>
      <w:r>
        <w:rPr>
          <w:sz w:val="16"/>
        </w:rPr>
        <w:t>Skeletal contribution per module evaluated after: quantitative data for lateral dimensions and spacing of rudist bodies, lateral dimensions of modules, standard bed thickness and the skeletal contribution of rudist community t</w:t>
      </w:r>
      <w:r>
        <w:rPr>
          <w:sz w:val="16"/>
        </w:rPr>
        <w:t>ypes and adjacent rudist-free sediments</w:t>
      </w:r>
    </w:p>
    <w:tbl>
      <w:tblPr>
        <w:tblStyle w:val="TableGrid"/>
        <w:tblW w:w="9325" w:type="dxa"/>
        <w:tblInd w:w="86" w:type="dxa"/>
        <w:tblCellMar>
          <w:top w:w="0" w:type="dxa"/>
          <w:left w:w="0" w:type="dxa"/>
          <w:bottom w:w="0" w:type="dxa"/>
          <w:right w:w="0" w:type="dxa"/>
        </w:tblCellMar>
        <w:tblLook w:val="04A0" w:firstRow="1" w:lastRow="0" w:firstColumn="1" w:lastColumn="0" w:noHBand="0" w:noVBand="1"/>
      </w:tblPr>
      <w:tblGrid>
        <w:gridCol w:w="8311"/>
        <w:gridCol w:w="1014"/>
      </w:tblGrid>
      <w:tr w:rsidR="00CF7124" w14:paraId="7120E423" w14:textId="77777777">
        <w:trPr>
          <w:trHeight w:val="902"/>
        </w:trPr>
        <w:tc>
          <w:tcPr>
            <w:tcW w:w="8311" w:type="dxa"/>
            <w:tcBorders>
              <w:top w:val="nil"/>
              <w:left w:val="nil"/>
              <w:bottom w:val="nil"/>
              <w:right w:val="nil"/>
            </w:tcBorders>
          </w:tcPr>
          <w:p w14:paraId="774F81D4" w14:textId="77777777" w:rsidR="00CF7124" w:rsidRDefault="001578E5">
            <w:pPr>
              <w:tabs>
                <w:tab w:val="center" w:pos="1636"/>
                <w:tab w:val="center" w:pos="4602"/>
                <w:tab w:val="center" w:pos="5700"/>
                <w:tab w:val="center" w:pos="7339"/>
              </w:tabs>
              <w:spacing w:after="122" w:line="259" w:lineRule="auto"/>
              <w:ind w:firstLine="0"/>
              <w:jc w:val="left"/>
            </w:pPr>
            <w:r>
              <w:rPr>
                <w:rFonts w:ascii="Calibri" w:eastAsia="Calibri" w:hAnsi="Calibri" w:cs="Calibri"/>
                <w:noProof/>
                <w:color w:val="000000"/>
                <w:sz w:val="22"/>
              </w:rPr>
              <mc:AlternateContent>
                <mc:Choice Requires="wpg">
                  <w:drawing>
                    <wp:anchor distT="0" distB="0" distL="114300" distR="114300" simplePos="0" relativeHeight="251659264" behindDoc="1" locked="0" layoutInCell="1" allowOverlap="1" wp14:anchorId="006CAC6E" wp14:editId="641FB5ED">
                      <wp:simplePos x="0" y="0"/>
                      <wp:positionH relativeFrom="column">
                        <wp:posOffset>0</wp:posOffset>
                      </wp:positionH>
                      <wp:positionV relativeFrom="paragraph">
                        <wp:posOffset>-56471</wp:posOffset>
                      </wp:positionV>
                      <wp:extent cx="5921274" cy="177117"/>
                      <wp:effectExtent l="0" t="0" r="0" b="0"/>
                      <wp:wrapNone/>
                      <wp:docPr id="31072" name="Group 31072"/>
                      <wp:cNvGraphicFramePr/>
                      <a:graphic xmlns:a="http://schemas.openxmlformats.org/drawingml/2006/main">
                        <a:graphicData uri="http://schemas.microsoft.com/office/word/2010/wordprocessingGroup">
                          <wpg:wgp>
                            <wpg:cNvGrpSpPr/>
                            <wpg:grpSpPr>
                              <a:xfrm>
                                <a:off x="0" y="0"/>
                                <a:ext cx="5921274" cy="177117"/>
                                <a:chOff x="0" y="0"/>
                                <a:chExt cx="5921274" cy="177117"/>
                              </a:xfrm>
                            </wpg:grpSpPr>
                            <wps:wsp>
                              <wps:cNvPr id="40580" name="Shape 40580"/>
                              <wps:cNvSpPr/>
                              <wps:spPr>
                                <a:xfrm>
                                  <a:off x="0" y="0"/>
                                  <a:ext cx="5921274" cy="9144"/>
                                </a:xfrm>
                                <a:custGeom>
                                  <a:avLst/>
                                  <a:gdLst/>
                                  <a:ahLst/>
                                  <a:cxnLst/>
                                  <a:rect l="0" t="0" r="0" b="0"/>
                                  <a:pathLst>
                                    <a:path w="5921274" h="9144">
                                      <a:moveTo>
                                        <a:pt x="0" y="0"/>
                                      </a:moveTo>
                                      <a:lnTo>
                                        <a:pt x="5921274" y="0"/>
                                      </a:lnTo>
                                      <a:lnTo>
                                        <a:pt x="5921274" y="9144"/>
                                      </a:lnTo>
                                      <a:lnTo>
                                        <a:pt x="0" y="9144"/>
                                      </a:lnTo>
                                      <a:lnTo>
                                        <a:pt x="0" y="0"/>
                                      </a:lnTo>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0581" name="Shape 40581"/>
                              <wps:cNvSpPr/>
                              <wps:spPr>
                                <a:xfrm>
                                  <a:off x="759600" y="171357"/>
                                  <a:ext cx="1722234" cy="9144"/>
                                </a:xfrm>
                                <a:custGeom>
                                  <a:avLst/>
                                  <a:gdLst/>
                                  <a:ahLst/>
                                  <a:cxnLst/>
                                  <a:rect l="0" t="0" r="0" b="0"/>
                                  <a:pathLst>
                                    <a:path w="1722234" h="9144">
                                      <a:moveTo>
                                        <a:pt x="0" y="0"/>
                                      </a:moveTo>
                                      <a:lnTo>
                                        <a:pt x="1722234" y="0"/>
                                      </a:lnTo>
                                      <a:lnTo>
                                        <a:pt x="1722234" y="9144"/>
                                      </a:lnTo>
                                      <a:lnTo>
                                        <a:pt x="0" y="9144"/>
                                      </a:lnTo>
                                      <a:lnTo>
                                        <a:pt x="0" y="0"/>
                                      </a:lnTo>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0582" name="Shape 40582"/>
                              <wps:cNvSpPr/>
                              <wps:spPr>
                                <a:xfrm>
                                  <a:off x="2677681" y="171357"/>
                                  <a:ext cx="568084" cy="9144"/>
                                </a:xfrm>
                                <a:custGeom>
                                  <a:avLst/>
                                  <a:gdLst/>
                                  <a:ahLst/>
                                  <a:cxnLst/>
                                  <a:rect l="0" t="0" r="0" b="0"/>
                                  <a:pathLst>
                                    <a:path w="568084" h="9144">
                                      <a:moveTo>
                                        <a:pt x="0" y="0"/>
                                      </a:moveTo>
                                      <a:lnTo>
                                        <a:pt x="568084" y="0"/>
                                      </a:lnTo>
                                      <a:lnTo>
                                        <a:pt x="568084" y="9144"/>
                                      </a:lnTo>
                                      <a:lnTo>
                                        <a:pt x="0" y="9144"/>
                                      </a:lnTo>
                                      <a:lnTo>
                                        <a:pt x="0" y="0"/>
                                      </a:lnTo>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0583" name="Shape 40583"/>
                              <wps:cNvSpPr/>
                              <wps:spPr>
                                <a:xfrm>
                                  <a:off x="3441599" y="171357"/>
                                  <a:ext cx="861835" cy="9144"/>
                                </a:xfrm>
                                <a:custGeom>
                                  <a:avLst/>
                                  <a:gdLst/>
                                  <a:ahLst/>
                                  <a:cxnLst/>
                                  <a:rect l="0" t="0" r="0" b="0"/>
                                  <a:pathLst>
                                    <a:path w="861835" h="9144">
                                      <a:moveTo>
                                        <a:pt x="0" y="0"/>
                                      </a:moveTo>
                                      <a:lnTo>
                                        <a:pt x="861835" y="0"/>
                                      </a:lnTo>
                                      <a:lnTo>
                                        <a:pt x="861835" y="9144"/>
                                      </a:lnTo>
                                      <a:lnTo>
                                        <a:pt x="0" y="9144"/>
                                      </a:lnTo>
                                      <a:lnTo>
                                        <a:pt x="0" y="0"/>
                                      </a:lnTo>
                                    </a:path>
                                  </a:pathLst>
                                </a:custGeom>
                                <a:ln w="0" cap="flat">
                                  <a:miter lim="127000"/>
                                </a:ln>
                              </wps:spPr>
                              <wps:style>
                                <a:lnRef idx="0">
                                  <a:srgbClr val="000000">
                                    <a:alpha val="0"/>
                                  </a:srgbClr>
                                </a:lnRef>
                                <a:fillRef idx="1">
                                  <a:srgbClr val="221F1F"/>
                                </a:fillRef>
                                <a:effectRef idx="0">
                                  <a:scrgbClr r="0" g="0" b="0"/>
                                </a:effectRef>
                                <a:fontRef idx="none"/>
                              </wps:style>
                              <wps:bodyPr/>
                            </wps:wsp>
                          </wpg:wgp>
                        </a:graphicData>
                      </a:graphic>
                    </wp:anchor>
                  </w:drawing>
                </mc:Choice>
                <mc:Fallback xmlns:a="http://schemas.openxmlformats.org/drawingml/2006/main">
                  <w:pict>
                    <v:group id="Group 31072" style="width:466.242pt;height:13.9462pt;position:absolute;z-index:-2147483581;mso-position-horizontal-relative:text;mso-position-horizontal:absolute;margin-left:0pt;mso-position-vertical-relative:text;margin-top:-4.44659pt;" coordsize="59212,1771">
                      <v:shape id="Shape 40584" style="position:absolute;width:59212;height:91;left:0;top:0;" coordsize="5921274,9144" path="m0,0l5921274,0l5921274,9144l0,9144l0,0">
                        <v:stroke weight="0pt" endcap="flat" joinstyle="miter" miterlimit="10" on="false" color="#000000" opacity="0"/>
                        <v:fill on="true" color="#221f1f"/>
                      </v:shape>
                      <v:shape id="Shape 40585" style="position:absolute;width:17222;height:91;left:7596;top:1713;" coordsize="1722234,9144" path="m0,0l1722234,0l1722234,9144l0,9144l0,0">
                        <v:stroke weight="0pt" endcap="flat" joinstyle="miter" miterlimit="10" on="false" color="#000000" opacity="0"/>
                        <v:fill on="true" color="#221f1f"/>
                      </v:shape>
                      <v:shape id="Shape 40586" style="position:absolute;width:5680;height:91;left:26776;top:1713;" coordsize="568084,9144" path="m0,0l568084,0l568084,9144l0,9144l0,0">
                        <v:stroke weight="0pt" endcap="flat" joinstyle="miter" miterlimit="10" on="false" color="#000000" opacity="0"/>
                        <v:fill on="true" color="#221f1f"/>
                      </v:shape>
                      <v:shape id="Shape 40587" style="position:absolute;width:8618;height:91;left:34415;top:1713;" coordsize="861835,9144" path="m0,0l861835,0l861835,9144l0,9144l0,0">
                        <v:stroke weight="0pt" endcap="flat" joinstyle="miter" miterlimit="10" on="false" color="#000000" opacity="0"/>
                        <v:fill on="true" color="#221f1f"/>
                      </v:shape>
                    </v:group>
                  </w:pict>
                </mc:Fallback>
              </mc:AlternateContent>
            </w:r>
            <w:r>
              <w:rPr>
                <w:rFonts w:ascii="Calibri" w:eastAsia="Calibri" w:hAnsi="Calibri" w:cs="Calibri"/>
                <w:color w:val="000000"/>
                <w:sz w:val="22"/>
              </w:rPr>
              <w:tab/>
            </w:r>
            <w:r>
              <w:rPr>
                <w:sz w:val="16"/>
              </w:rPr>
              <w:t>Rudist bodies</w:t>
            </w:r>
            <w:r>
              <w:rPr>
                <w:sz w:val="16"/>
              </w:rPr>
              <w:tab/>
              <w:t>Module (m)</w:t>
            </w:r>
            <w:r>
              <w:rPr>
                <w:sz w:val="16"/>
              </w:rPr>
              <w:tab/>
              <w:t>Standard</w:t>
            </w:r>
            <w:r>
              <w:rPr>
                <w:sz w:val="16"/>
              </w:rPr>
              <w:tab/>
              <w:t>Skeletal</w:t>
            </w:r>
          </w:p>
          <w:p w14:paraId="4034A836" w14:textId="77777777" w:rsidR="00CF7124" w:rsidRDefault="001578E5">
            <w:pPr>
              <w:spacing w:after="0" w:line="224" w:lineRule="auto"/>
              <w:ind w:left="1196" w:right="228" w:firstLine="0"/>
            </w:pPr>
            <w:r>
              <w:rPr>
                <w:sz w:val="16"/>
              </w:rPr>
              <w:t xml:space="preserve">Lateral dimensions Spacing Bed thickness Skeletal </w:t>
            </w:r>
            <w:r>
              <w:rPr>
                <w:sz w:val="25"/>
                <w:vertAlign w:val="superscript"/>
              </w:rPr>
              <w:t xml:space="preserve">contribution </w:t>
            </w:r>
            <w:r>
              <w:rPr>
                <w:sz w:val="16"/>
              </w:rPr>
              <w:t xml:space="preserve">(m) (m) (m) contribution </w:t>
            </w:r>
            <w:r>
              <w:rPr>
                <w:sz w:val="25"/>
                <w:vertAlign w:val="superscript"/>
              </w:rPr>
              <w:t>of rudist-free</w:t>
            </w:r>
          </w:p>
          <w:p w14:paraId="3F2605BF" w14:textId="77777777" w:rsidR="00CF7124" w:rsidRDefault="001578E5">
            <w:pPr>
              <w:tabs>
                <w:tab w:val="center" w:pos="5537"/>
                <w:tab w:val="center" w:pos="7545"/>
              </w:tabs>
              <w:spacing w:after="0" w:line="259" w:lineRule="auto"/>
              <w:ind w:firstLine="0"/>
              <w:jc w:val="left"/>
            </w:pPr>
            <w:r>
              <w:rPr>
                <w:rFonts w:ascii="Calibri" w:eastAsia="Calibri" w:hAnsi="Calibri" w:cs="Calibri"/>
                <w:color w:val="000000"/>
                <w:sz w:val="22"/>
              </w:rPr>
              <w:tab/>
            </w:r>
            <w:r>
              <w:rPr>
                <w:sz w:val="16"/>
              </w:rPr>
              <w:t>(%)</w:t>
            </w:r>
            <w:r>
              <w:rPr>
                <w:sz w:val="16"/>
              </w:rPr>
              <w:tab/>
              <w:t>sediments (%)</w:t>
            </w:r>
          </w:p>
        </w:tc>
        <w:tc>
          <w:tcPr>
            <w:tcW w:w="1014" w:type="dxa"/>
            <w:tcBorders>
              <w:top w:val="nil"/>
              <w:left w:val="nil"/>
              <w:bottom w:val="nil"/>
              <w:right w:val="nil"/>
            </w:tcBorders>
          </w:tcPr>
          <w:p w14:paraId="30B739F8" w14:textId="77777777" w:rsidR="00CF7124" w:rsidRDefault="001578E5">
            <w:pPr>
              <w:spacing w:after="0" w:line="259" w:lineRule="auto"/>
              <w:ind w:firstLine="0"/>
              <w:jc w:val="left"/>
            </w:pPr>
            <w:r>
              <w:rPr>
                <w:sz w:val="16"/>
              </w:rPr>
              <w:t>Skeletal contribution</w:t>
            </w:r>
          </w:p>
          <w:p w14:paraId="0037A0CF" w14:textId="77777777" w:rsidR="00CF7124" w:rsidRDefault="001578E5">
            <w:pPr>
              <w:spacing w:after="0" w:line="259" w:lineRule="auto"/>
              <w:ind w:firstLine="0"/>
            </w:pPr>
            <w:r>
              <w:rPr>
                <w:sz w:val="16"/>
              </w:rPr>
              <w:t>per module (%)</w:t>
            </w:r>
          </w:p>
        </w:tc>
      </w:tr>
    </w:tbl>
    <w:p w14:paraId="15DD02BD" w14:textId="77777777" w:rsidR="00CF7124" w:rsidRDefault="001578E5">
      <w:pPr>
        <w:spacing w:after="89" w:line="259" w:lineRule="auto"/>
        <w:ind w:left="86" w:firstLine="0"/>
        <w:jc w:val="left"/>
      </w:pPr>
      <w:r>
        <w:rPr>
          <w:rFonts w:ascii="Calibri" w:eastAsia="Calibri" w:hAnsi="Calibri" w:cs="Calibri"/>
          <w:noProof/>
          <w:color w:val="000000"/>
          <w:sz w:val="22"/>
        </w:rPr>
        <mc:AlternateContent>
          <mc:Choice Requires="wpg">
            <w:drawing>
              <wp:inline distT="0" distB="0" distL="0" distR="0" wp14:anchorId="2F932742" wp14:editId="3B55CBF8">
                <wp:extent cx="5921286" cy="6480"/>
                <wp:effectExtent l="0" t="0" r="0" b="0"/>
                <wp:docPr id="30630" name="Group 30630"/>
                <wp:cNvGraphicFramePr/>
                <a:graphic xmlns:a="http://schemas.openxmlformats.org/drawingml/2006/main">
                  <a:graphicData uri="http://schemas.microsoft.com/office/word/2010/wordprocessingGroup">
                    <wpg:wgp>
                      <wpg:cNvGrpSpPr/>
                      <wpg:grpSpPr>
                        <a:xfrm>
                          <a:off x="0" y="0"/>
                          <a:ext cx="5921286" cy="6480"/>
                          <a:chOff x="0" y="0"/>
                          <a:chExt cx="5921286" cy="6480"/>
                        </a:xfrm>
                      </wpg:grpSpPr>
                      <wps:wsp>
                        <wps:cNvPr id="40588" name="Shape 40588"/>
                        <wps:cNvSpPr/>
                        <wps:spPr>
                          <a:xfrm>
                            <a:off x="4500004" y="0"/>
                            <a:ext cx="1421282" cy="9144"/>
                          </a:xfrm>
                          <a:custGeom>
                            <a:avLst/>
                            <a:gdLst/>
                            <a:ahLst/>
                            <a:cxnLst/>
                            <a:rect l="0" t="0" r="0" b="0"/>
                            <a:pathLst>
                              <a:path w="1421282" h="9144">
                                <a:moveTo>
                                  <a:pt x="0" y="0"/>
                                </a:moveTo>
                                <a:lnTo>
                                  <a:pt x="1421282" y="0"/>
                                </a:lnTo>
                                <a:lnTo>
                                  <a:pt x="1421282" y="9144"/>
                                </a:lnTo>
                                <a:lnTo>
                                  <a:pt x="0" y="9144"/>
                                </a:lnTo>
                                <a:lnTo>
                                  <a:pt x="0" y="0"/>
                                </a:lnTo>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0589" name="Shape 40589"/>
                        <wps:cNvSpPr/>
                        <wps:spPr>
                          <a:xfrm>
                            <a:off x="0" y="0"/>
                            <a:ext cx="4500004" cy="9144"/>
                          </a:xfrm>
                          <a:custGeom>
                            <a:avLst/>
                            <a:gdLst/>
                            <a:ahLst/>
                            <a:cxnLst/>
                            <a:rect l="0" t="0" r="0" b="0"/>
                            <a:pathLst>
                              <a:path w="4500004" h="9144">
                                <a:moveTo>
                                  <a:pt x="0" y="0"/>
                                </a:moveTo>
                                <a:lnTo>
                                  <a:pt x="4500004" y="0"/>
                                </a:lnTo>
                                <a:lnTo>
                                  <a:pt x="4500004" y="9144"/>
                                </a:lnTo>
                                <a:lnTo>
                                  <a:pt x="0" y="9144"/>
                                </a:lnTo>
                                <a:lnTo>
                                  <a:pt x="0" y="0"/>
                                </a:lnTo>
                              </a:path>
                            </a:pathLst>
                          </a:custGeom>
                          <a:ln w="0" cap="flat">
                            <a:miter lim="127000"/>
                          </a:ln>
                        </wps:spPr>
                        <wps:style>
                          <a:lnRef idx="0">
                            <a:srgbClr val="000000">
                              <a:alpha val="0"/>
                            </a:srgbClr>
                          </a:lnRef>
                          <a:fillRef idx="1">
                            <a:srgbClr val="221F1F"/>
                          </a:fillRef>
                          <a:effectRef idx="0">
                            <a:scrgbClr r="0" g="0" b="0"/>
                          </a:effectRef>
                          <a:fontRef idx="none"/>
                        </wps:style>
                        <wps:bodyPr/>
                      </wps:wsp>
                    </wpg:wgp>
                  </a:graphicData>
                </a:graphic>
              </wp:inline>
            </w:drawing>
          </mc:Choice>
          <mc:Fallback xmlns:a="http://schemas.openxmlformats.org/drawingml/2006/main">
            <w:pict>
              <v:group id="Group 30630" style="width:466.243pt;height:0.510254pt;mso-position-horizontal-relative:char;mso-position-vertical-relative:line" coordsize="59212,64">
                <v:shape id="Shape 40590" style="position:absolute;width:14212;height:91;left:45000;top:0;" coordsize="1421282,9144" path="m0,0l1421282,0l1421282,9144l0,9144l0,0">
                  <v:stroke weight="0pt" endcap="flat" joinstyle="miter" miterlimit="10" on="false" color="#000000" opacity="0"/>
                  <v:fill on="true" color="#221f1f"/>
                </v:shape>
                <v:shape id="Shape 40591" style="position:absolute;width:45000;height:91;left:0;top:0;" coordsize="4500004,9144" path="m0,0l4500004,0l4500004,9144l0,9144l0,0">
                  <v:stroke weight="0pt" endcap="flat" joinstyle="miter" miterlimit="10" on="false" color="#000000" opacity="0"/>
                  <v:fill on="true" color="#221f1f"/>
                </v:shape>
              </v:group>
            </w:pict>
          </mc:Fallback>
        </mc:AlternateContent>
      </w:r>
    </w:p>
    <w:p w14:paraId="5ABEBD70" w14:textId="77777777" w:rsidR="00CF7124" w:rsidRDefault="001578E5">
      <w:pPr>
        <w:tabs>
          <w:tab w:val="center" w:pos="1889"/>
          <w:tab w:val="center" w:pos="3399"/>
          <w:tab w:val="center" w:pos="4462"/>
          <w:tab w:val="center" w:pos="5645"/>
          <w:tab w:val="center" w:pos="6725"/>
          <w:tab w:val="center" w:pos="7213"/>
          <w:tab w:val="center" w:pos="8537"/>
        </w:tabs>
        <w:spacing w:after="4" w:line="269" w:lineRule="auto"/>
        <w:ind w:firstLine="0"/>
        <w:jc w:val="left"/>
      </w:pPr>
      <w:r>
        <w:rPr>
          <w:sz w:val="16"/>
        </w:rPr>
        <w:t>Community 1</w:t>
      </w:r>
      <w:r>
        <w:rPr>
          <w:sz w:val="16"/>
        </w:rPr>
        <w:tab/>
        <w:t>1250 (1000–1500)</w:t>
      </w:r>
      <w:r>
        <w:rPr>
          <w:sz w:val="16"/>
        </w:rPr>
        <w:tab/>
        <w:t>1750 (1500–2000)</w:t>
      </w:r>
      <w:r>
        <w:rPr>
          <w:sz w:val="16"/>
        </w:rPr>
        <w:tab/>
        <w:t>3000</w:t>
      </w:r>
      <w:r>
        <w:rPr>
          <w:sz w:val="16"/>
        </w:rPr>
        <w:tab/>
        <w:t>0.17</w:t>
      </w:r>
      <w:r>
        <w:rPr>
          <w:sz w:val="16"/>
        </w:rPr>
        <w:tab/>
        <w:t>24.6</w:t>
      </w:r>
      <w:r>
        <w:rPr>
          <w:sz w:val="16"/>
        </w:rPr>
        <w:tab/>
        <w:t>1</w:t>
      </w:r>
      <w:r>
        <w:rPr>
          <w:sz w:val="16"/>
        </w:rPr>
        <w:tab/>
      </w:r>
      <w:r>
        <w:rPr>
          <w:sz w:val="16"/>
        </w:rPr>
        <w:t>10.8</w:t>
      </w:r>
    </w:p>
    <w:p w14:paraId="6276550A" w14:textId="77777777" w:rsidR="00CF7124" w:rsidRDefault="001578E5">
      <w:pPr>
        <w:tabs>
          <w:tab w:val="center" w:pos="4462"/>
          <w:tab w:val="center" w:pos="5645"/>
          <w:tab w:val="center" w:pos="6725"/>
          <w:tab w:val="center" w:pos="7213"/>
          <w:tab w:val="center" w:pos="8537"/>
        </w:tabs>
        <w:spacing w:after="4" w:line="269" w:lineRule="auto"/>
        <w:ind w:firstLine="0"/>
        <w:jc w:val="left"/>
      </w:pPr>
      <w:r>
        <w:rPr>
          <w:sz w:val="16"/>
        </w:rPr>
        <w:t>Community 2</w:t>
      </w:r>
      <w:r>
        <w:rPr>
          <w:sz w:val="16"/>
        </w:rPr>
        <w:tab/>
        <w:t>3000</w:t>
      </w:r>
      <w:r>
        <w:rPr>
          <w:sz w:val="16"/>
        </w:rPr>
        <w:tab/>
        <w:t>0.29</w:t>
      </w:r>
      <w:r>
        <w:rPr>
          <w:sz w:val="16"/>
        </w:rPr>
        <w:tab/>
        <w:t>31.5</w:t>
      </w:r>
      <w:r>
        <w:rPr>
          <w:sz w:val="16"/>
        </w:rPr>
        <w:tab/>
        <w:t>1</w:t>
      </w:r>
      <w:r>
        <w:rPr>
          <w:sz w:val="16"/>
        </w:rPr>
        <w:tab/>
      </w:r>
      <w:r>
        <w:rPr>
          <w:sz w:val="16"/>
        </w:rPr>
        <w:t>13.7</w:t>
      </w:r>
    </w:p>
    <w:p w14:paraId="70A95B4A" w14:textId="77777777" w:rsidR="00CF7124" w:rsidRDefault="001578E5">
      <w:pPr>
        <w:tabs>
          <w:tab w:val="center" w:pos="1442"/>
          <w:tab w:val="center" w:pos="3399"/>
          <w:tab w:val="center" w:pos="4462"/>
          <w:tab w:val="center" w:pos="5645"/>
          <w:tab w:val="center" w:pos="6725"/>
          <w:tab w:val="center" w:pos="7213"/>
          <w:tab w:val="center" w:pos="8537"/>
        </w:tabs>
        <w:spacing w:after="4" w:line="269" w:lineRule="auto"/>
        <w:ind w:firstLine="0"/>
        <w:jc w:val="left"/>
      </w:pPr>
      <w:r>
        <w:rPr>
          <w:sz w:val="16"/>
        </w:rPr>
        <w:t>Community 3</w:t>
      </w:r>
      <w:r>
        <w:rPr>
          <w:sz w:val="16"/>
        </w:rPr>
        <w:tab/>
        <w:t>3000</w:t>
      </w:r>
      <w:r>
        <w:rPr>
          <w:sz w:val="16"/>
        </w:rPr>
        <w:tab/>
        <w:t>3500 (3000–4000)</w:t>
      </w:r>
      <w:r>
        <w:rPr>
          <w:sz w:val="16"/>
        </w:rPr>
        <w:tab/>
        <w:t>6500</w:t>
      </w:r>
      <w:r>
        <w:rPr>
          <w:sz w:val="16"/>
        </w:rPr>
        <w:tab/>
        <w:t>0.70</w:t>
      </w:r>
      <w:r>
        <w:rPr>
          <w:sz w:val="16"/>
        </w:rPr>
        <w:tab/>
        <w:t>26.8</w:t>
      </w:r>
      <w:r>
        <w:rPr>
          <w:sz w:val="16"/>
        </w:rPr>
        <w:tab/>
        <w:t>5</w:t>
      </w:r>
      <w:r>
        <w:rPr>
          <w:sz w:val="16"/>
        </w:rPr>
        <w:tab/>
      </w:r>
      <w:r>
        <w:rPr>
          <w:sz w:val="16"/>
        </w:rPr>
        <w:t>15.1</w:t>
      </w:r>
    </w:p>
    <w:p w14:paraId="2C200CFC" w14:textId="77777777" w:rsidR="00CF7124" w:rsidRDefault="001578E5">
      <w:pPr>
        <w:tabs>
          <w:tab w:val="center" w:pos="4462"/>
          <w:tab w:val="center" w:pos="5645"/>
          <w:tab w:val="center" w:pos="6725"/>
          <w:tab w:val="center" w:pos="7213"/>
          <w:tab w:val="center" w:pos="8541"/>
        </w:tabs>
        <w:spacing w:after="4" w:line="269" w:lineRule="auto"/>
        <w:ind w:firstLine="0"/>
        <w:jc w:val="left"/>
      </w:pPr>
      <w:r>
        <w:rPr>
          <w:sz w:val="16"/>
        </w:rPr>
        <w:t>Community 4</w:t>
      </w:r>
      <w:r>
        <w:rPr>
          <w:sz w:val="16"/>
        </w:rPr>
        <w:tab/>
        <w:t>6500</w:t>
      </w:r>
      <w:r>
        <w:rPr>
          <w:sz w:val="16"/>
        </w:rPr>
        <w:tab/>
        <w:t>0.70</w:t>
      </w:r>
      <w:r>
        <w:rPr>
          <w:sz w:val="16"/>
        </w:rPr>
        <w:tab/>
        <w:t>19.2</w:t>
      </w:r>
      <w:r>
        <w:rPr>
          <w:sz w:val="16"/>
        </w:rPr>
        <w:tab/>
        <w:t>5</w:t>
      </w:r>
      <w:r>
        <w:rPr>
          <w:sz w:val="16"/>
        </w:rPr>
        <w:tab/>
      </w:r>
      <w:r>
        <w:rPr>
          <w:sz w:val="16"/>
        </w:rPr>
        <w:t>11.6</w:t>
      </w:r>
    </w:p>
    <w:p w14:paraId="649EF6FC" w14:textId="77777777" w:rsidR="00CF7124" w:rsidRDefault="001578E5">
      <w:pPr>
        <w:spacing w:after="79" w:line="259" w:lineRule="auto"/>
        <w:ind w:left="86" w:firstLine="0"/>
        <w:jc w:val="left"/>
      </w:pPr>
      <w:r>
        <w:rPr>
          <w:rFonts w:ascii="Calibri" w:eastAsia="Calibri" w:hAnsi="Calibri" w:cs="Calibri"/>
          <w:noProof/>
          <w:color w:val="000000"/>
          <w:sz w:val="22"/>
        </w:rPr>
        <mc:AlternateContent>
          <mc:Choice Requires="wpg">
            <w:drawing>
              <wp:inline distT="0" distB="0" distL="0" distR="0" wp14:anchorId="657EBD63" wp14:editId="4A346611">
                <wp:extent cx="5921274" cy="6480"/>
                <wp:effectExtent l="0" t="0" r="0" b="0"/>
                <wp:docPr id="30629" name="Group 30629"/>
                <wp:cNvGraphicFramePr/>
                <a:graphic xmlns:a="http://schemas.openxmlformats.org/drawingml/2006/main">
                  <a:graphicData uri="http://schemas.microsoft.com/office/word/2010/wordprocessingGroup">
                    <wpg:wgp>
                      <wpg:cNvGrpSpPr/>
                      <wpg:grpSpPr>
                        <a:xfrm>
                          <a:off x="0" y="0"/>
                          <a:ext cx="5921274" cy="6480"/>
                          <a:chOff x="0" y="0"/>
                          <a:chExt cx="5921274" cy="6480"/>
                        </a:xfrm>
                      </wpg:grpSpPr>
                      <wps:wsp>
                        <wps:cNvPr id="40592" name="Shape 40592"/>
                        <wps:cNvSpPr/>
                        <wps:spPr>
                          <a:xfrm>
                            <a:off x="0" y="0"/>
                            <a:ext cx="5921274" cy="9144"/>
                          </a:xfrm>
                          <a:custGeom>
                            <a:avLst/>
                            <a:gdLst/>
                            <a:ahLst/>
                            <a:cxnLst/>
                            <a:rect l="0" t="0" r="0" b="0"/>
                            <a:pathLst>
                              <a:path w="5921274" h="9144">
                                <a:moveTo>
                                  <a:pt x="0" y="0"/>
                                </a:moveTo>
                                <a:lnTo>
                                  <a:pt x="5921274" y="0"/>
                                </a:lnTo>
                                <a:lnTo>
                                  <a:pt x="5921274" y="9144"/>
                                </a:lnTo>
                                <a:lnTo>
                                  <a:pt x="0" y="9144"/>
                                </a:lnTo>
                                <a:lnTo>
                                  <a:pt x="0" y="0"/>
                                </a:lnTo>
                              </a:path>
                            </a:pathLst>
                          </a:custGeom>
                          <a:ln w="0" cap="flat">
                            <a:miter lim="127000"/>
                          </a:ln>
                        </wps:spPr>
                        <wps:style>
                          <a:lnRef idx="0">
                            <a:srgbClr val="000000">
                              <a:alpha val="0"/>
                            </a:srgbClr>
                          </a:lnRef>
                          <a:fillRef idx="1">
                            <a:srgbClr val="221F1F"/>
                          </a:fillRef>
                          <a:effectRef idx="0">
                            <a:scrgbClr r="0" g="0" b="0"/>
                          </a:effectRef>
                          <a:fontRef idx="none"/>
                        </wps:style>
                        <wps:bodyPr/>
                      </wps:wsp>
                    </wpg:wgp>
                  </a:graphicData>
                </a:graphic>
              </wp:inline>
            </w:drawing>
          </mc:Choice>
          <mc:Fallback xmlns:a="http://schemas.openxmlformats.org/drawingml/2006/main">
            <w:pict>
              <v:group id="Group 30629" style="width:466.242pt;height:0.510254pt;mso-position-horizontal-relative:char;mso-position-vertical-relative:line" coordsize="59212,64">
                <v:shape id="Shape 40593" style="position:absolute;width:59212;height:91;left:0;top:0;" coordsize="5921274,9144" path="m0,0l5921274,0l5921274,9144l0,9144l0,0">
                  <v:stroke weight="0pt" endcap="flat" joinstyle="miter" miterlimit="10" on="false" color="#000000" opacity="0"/>
                  <v:fill on="true" color="#221f1f"/>
                </v:shape>
              </v:group>
            </w:pict>
          </mc:Fallback>
        </mc:AlternateContent>
      </w:r>
    </w:p>
    <w:p w14:paraId="417620C6" w14:textId="77777777" w:rsidR="00CF7124" w:rsidRDefault="001578E5">
      <w:pPr>
        <w:spacing w:after="462" w:line="269" w:lineRule="auto"/>
        <w:ind w:left="86" w:firstLine="0"/>
      </w:pPr>
      <w:r>
        <w:rPr>
          <w:sz w:val="16"/>
        </w:rPr>
        <w:t>Bold entries are the result expected from the data.</w:t>
      </w:r>
    </w:p>
    <w:p w14:paraId="6BD4361A" w14:textId="77777777" w:rsidR="00CF7124" w:rsidRDefault="001578E5">
      <w:pPr>
        <w:ind w:left="86" w:firstLine="0"/>
      </w:pPr>
      <w:r>
        <w:t>are usually associated within rudist beds interbedded with rudist free intervals including significant proportions of inter- to supratidal muddy sediments. Communities 3 and 4 are closely linked in rudist</w:t>
      </w:r>
      <w:r>
        <w:t xml:space="preserve"> beds including significant portions of subtidal grainy sediments</w:t>
      </w:r>
      <w:r>
        <w:t>.</w:t>
      </w:r>
    </w:p>
    <w:p w14:paraId="472C6C0C" w14:textId="77777777" w:rsidR="00CF7124" w:rsidRDefault="001578E5">
      <w:pPr>
        <w:ind w:left="86"/>
      </w:pPr>
      <w:r>
        <w:t xml:space="preserve">Average lateral dimensions of rudist bodies corresponding with communities 1 and 2 on one hand, and 3 and 4 on the other hand, and their spacing are summarized on </w:t>
      </w:r>
      <w:r>
        <w:rPr>
          <w:color w:val="2D3092"/>
        </w:rPr>
        <w:t xml:space="preserve">Table 5 </w:t>
      </w:r>
      <w:r>
        <w:t>(</w:t>
      </w:r>
      <w:r>
        <w:rPr>
          <w:color w:val="2D3092"/>
        </w:rPr>
        <w:t xml:space="preserve">Fenerci-Masse et </w:t>
      </w:r>
      <w:r>
        <w:rPr>
          <w:color w:val="2D3092"/>
        </w:rPr>
        <w:t>al., 2005</w:t>
      </w:r>
      <w:r>
        <w:t>). Owing to the variability of values for lateral dimensions of communities 1 and 2, and the spacing of both groups of communities, we used average values for our calculations. For estimating the skeletal contribution of rudists at a stratigraphic</w:t>
      </w:r>
      <w:r>
        <w:t>al scale, we propose a model including the following ingredients: the average lateral dimension of rudist patches, the average lateral dimension of rudist-free sediments adjacent to a rudist patch (=spacing between patches), the average lateral dimension o</w:t>
      </w:r>
      <w:r>
        <w:t>f a module (</w:t>
      </w:r>
      <w:r>
        <w:rPr>
          <w:color w:val="2D3092"/>
        </w:rPr>
        <w:t>Fig. 10</w:t>
      </w:r>
      <w:r>
        <w:t>) including a rudist patch and its adjacent sediment, and skeletal contribution (see above).</w:t>
      </w:r>
    </w:p>
    <w:p w14:paraId="0E39D1B8" w14:textId="77777777" w:rsidR="00CF7124" w:rsidRDefault="001578E5">
      <w:pPr>
        <w:spacing w:after="170"/>
        <w:ind w:left="325" w:firstLine="0"/>
      </w:pPr>
      <w:r>
        <w:t>For each module the total skeletal contribution (%), is given by:</w:t>
      </w:r>
    </w:p>
    <w:p w14:paraId="5B2F2CA6" w14:textId="77777777" w:rsidR="00CF7124" w:rsidRDefault="001578E5">
      <w:pPr>
        <w:spacing w:after="0" w:line="259" w:lineRule="auto"/>
        <w:ind w:left="584" w:hanging="10"/>
      </w:pPr>
      <w:r>
        <w:rPr>
          <w:rFonts w:ascii="Calibri" w:eastAsia="Calibri" w:hAnsi="Calibri" w:cs="Calibri"/>
          <w:sz w:val="18"/>
        </w:rPr>
        <w:t>ð</w:t>
      </w:r>
      <w:r>
        <w:rPr>
          <w:sz w:val="18"/>
        </w:rPr>
        <w:t xml:space="preserve">lateral </w:t>
      </w:r>
      <w:proofErr w:type="gramStart"/>
      <w:r>
        <w:rPr>
          <w:sz w:val="18"/>
        </w:rPr>
        <w:t xml:space="preserve">dimension </w:t>
      </w:r>
      <w:r>
        <w:rPr>
          <w:rFonts w:ascii="Calibri" w:eastAsia="Calibri" w:hAnsi="Calibri" w:cs="Calibri"/>
          <w:sz w:val="18"/>
        </w:rPr>
        <w:t xml:space="preserve"> </w:t>
      </w:r>
      <w:r>
        <w:rPr>
          <w:sz w:val="18"/>
        </w:rPr>
        <w:t>rudist</w:t>
      </w:r>
      <w:proofErr w:type="gramEnd"/>
      <w:r>
        <w:rPr>
          <w:sz w:val="18"/>
        </w:rPr>
        <w:t xml:space="preserve"> body </w:t>
      </w:r>
      <w:r>
        <w:rPr>
          <w:rFonts w:ascii="Calibri" w:eastAsia="Calibri" w:hAnsi="Calibri" w:cs="Calibri"/>
          <w:sz w:val="18"/>
        </w:rPr>
        <w:t xml:space="preserve"> </w:t>
      </w:r>
      <w:r>
        <w:rPr>
          <w:sz w:val="18"/>
        </w:rPr>
        <w:t>skeletal contribution</w:t>
      </w:r>
      <w:r>
        <w:rPr>
          <w:rFonts w:ascii="Calibri" w:eastAsia="Calibri" w:hAnsi="Calibri" w:cs="Calibri"/>
          <w:sz w:val="18"/>
        </w:rPr>
        <w:t>Þþð</w:t>
      </w:r>
      <w:r>
        <w:rPr>
          <w:sz w:val="18"/>
        </w:rPr>
        <w:t xml:space="preserve">lateral dimension </w:t>
      </w:r>
      <w:r>
        <w:rPr>
          <w:rFonts w:ascii="Calibri" w:eastAsia="Calibri" w:hAnsi="Calibri" w:cs="Calibri"/>
          <w:sz w:val="18"/>
        </w:rPr>
        <w:t xml:space="preserve"> </w:t>
      </w:r>
      <w:r>
        <w:rPr>
          <w:sz w:val="18"/>
        </w:rPr>
        <w:t xml:space="preserve">rudist free </w:t>
      </w:r>
      <w:r>
        <w:rPr>
          <w:rFonts w:ascii="Calibri" w:eastAsia="Calibri" w:hAnsi="Calibri" w:cs="Calibri"/>
          <w:sz w:val="18"/>
        </w:rPr>
        <w:t xml:space="preserve"> </w:t>
      </w:r>
      <w:r>
        <w:rPr>
          <w:sz w:val="18"/>
        </w:rPr>
        <w:t>skeletal contribution</w:t>
      </w:r>
      <w:r>
        <w:rPr>
          <w:rFonts w:ascii="Calibri" w:eastAsia="Calibri" w:hAnsi="Calibri" w:cs="Calibri"/>
          <w:sz w:val="18"/>
        </w:rPr>
        <w:t>Þ</w:t>
      </w:r>
    </w:p>
    <w:p w14:paraId="3BD0CDF9" w14:textId="77777777" w:rsidR="00CF7124" w:rsidRDefault="001578E5">
      <w:pPr>
        <w:spacing w:after="40" w:line="259" w:lineRule="auto"/>
        <w:ind w:left="565" w:firstLine="0"/>
        <w:jc w:val="left"/>
      </w:pPr>
      <w:r>
        <w:rPr>
          <w:rFonts w:ascii="Calibri" w:eastAsia="Calibri" w:hAnsi="Calibri" w:cs="Calibri"/>
          <w:noProof/>
          <w:color w:val="000000"/>
          <w:sz w:val="22"/>
        </w:rPr>
        <mc:AlternateContent>
          <mc:Choice Requires="wpg">
            <w:drawing>
              <wp:inline distT="0" distB="0" distL="0" distR="0" wp14:anchorId="573C719E" wp14:editId="44DF9343">
                <wp:extent cx="5477764" cy="4320"/>
                <wp:effectExtent l="0" t="0" r="0" b="0"/>
                <wp:docPr id="30626" name="Group 30626"/>
                <wp:cNvGraphicFramePr/>
                <a:graphic xmlns:a="http://schemas.openxmlformats.org/drawingml/2006/main">
                  <a:graphicData uri="http://schemas.microsoft.com/office/word/2010/wordprocessingGroup">
                    <wpg:wgp>
                      <wpg:cNvGrpSpPr/>
                      <wpg:grpSpPr>
                        <a:xfrm>
                          <a:off x="0" y="0"/>
                          <a:ext cx="5477764" cy="4320"/>
                          <a:chOff x="0" y="0"/>
                          <a:chExt cx="5477764" cy="4320"/>
                        </a:xfrm>
                      </wpg:grpSpPr>
                      <wps:wsp>
                        <wps:cNvPr id="40594" name="Shape 40594"/>
                        <wps:cNvSpPr/>
                        <wps:spPr>
                          <a:xfrm>
                            <a:off x="0" y="0"/>
                            <a:ext cx="5477764" cy="9144"/>
                          </a:xfrm>
                          <a:custGeom>
                            <a:avLst/>
                            <a:gdLst/>
                            <a:ahLst/>
                            <a:cxnLst/>
                            <a:rect l="0" t="0" r="0" b="0"/>
                            <a:pathLst>
                              <a:path w="5477764" h="9144">
                                <a:moveTo>
                                  <a:pt x="0" y="0"/>
                                </a:moveTo>
                                <a:lnTo>
                                  <a:pt x="5477764" y="0"/>
                                </a:lnTo>
                                <a:lnTo>
                                  <a:pt x="5477764" y="9144"/>
                                </a:lnTo>
                                <a:lnTo>
                                  <a:pt x="0" y="9144"/>
                                </a:lnTo>
                                <a:lnTo>
                                  <a:pt x="0" y="0"/>
                                </a:lnTo>
                              </a:path>
                            </a:pathLst>
                          </a:custGeom>
                          <a:ln w="0" cap="flat">
                            <a:miter lim="127000"/>
                          </a:ln>
                        </wps:spPr>
                        <wps:style>
                          <a:lnRef idx="0">
                            <a:srgbClr val="000000">
                              <a:alpha val="0"/>
                            </a:srgbClr>
                          </a:lnRef>
                          <a:fillRef idx="1">
                            <a:srgbClr val="221F1F"/>
                          </a:fillRef>
                          <a:effectRef idx="0">
                            <a:scrgbClr r="0" g="0" b="0"/>
                          </a:effectRef>
                          <a:fontRef idx="none"/>
                        </wps:style>
                        <wps:bodyPr/>
                      </wps:wsp>
                    </wpg:wgp>
                  </a:graphicData>
                </a:graphic>
              </wp:inline>
            </w:drawing>
          </mc:Choice>
          <mc:Fallback xmlns:a="http://schemas.openxmlformats.org/drawingml/2006/main">
            <w:pict>
              <v:group id="Group 30626" style="width:431.32pt;height:0.340179pt;mso-position-horizontal-relative:char;mso-position-vertical-relative:line" coordsize="54777,43">
                <v:shape id="Shape 40595" style="position:absolute;width:54777;height:91;left:0;top:0;" coordsize="5477764,9144" path="m0,0l5477764,0l5477764,9144l0,9144l0,0">
                  <v:stroke weight="0pt" endcap="flat" joinstyle="miter" miterlimit="10" on="false" color="#000000" opacity="0"/>
                  <v:fill on="true" color="#221f1f"/>
                </v:shape>
              </v:group>
            </w:pict>
          </mc:Fallback>
        </mc:AlternateContent>
      </w:r>
    </w:p>
    <w:p w14:paraId="547A91FD" w14:textId="77777777" w:rsidR="00CF7124" w:rsidRDefault="001578E5">
      <w:pPr>
        <w:spacing w:after="0" w:line="349" w:lineRule="auto"/>
        <w:ind w:left="744" w:right="3361" w:firstLine="3099"/>
      </w:pPr>
      <w:r>
        <w:rPr>
          <w:sz w:val="18"/>
        </w:rPr>
        <w:t xml:space="preserve">lateral dimension of module </w:t>
      </w:r>
      <w:r>
        <w:rPr>
          <w:rFonts w:ascii="Calibri" w:eastAsia="Calibri" w:hAnsi="Calibri" w:cs="Calibri"/>
          <w:sz w:val="18"/>
        </w:rPr>
        <w:t xml:space="preserve">¼ </w:t>
      </w:r>
      <w:r>
        <w:rPr>
          <w:sz w:val="18"/>
        </w:rPr>
        <w:t>Skeletal contribution per module</w:t>
      </w:r>
      <w:r>
        <w:rPr>
          <w:rFonts w:ascii="Calibri" w:eastAsia="Calibri" w:hAnsi="Calibri" w:cs="Calibri"/>
          <w:sz w:val="18"/>
        </w:rPr>
        <w:t>:</w:t>
      </w:r>
    </w:p>
    <w:p w14:paraId="7D3F6A27" w14:textId="77777777" w:rsidR="00CF7124" w:rsidRDefault="001578E5">
      <w:pPr>
        <w:pStyle w:val="1"/>
      </w:pPr>
      <w:r>
        <w:lastRenderedPageBreak/>
        <w:t>ð</w:t>
      </w:r>
      <w:r>
        <w:rPr>
          <w:rFonts w:ascii="Times New Roman" w:eastAsia="Times New Roman" w:hAnsi="Times New Roman" w:cs="Times New Roman"/>
        </w:rPr>
        <w:t>2</w:t>
      </w:r>
      <w:r>
        <w:t>Þ</w:t>
      </w:r>
    </w:p>
    <w:p w14:paraId="04D852CE" w14:textId="77777777" w:rsidR="00CF7124" w:rsidRDefault="001578E5">
      <w:pPr>
        <w:ind w:left="86"/>
      </w:pPr>
      <w:r>
        <w:t>The maximum value is recorded for community 3 (15.1%), then followed by community 2 (13.7%), communities 4 and 1 having relatively low, nearly identical values (11.6% and 10.8% respectively), the average being 12.8%.</w:t>
      </w:r>
    </w:p>
    <w:p w14:paraId="79ED6D64" w14:textId="77777777" w:rsidR="00CF7124" w:rsidRDefault="001578E5">
      <w:pPr>
        <w:spacing w:after="157"/>
        <w:ind w:left="86"/>
      </w:pPr>
      <w:r>
        <w:t>To estimate the total skeletal stratigr</w:t>
      </w:r>
      <w:r>
        <w:t>aphic contribution, for a given stratigraphic succession and its corresponding regional cross section, the skeletal contribution of individual rudist communities is combined with total thickness, and thickness of a given rudist bed with a specific communit</w:t>
      </w:r>
      <w:r>
        <w:t>y type by using:</w:t>
      </w:r>
    </w:p>
    <w:p w14:paraId="248A9D40" w14:textId="77777777" w:rsidR="00CF7124" w:rsidRDefault="001578E5">
      <w:pPr>
        <w:spacing w:after="0" w:line="264" w:lineRule="auto"/>
        <w:ind w:left="612" w:hanging="10"/>
        <w:jc w:val="left"/>
      </w:pPr>
      <w:r>
        <w:t>X</w:t>
      </w:r>
      <w:r>
        <w:rPr>
          <w:sz w:val="14"/>
        </w:rPr>
        <w:t>4</w:t>
      </w:r>
    </w:p>
    <w:p w14:paraId="74BF66E8" w14:textId="77777777" w:rsidR="00CF7124" w:rsidRDefault="001578E5">
      <w:pPr>
        <w:ind w:left="928" w:firstLine="0"/>
      </w:pPr>
      <w:r>
        <w:rPr>
          <w:rFonts w:ascii="Calibri" w:eastAsia="Calibri" w:hAnsi="Calibri" w:cs="Calibri"/>
        </w:rPr>
        <w:t>ð</w:t>
      </w:r>
      <w:r>
        <w:t xml:space="preserve">bed thickness of a community </w:t>
      </w:r>
      <w:proofErr w:type="gramStart"/>
      <w:r>
        <w:t xml:space="preserve">type </w:t>
      </w:r>
      <w:r>
        <w:rPr>
          <w:rFonts w:ascii="Calibri" w:eastAsia="Calibri" w:hAnsi="Calibri" w:cs="Calibri"/>
        </w:rPr>
        <w:t xml:space="preserve"> </w:t>
      </w:r>
      <w:r>
        <w:t>per</w:t>
      </w:r>
      <w:proofErr w:type="gramEnd"/>
      <w:r>
        <w:t xml:space="preserve"> module skeletal contribution</w:t>
      </w:r>
      <w:r>
        <w:rPr>
          <w:rFonts w:ascii="Calibri" w:eastAsia="Calibri" w:hAnsi="Calibri" w:cs="Calibri"/>
        </w:rPr>
        <w:t>Þ</w:t>
      </w:r>
    </w:p>
    <w:p w14:paraId="6DDBB722" w14:textId="77777777" w:rsidR="00CF7124" w:rsidRDefault="001578E5">
      <w:pPr>
        <w:spacing w:after="44" w:line="259" w:lineRule="auto"/>
        <w:ind w:left="917" w:firstLine="0"/>
        <w:jc w:val="left"/>
      </w:pPr>
      <w:r>
        <w:rPr>
          <w:rFonts w:ascii="Calibri" w:eastAsia="Calibri" w:hAnsi="Calibri" w:cs="Calibri"/>
          <w:noProof/>
          <w:color w:val="000000"/>
          <w:sz w:val="22"/>
        </w:rPr>
        <mc:AlternateContent>
          <mc:Choice Requires="wpg">
            <w:drawing>
              <wp:inline distT="0" distB="0" distL="0" distR="0" wp14:anchorId="50215B83" wp14:editId="2AC09931">
                <wp:extent cx="3856317" cy="5041"/>
                <wp:effectExtent l="0" t="0" r="0" b="0"/>
                <wp:docPr id="30627" name="Group 30627"/>
                <wp:cNvGraphicFramePr/>
                <a:graphic xmlns:a="http://schemas.openxmlformats.org/drawingml/2006/main">
                  <a:graphicData uri="http://schemas.microsoft.com/office/word/2010/wordprocessingGroup">
                    <wpg:wgp>
                      <wpg:cNvGrpSpPr/>
                      <wpg:grpSpPr>
                        <a:xfrm>
                          <a:off x="0" y="0"/>
                          <a:ext cx="3856317" cy="5041"/>
                          <a:chOff x="0" y="0"/>
                          <a:chExt cx="3856317" cy="5041"/>
                        </a:xfrm>
                      </wpg:grpSpPr>
                      <wps:wsp>
                        <wps:cNvPr id="40596" name="Shape 40596"/>
                        <wps:cNvSpPr/>
                        <wps:spPr>
                          <a:xfrm>
                            <a:off x="0" y="0"/>
                            <a:ext cx="3856317" cy="9144"/>
                          </a:xfrm>
                          <a:custGeom>
                            <a:avLst/>
                            <a:gdLst/>
                            <a:ahLst/>
                            <a:cxnLst/>
                            <a:rect l="0" t="0" r="0" b="0"/>
                            <a:pathLst>
                              <a:path w="3856317" h="9144">
                                <a:moveTo>
                                  <a:pt x="0" y="0"/>
                                </a:moveTo>
                                <a:lnTo>
                                  <a:pt x="3856317" y="0"/>
                                </a:lnTo>
                                <a:lnTo>
                                  <a:pt x="3856317" y="9144"/>
                                </a:lnTo>
                                <a:lnTo>
                                  <a:pt x="0" y="9144"/>
                                </a:lnTo>
                                <a:lnTo>
                                  <a:pt x="0" y="0"/>
                                </a:lnTo>
                              </a:path>
                            </a:pathLst>
                          </a:custGeom>
                          <a:ln w="0" cap="flat">
                            <a:miter lim="127000"/>
                          </a:ln>
                        </wps:spPr>
                        <wps:style>
                          <a:lnRef idx="0">
                            <a:srgbClr val="000000">
                              <a:alpha val="0"/>
                            </a:srgbClr>
                          </a:lnRef>
                          <a:fillRef idx="1">
                            <a:srgbClr val="221F1F"/>
                          </a:fillRef>
                          <a:effectRef idx="0">
                            <a:scrgbClr r="0" g="0" b="0"/>
                          </a:effectRef>
                          <a:fontRef idx="none"/>
                        </wps:style>
                        <wps:bodyPr/>
                      </wps:wsp>
                    </wpg:wgp>
                  </a:graphicData>
                </a:graphic>
              </wp:inline>
            </w:drawing>
          </mc:Choice>
          <mc:Fallback xmlns:a="http://schemas.openxmlformats.org/drawingml/2006/main">
            <w:pict>
              <v:group id="Group 30627" style="width:303.647pt;height:0.396912pt;mso-position-horizontal-relative:char;mso-position-vertical-relative:line" coordsize="38563,50">
                <v:shape id="Shape 40597" style="position:absolute;width:38563;height:91;left:0;top:0;" coordsize="3856317,9144" path="m0,0l3856317,0l3856317,9144l0,9144l0,0">
                  <v:stroke weight="0pt" endcap="flat" joinstyle="miter" miterlimit="10" on="false" color="#000000" opacity="0"/>
                  <v:fill on="true" color="#221f1f"/>
                </v:shape>
              </v:group>
            </w:pict>
          </mc:Fallback>
        </mc:AlternateContent>
      </w:r>
    </w:p>
    <w:p w14:paraId="210D8013" w14:textId="77777777" w:rsidR="00CF7124" w:rsidRDefault="001578E5">
      <w:pPr>
        <w:ind w:left="3376" w:firstLine="0"/>
      </w:pPr>
      <w:r>
        <w:t>total thickness</w:t>
      </w:r>
    </w:p>
    <w:p w14:paraId="1DF721F6" w14:textId="77777777" w:rsidR="00CF7124" w:rsidRDefault="001578E5">
      <w:pPr>
        <w:spacing w:after="188" w:line="264" w:lineRule="auto"/>
        <w:ind w:left="612" w:hanging="10"/>
        <w:jc w:val="left"/>
      </w:pPr>
      <w:r>
        <w:rPr>
          <w:sz w:val="14"/>
        </w:rPr>
        <w:t>i</w:t>
      </w:r>
      <w:r>
        <w:rPr>
          <w:rFonts w:ascii="Calibri" w:eastAsia="Calibri" w:hAnsi="Calibri" w:cs="Calibri"/>
          <w:sz w:val="14"/>
        </w:rPr>
        <w:t>¼</w:t>
      </w:r>
      <w:r>
        <w:rPr>
          <w:sz w:val="14"/>
        </w:rPr>
        <w:t>1</w:t>
      </w:r>
    </w:p>
    <w:p w14:paraId="2CDE91AA" w14:textId="77777777" w:rsidR="00CF7124" w:rsidRDefault="001578E5">
      <w:pPr>
        <w:tabs>
          <w:tab w:val="center" w:pos="2455"/>
          <w:tab w:val="right" w:pos="9412"/>
        </w:tabs>
        <w:spacing w:after="62" w:line="259" w:lineRule="auto"/>
        <w:ind w:right="-13" w:firstLine="0"/>
        <w:jc w:val="left"/>
      </w:pPr>
      <w:r>
        <w:rPr>
          <w:rFonts w:ascii="Calibri" w:eastAsia="Calibri" w:hAnsi="Calibri" w:cs="Calibri"/>
          <w:color w:val="000000"/>
          <w:sz w:val="22"/>
        </w:rPr>
        <w:tab/>
      </w:r>
      <w:r>
        <w:rPr>
          <w:rFonts w:ascii="Calibri" w:eastAsia="Calibri" w:hAnsi="Calibri" w:cs="Calibri"/>
        </w:rPr>
        <w:t xml:space="preserve">¼ </w:t>
      </w:r>
      <w:r>
        <w:t>total skeletal stratigraphic contribution</w:t>
      </w:r>
      <w:r>
        <w:rPr>
          <w:rFonts w:ascii="Calibri" w:eastAsia="Calibri" w:hAnsi="Calibri" w:cs="Calibri"/>
        </w:rPr>
        <w:t>:</w:t>
      </w:r>
      <w:r>
        <w:rPr>
          <w:rFonts w:ascii="Calibri" w:eastAsia="Calibri" w:hAnsi="Calibri" w:cs="Calibri"/>
        </w:rPr>
        <w:tab/>
        <w:t>ð</w:t>
      </w:r>
      <w:r>
        <w:t>3</w:t>
      </w:r>
      <w:r>
        <w:rPr>
          <w:rFonts w:ascii="Calibri" w:eastAsia="Calibri" w:hAnsi="Calibri" w:cs="Calibri"/>
        </w:rPr>
        <w:t>Þ</w:t>
      </w:r>
    </w:p>
    <w:p w14:paraId="7187028B" w14:textId="77777777" w:rsidR="00CF7124" w:rsidRDefault="001578E5">
      <w:pPr>
        <w:spacing w:after="299"/>
        <w:ind w:left="86"/>
      </w:pPr>
      <w:r>
        <w:t>Applying this quantitative proxy to a sediment package including the 4 community types, each with a bed thickness corresponding with the standard values established earlier (</w:t>
      </w:r>
      <w:r>
        <w:rPr>
          <w:color w:val="2D3092"/>
        </w:rPr>
        <w:t>Table 5</w:t>
      </w:r>
      <w:r>
        <w:t>) and therefore a total thickness of</w:t>
      </w:r>
    </w:p>
    <w:p w14:paraId="63797BE4" w14:textId="77777777" w:rsidR="00CF7124" w:rsidRDefault="001578E5">
      <w:pPr>
        <w:spacing w:after="199" w:line="259" w:lineRule="auto"/>
        <w:ind w:left="2651" w:firstLine="0"/>
        <w:jc w:val="left"/>
      </w:pPr>
      <w:r>
        <w:rPr>
          <w:noProof/>
        </w:rPr>
        <w:drawing>
          <wp:inline distT="0" distB="0" distL="0" distR="0" wp14:anchorId="39C1B628" wp14:editId="5775EFB3">
            <wp:extent cx="2664914" cy="718560"/>
            <wp:effectExtent l="0" t="0" r="0" b="0"/>
            <wp:docPr id="950" name="Picture 950"/>
            <wp:cNvGraphicFramePr/>
            <a:graphic xmlns:a="http://schemas.openxmlformats.org/drawingml/2006/main">
              <a:graphicData uri="http://schemas.openxmlformats.org/drawingml/2006/picture">
                <pic:pic xmlns:pic="http://schemas.openxmlformats.org/drawingml/2006/picture">
                  <pic:nvPicPr>
                    <pic:cNvPr id="950" name="Picture 950"/>
                    <pic:cNvPicPr/>
                  </pic:nvPicPr>
                  <pic:blipFill>
                    <a:blip r:embed="rId23"/>
                    <a:stretch>
                      <a:fillRect/>
                    </a:stretch>
                  </pic:blipFill>
                  <pic:spPr>
                    <a:xfrm>
                      <a:off x="0" y="0"/>
                      <a:ext cx="2664914" cy="718560"/>
                    </a:xfrm>
                    <a:prstGeom prst="rect">
                      <a:avLst/>
                    </a:prstGeom>
                  </pic:spPr>
                </pic:pic>
              </a:graphicData>
            </a:graphic>
          </wp:inline>
        </w:drawing>
      </w:r>
    </w:p>
    <w:p w14:paraId="4692BB29" w14:textId="77777777" w:rsidR="00CF7124" w:rsidRDefault="001578E5">
      <w:pPr>
        <w:spacing w:after="4" w:line="269" w:lineRule="auto"/>
        <w:ind w:left="86" w:firstLine="0"/>
      </w:pPr>
      <w:r>
        <w:rPr>
          <w:sz w:val="16"/>
        </w:rPr>
        <w:t xml:space="preserve">Fig. 10. Sketch diagram showing the </w:t>
      </w:r>
      <w:r>
        <w:rPr>
          <w:sz w:val="16"/>
        </w:rPr>
        <w:t xml:space="preserve">stratigraphic significance of a </w:t>
      </w:r>
      <w:r>
        <w:rPr>
          <w:rFonts w:ascii="Calibri" w:eastAsia="Calibri" w:hAnsi="Calibri" w:cs="Calibri"/>
          <w:sz w:val="16"/>
        </w:rPr>
        <w:t>b</w:t>
      </w:r>
      <w:r>
        <w:rPr>
          <w:sz w:val="16"/>
        </w:rPr>
        <w:t>module</w:t>
      </w:r>
      <w:r>
        <w:rPr>
          <w:rFonts w:ascii="Calibri" w:eastAsia="Calibri" w:hAnsi="Calibri" w:cs="Calibri"/>
          <w:sz w:val="16"/>
        </w:rPr>
        <w:t xml:space="preserve">Q </w:t>
      </w:r>
      <w:r>
        <w:rPr>
          <w:sz w:val="16"/>
        </w:rPr>
        <w:t>including laterally adjacent rudist-rich and rudist-free sediments, the relative dimensions of which depend on community types.</w:t>
      </w:r>
    </w:p>
    <w:p w14:paraId="0622EBDD" w14:textId="77777777" w:rsidR="00CF7124" w:rsidRDefault="00CF7124">
      <w:pPr>
        <w:sectPr w:rsidR="00CF7124">
          <w:type w:val="continuous"/>
          <w:pgSz w:w="10885" w:h="14854"/>
          <w:pgMar w:top="1346" w:right="736" w:bottom="1032" w:left="737" w:header="720" w:footer="720" w:gutter="0"/>
          <w:cols w:space="720"/>
        </w:sectPr>
      </w:pPr>
    </w:p>
    <w:p w14:paraId="04BF3A35" w14:textId="77777777" w:rsidR="00CF7124" w:rsidRDefault="001578E5">
      <w:pPr>
        <w:ind w:left="-15" w:firstLine="0"/>
      </w:pPr>
      <w:r>
        <w:t>1.86 m, the total stratigraphic skeletal contribution is 13.2%. This va</w:t>
      </w:r>
      <w:r>
        <w:t>lue is very close to those based on averaging the estimates per module (12.8%) (see above).</w:t>
      </w:r>
    </w:p>
    <w:tbl>
      <w:tblPr>
        <w:tblStyle w:val="TableGrid"/>
        <w:tblpPr w:vertAnchor="text" w:horzAnchor="margin" w:tblpY="12022"/>
        <w:tblOverlap w:val="never"/>
        <w:tblW w:w="9325" w:type="dxa"/>
        <w:tblInd w:w="0" w:type="dxa"/>
        <w:tblCellMar>
          <w:top w:w="0" w:type="dxa"/>
          <w:left w:w="0" w:type="dxa"/>
          <w:bottom w:w="0" w:type="dxa"/>
          <w:right w:w="86" w:type="dxa"/>
        </w:tblCellMar>
        <w:tblLook w:val="04A0" w:firstRow="1" w:lastRow="0" w:firstColumn="1" w:lastColumn="0" w:noHBand="0" w:noVBand="1"/>
      </w:tblPr>
      <w:tblGrid>
        <w:gridCol w:w="9325"/>
      </w:tblGrid>
      <w:tr w:rsidR="00CF7124" w14:paraId="404A00F5" w14:textId="77777777">
        <w:trPr>
          <w:trHeight w:val="344"/>
        </w:trPr>
        <w:tc>
          <w:tcPr>
            <w:tcW w:w="9325" w:type="dxa"/>
            <w:tcBorders>
              <w:top w:val="nil"/>
              <w:left w:val="nil"/>
              <w:bottom w:val="nil"/>
              <w:right w:val="nil"/>
            </w:tcBorders>
            <w:vAlign w:val="bottom"/>
          </w:tcPr>
          <w:p w14:paraId="3728AA38" w14:textId="77777777" w:rsidR="00CF7124" w:rsidRDefault="001578E5">
            <w:pPr>
              <w:spacing w:after="199" w:line="259" w:lineRule="auto"/>
              <w:ind w:left="1233" w:firstLine="0"/>
              <w:jc w:val="left"/>
            </w:pPr>
            <w:r>
              <w:rPr>
                <w:noProof/>
              </w:rPr>
              <w:lastRenderedPageBreak/>
              <w:drawing>
                <wp:inline distT="0" distB="0" distL="0" distR="0" wp14:anchorId="627997B1" wp14:editId="6DBD5031">
                  <wp:extent cx="4246754" cy="6738480"/>
                  <wp:effectExtent l="0" t="0" r="0" b="0"/>
                  <wp:docPr id="1000" name="Picture 1000"/>
                  <wp:cNvGraphicFramePr/>
                  <a:graphic xmlns:a="http://schemas.openxmlformats.org/drawingml/2006/main">
                    <a:graphicData uri="http://schemas.openxmlformats.org/drawingml/2006/picture">
                      <pic:pic xmlns:pic="http://schemas.openxmlformats.org/drawingml/2006/picture">
                        <pic:nvPicPr>
                          <pic:cNvPr id="1000" name="Picture 1000"/>
                          <pic:cNvPicPr/>
                        </pic:nvPicPr>
                        <pic:blipFill>
                          <a:blip r:embed="rId24"/>
                          <a:stretch>
                            <a:fillRect/>
                          </a:stretch>
                        </pic:blipFill>
                        <pic:spPr>
                          <a:xfrm>
                            <a:off x="0" y="0"/>
                            <a:ext cx="4246754" cy="6738480"/>
                          </a:xfrm>
                          <a:prstGeom prst="rect">
                            <a:avLst/>
                          </a:prstGeom>
                        </pic:spPr>
                      </pic:pic>
                    </a:graphicData>
                  </a:graphic>
                </wp:inline>
              </w:drawing>
            </w:r>
          </w:p>
          <w:p w14:paraId="2E16EB34" w14:textId="77777777" w:rsidR="00CF7124" w:rsidRDefault="001578E5">
            <w:pPr>
              <w:spacing w:after="0" w:line="259" w:lineRule="auto"/>
              <w:ind w:left="-86" w:firstLine="0"/>
            </w:pPr>
            <w:r>
              <w:rPr>
                <w:sz w:val="16"/>
              </w:rPr>
              <w:t>Fig. 11. Cyclostratigraphy (Milankovitch cycles) of unit 1 of the Boumandariel sequence based on palaeobathymetric interpretation, and cycle durations (E1, E2 ref</w:t>
            </w:r>
            <w:r>
              <w:rPr>
                <w:sz w:val="16"/>
              </w:rPr>
              <w:t>er to major exposure surfaces).</w:t>
            </w:r>
          </w:p>
        </w:tc>
      </w:tr>
    </w:tbl>
    <w:p w14:paraId="72139363" w14:textId="77777777" w:rsidR="00CF7124" w:rsidRDefault="001578E5">
      <w:pPr>
        <w:ind w:left="-15"/>
      </w:pPr>
      <w:r>
        <w:t>For a stratigraphic unit departing from the above model the corresponding value will be: low when the cumulative thickness of rudist-free beds is high, especially for inter-supratidal ones, relatively modest when</w:t>
      </w:r>
      <w:r>
        <w:br w:type="page"/>
      </w:r>
    </w:p>
    <w:p w14:paraId="740A3BBE" w14:textId="77777777" w:rsidR="00CF7124" w:rsidRDefault="001578E5">
      <w:pPr>
        <w:spacing w:after="230"/>
        <w:ind w:left="-15" w:firstLine="0"/>
      </w:pPr>
      <w:r>
        <w:lastRenderedPageBreak/>
        <w:t xml:space="preserve">the cumulative thickness of communities 1 </w:t>
      </w:r>
      <w:r>
        <w:t>and 4 is high, with a maximum of 11.6%, and high when the cumulative thickness of communities 2 and 3 is high, with a maximum of 15.1%.</w:t>
      </w:r>
    </w:p>
    <w:p w14:paraId="47A2CEC0" w14:textId="77777777" w:rsidR="00CF7124" w:rsidRDefault="001578E5">
      <w:pPr>
        <w:spacing w:after="234" w:line="253" w:lineRule="auto"/>
        <w:ind w:left="-5" w:hanging="10"/>
        <w:jc w:val="left"/>
      </w:pPr>
      <w:r>
        <w:t>5. Carbonate production of rudists</w:t>
      </w:r>
    </w:p>
    <w:p w14:paraId="4BE276CA" w14:textId="77777777" w:rsidR="00CF7124" w:rsidRDefault="001578E5">
      <w:pPr>
        <w:ind w:left="-15"/>
      </w:pPr>
      <w:r>
        <w:t>Estimating volume or weight of carbonate produced by rudist shells on a given surface</w:t>
      </w:r>
      <w:r>
        <w:t xml:space="preserve"> during a given time span requires the evaluation of durations of stratigraphic intervals. Cyclostratigraphic investigations, </w:t>
      </w:r>
      <w:proofErr w:type="gramStart"/>
      <w:r>
        <w:t>i.e.</w:t>
      </w:r>
      <w:proofErr w:type="gramEnd"/>
      <w:r>
        <w:t xml:space="preserve"> the search for bedding cyclicity and stacking hierarchies reflecting Milankovitch cycles, mainly eccentricity (100 ka) and pr</w:t>
      </w:r>
      <w:r>
        <w:t>ecessionnal (20 ka) cycles (</w:t>
      </w:r>
      <w:r>
        <w:rPr>
          <w:color w:val="2D3092"/>
        </w:rPr>
        <w:t>Berger and Loutre, 1994</w:t>
      </w:r>
      <w:r>
        <w:t xml:space="preserve">) </w:t>
      </w:r>
      <w:r>
        <w:t>were performed for this purpose on unit 1 of the Boumandariel sequence (thickness range 3.8 to 6.4 m).</w:t>
      </w:r>
    </w:p>
    <w:p w14:paraId="49F3F175" w14:textId="77777777" w:rsidR="00CF7124" w:rsidRDefault="001578E5">
      <w:pPr>
        <w:ind w:left="-15"/>
      </w:pPr>
      <w:r>
        <w:t xml:space="preserve">This peritidal unit is bound by two exposure surfaces and includes a set of elementary sequences with subtidal, </w:t>
      </w:r>
      <w:proofErr w:type="gramStart"/>
      <w:r>
        <w:t>intertidal</w:t>
      </w:r>
      <w:proofErr w:type="gramEnd"/>
      <w:r>
        <w:t xml:space="preserve"> and supratidal deposits. Our c</w:t>
      </w:r>
      <w:r>
        <w:t xml:space="preserve">yclostratigraphic interpretation derives from a palaeobathymetric curve based on the </w:t>
      </w:r>
      <w:r>
        <w:rPr>
          <w:color w:val="2D3092"/>
        </w:rPr>
        <w:t xml:space="preserve">Masse et al. (2003) </w:t>
      </w:r>
      <w:r>
        <w:t>model. The boundaries of precessionally forced sediment cycles are located at discontinuity surfaces corresponding with abrupt negative palaeobathymetr</w:t>
      </w:r>
      <w:r>
        <w:t xml:space="preserve">ic excursions, </w:t>
      </w:r>
      <w:proofErr w:type="gramStart"/>
      <w:r>
        <w:t>i.e.</w:t>
      </w:r>
      <w:proofErr w:type="gramEnd"/>
      <w:r>
        <w:t xml:space="preserve"> inter-supratidal sediments abruptly overlying subtidal ones. This implies for each cycle a limited depositional hiatus in the sedimentary record, by contrast with most of the cyclostratigraphic models dealing with peritidal carbonates i</w:t>
      </w:r>
      <w:r>
        <w:t>ncluding long lasting exposure surfaces (</w:t>
      </w:r>
      <w:proofErr w:type="gramStart"/>
      <w:r>
        <w:t>e.g.</w:t>
      </w:r>
      <w:proofErr w:type="gramEnd"/>
      <w:r>
        <w:t xml:space="preserve"> </w:t>
      </w:r>
      <w:r>
        <w:rPr>
          <w:color w:val="2D3092"/>
        </w:rPr>
        <w:t>Drummond and Wilkinson, 1993; Anderson, 2004</w:t>
      </w:r>
      <w:r>
        <w:t>). Our model matches the 5/1 stacking pattern predicted for precessional cycles bundled in one eccentricity cycle (</w:t>
      </w:r>
      <w:r>
        <w:rPr>
          <w:color w:val="2D3092"/>
        </w:rPr>
        <w:t>Goldhammer et al., 1987, 1990; Strasser, 1994; Ande</w:t>
      </w:r>
      <w:r>
        <w:rPr>
          <w:color w:val="2D3092"/>
        </w:rPr>
        <w:t>rson, 2004</w:t>
      </w:r>
      <w:r>
        <w:t xml:space="preserve">). Bed thickness of the interpreted precessional cycles fluctuates from 0.5 to 1.8 m and increase upward when reaching the </w:t>
      </w:r>
      <w:proofErr w:type="gramStart"/>
      <w:r>
        <w:t>100 ka</w:t>
      </w:r>
      <w:proofErr w:type="gramEnd"/>
      <w:r>
        <w:t xml:space="preserve"> cycle peak (see </w:t>
      </w:r>
      <w:r>
        <w:rPr>
          <w:color w:val="2D3092"/>
        </w:rPr>
        <w:t>Anderson, 2004</w:t>
      </w:r>
      <w:r>
        <w:t>). The corresponding eccentricity cycle fluctuates regionally from 3.8 to 6. 4 m. This</w:t>
      </w:r>
      <w:r>
        <w:t xml:space="preserve"> thickness is in the range of those proposed from eccentricity cycles of Cretaceous platform carbonates (</w:t>
      </w:r>
      <w:r>
        <w:rPr>
          <w:color w:val="2D3092"/>
        </w:rPr>
        <w:t>Strasser, 1994; D’Argenio et al., 1997; Buonocunto et al., 1999; Strasser et al., 2000; Sandulli, 2004; Anderson, 2004</w:t>
      </w:r>
      <w:r>
        <w:t>) or their Triassic equivalents (</w:t>
      </w:r>
      <w:r>
        <w:rPr>
          <w:color w:val="2D3092"/>
        </w:rPr>
        <w:t>Haas, 1994</w:t>
      </w:r>
      <w:r>
        <w:t xml:space="preserve">), generated in an overall greenhouse world. These values are corroborated by duration estimates deduced from the combination of biostratigraphic dating and radiochronological data. In the Marseille area the drowning of the Barremian platform is </w:t>
      </w:r>
      <w:r>
        <w:t xml:space="preserve">ascribed to the </w:t>
      </w:r>
      <w:r>
        <w:t xml:space="preserve">Giraudi </w:t>
      </w:r>
      <w:r>
        <w:t>ammonite zone (</w:t>
      </w:r>
      <w:r>
        <w:rPr>
          <w:color w:val="2D3092"/>
        </w:rPr>
        <w:t>Ropolo et al., 1998</w:t>
      </w:r>
      <w:r>
        <w:t xml:space="preserve">), therefore </w:t>
      </w:r>
      <w:r>
        <w:t xml:space="preserve">the Upper Barremian succession underlying this drowning discontinuity represents only the </w:t>
      </w:r>
      <w:r>
        <w:t>Vandenheckii</w:t>
      </w:r>
      <w:r>
        <w:t>–</w:t>
      </w:r>
      <w:r>
        <w:t xml:space="preserve">Feraudianus </w:t>
      </w:r>
      <w:r>
        <w:t xml:space="preserve">interval. The duration of the time span in question is 2.27 Ma for </w:t>
      </w:r>
      <w:r>
        <w:rPr>
          <w:color w:val="2D3092"/>
        </w:rPr>
        <w:t>Har</w:t>
      </w:r>
      <w:r>
        <w:rPr>
          <w:color w:val="2D3092"/>
        </w:rPr>
        <w:t xml:space="preserve">denbol et al. (1998) </w:t>
      </w:r>
      <w:r>
        <w:t>and the corresponding sediments 140 m thick (</w:t>
      </w:r>
      <w:r>
        <w:rPr>
          <w:color w:val="2D3092"/>
        </w:rPr>
        <w:t>Masse, 1976</w:t>
      </w:r>
      <w:r>
        <w:t>), which means 6.0 m an average by eccentricity cycle in this interval. The palaeobathymetric amplitude of each precessional unit is in the range of the eustatic fluctuations (1–2</w:t>
      </w:r>
      <w:r>
        <w:t xml:space="preserve"> m) predicted for a greenhouse world (</w:t>
      </w:r>
      <w:r>
        <w:rPr>
          <w:color w:val="2D3092"/>
        </w:rPr>
        <w:t>Schulz and Scha¨fer-Neth, 1997</w:t>
      </w:r>
      <w:r>
        <w:t>), notwithstanding subsidence control cannot be overlooked (</w:t>
      </w:r>
      <w:r>
        <w:rPr>
          <w:color w:val="2D3092"/>
        </w:rPr>
        <w:t>Drummond and Wilkinson, 1993</w:t>
      </w:r>
      <w:r>
        <w:t>) and compaction of underlying beds as well (</w:t>
      </w:r>
      <w:r>
        <w:rPr>
          <w:color w:val="2D3092"/>
        </w:rPr>
        <w:t>Hunt et al., 1995; Masse et al., 2001</w:t>
      </w:r>
      <w:r>
        <w:t>) for additional a</w:t>
      </w:r>
      <w:r>
        <w:t xml:space="preserve">ccommodation. </w:t>
      </w:r>
      <w:r>
        <w:rPr>
          <w:color w:val="2D3092"/>
        </w:rPr>
        <w:t xml:space="preserve">Fig. 11 </w:t>
      </w:r>
      <w:r>
        <w:t>shows that for each precessional cycle bed thickness is relatively small (</w:t>
      </w:r>
      <w:r>
        <w:rPr>
          <w:rFonts w:ascii="Calibri" w:eastAsia="Calibri" w:hAnsi="Calibri" w:cs="Calibri"/>
        </w:rPr>
        <w:t>b</w:t>
      </w:r>
      <w:r>
        <w:t>1 m) when dominated by communities 1 and 2 and relatively high (</w:t>
      </w:r>
      <w:r>
        <w:rPr>
          <w:rFonts w:ascii="Calibri" w:eastAsia="Calibri" w:hAnsi="Calibri" w:cs="Calibri"/>
        </w:rPr>
        <w:t>N</w:t>
      </w:r>
      <w:r>
        <w:t>1.5 m) when dominated by communities 3 and 4. This pattern, related to palaeobathymetry (</w:t>
      </w:r>
      <w:r>
        <w:rPr>
          <w:color w:val="2D3092"/>
        </w:rPr>
        <w:t>Masse</w:t>
      </w:r>
      <w:r>
        <w:rPr>
          <w:color w:val="2D3092"/>
        </w:rPr>
        <w:t xml:space="preserve"> et al., 2003</w:t>
      </w:r>
      <w:r>
        <w:t>) also reflects distinctive accumulation rates for each group of communities, community 1 having the lowest rate and community 4 the highest.</w:t>
      </w:r>
    </w:p>
    <w:p w14:paraId="2E82F9AF" w14:textId="77777777" w:rsidR="00CF7124" w:rsidRDefault="001578E5">
      <w:pPr>
        <w:spacing w:after="318"/>
        <w:ind w:left="-15"/>
      </w:pPr>
      <w:r>
        <w:t>Because compaction was not considered as a significant factor for bed thickness reduction in the stud</w:t>
      </w:r>
      <w:r>
        <w:t xml:space="preserve">ied sequence (see discussion in </w:t>
      </w:r>
      <w:r>
        <w:rPr>
          <w:color w:val="2D3092"/>
        </w:rPr>
        <w:t>Masse et al., 2003</w:t>
      </w:r>
      <w:r>
        <w:t xml:space="preserve">) we used the present-day bed thickness for estimating accumulation rates. </w:t>
      </w:r>
      <w:proofErr w:type="gramStart"/>
      <w:r>
        <w:t>Moreover</w:t>
      </w:r>
      <w:proofErr w:type="gramEnd"/>
      <w:r>
        <w:t xml:space="preserve"> owing to the absence of </w:t>
      </w:r>
      <w:r>
        <w:rPr>
          <w:rFonts w:ascii="Calibri" w:eastAsia="Calibri" w:hAnsi="Calibri" w:cs="Calibri"/>
        </w:rPr>
        <w:t>b</w:t>
      </w:r>
      <w:r>
        <w:t>longlasting</w:t>
      </w:r>
      <w:r>
        <w:rPr>
          <w:rFonts w:ascii="Calibri" w:eastAsia="Calibri" w:hAnsi="Calibri" w:cs="Calibri"/>
        </w:rPr>
        <w:t xml:space="preserve">Q </w:t>
      </w:r>
      <w:r>
        <w:t xml:space="preserve">exposure surface we regarded the sedimentary record as continuous. </w:t>
      </w:r>
      <w:r>
        <w:rPr>
          <w:rFonts w:ascii="Calibri" w:eastAsia="Calibri" w:hAnsi="Calibri" w:cs="Calibri"/>
        </w:rPr>
        <w:t>b</w:t>
      </w:r>
      <w:r>
        <w:t>Long-lasting</w:t>
      </w:r>
      <w:r>
        <w:rPr>
          <w:rFonts w:ascii="Calibri" w:eastAsia="Calibri" w:hAnsi="Calibri" w:cs="Calibri"/>
        </w:rPr>
        <w:t xml:space="preserve">Q </w:t>
      </w:r>
      <w:r>
        <w:t>ex</w:t>
      </w:r>
      <w:r>
        <w:t>posure surfaces identifying sequence boundary are bracketing the reference stratigraphic succession whereas ephemeral exposure surface (</w:t>
      </w:r>
      <w:proofErr w:type="gramStart"/>
      <w:r>
        <w:t>e.g.</w:t>
      </w:r>
      <w:proofErr w:type="gramEnd"/>
      <w:r>
        <w:t xml:space="preserve"> topmost part of fenestrated horizons, polygonally cracked surfaces associated with mudstones) punctuate the success</w:t>
      </w:r>
      <w:r>
        <w:t>ion, mainly the lower half. Forward modelling investigations on the study sequence using Dionisos software (work in progress) suggest accumulation rates in the range of 0.03 m ka</w:t>
      </w:r>
      <w:r>
        <w:rPr>
          <w:vertAlign w:val="superscript"/>
        </w:rPr>
        <w:t xml:space="preserve">1 </w:t>
      </w:r>
      <w:r>
        <w:t>for community 1 to 0.10 m ka</w:t>
      </w:r>
      <w:r>
        <w:rPr>
          <w:vertAlign w:val="superscript"/>
        </w:rPr>
        <w:t xml:space="preserve">1 </w:t>
      </w:r>
      <w:r>
        <w:t>for community 4 (</w:t>
      </w:r>
      <w:r>
        <w:rPr>
          <w:color w:val="2D3092"/>
        </w:rPr>
        <w:t>Table 6</w:t>
      </w:r>
      <w:r>
        <w:t xml:space="preserve">). It is worth noting </w:t>
      </w:r>
      <w:r>
        <w:t>that by using decompaction techniques (</w:t>
      </w:r>
      <w:proofErr w:type="gramStart"/>
      <w:r>
        <w:t>e.g.</w:t>
      </w:r>
      <w:proofErr w:type="gramEnd"/>
      <w:r>
        <w:t xml:space="preserve"> with an average 50% reduction of the original thickness) to reconstruct the original thickness (</w:t>
      </w:r>
      <w:r>
        <w:rPr>
          <w:color w:val="2D3092"/>
        </w:rPr>
        <w:t>Strasser and Samankassou, 2003</w:t>
      </w:r>
      <w:r>
        <w:t>) may increase the corresponding accumulation rates by a factor 2. Similarly including</w:t>
      </w:r>
      <w:r>
        <w:t xml:space="preserve"> sedimentary gaps, </w:t>
      </w:r>
      <w:proofErr w:type="gramStart"/>
      <w:r>
        <w:t>e.g.</w:t>
      </w:r>
      <w:proofErr w:type="gramEnd"/>
      <w:r>
        <w:t xml:space="preserve"> averaging 50% of the elapsed time, may also increase the corresponding accumulation rates by a factor 2. Whatever the scenario used for the calculation of accumulation rates, the values are</w:t>
      </w:r>
    </w:p>
    <w:p w14:paraId="71B182CA" w14:textId="77777777" w:rsidR="00CF7124" w:rsidRDefault="001578E5">
      <w:pPr>
        <w:spacing w:after="4" w:line="269" w:lineRule="auto"/>
        <w:ind w:left="-15" w:firstLine="0"/>
      </w:pPr>
      <w:r>
        <w:rPr>
          <w:sz w:val="16"/>
        </w:rPr>
        <w:lastRenderedPageBreak/>
        <w:t>Table 6</w:t>
      </w:r>
    </w:p>
    <w:p w14:paraId="41F385E1" w14:textId="77777777" w:rsidR="00CF7124" w:rsidRDefault="001578E5">
      <w:pPr>
        <w:spacing w:after="4" w:line="269" w:lineRule="auto"/>
        <w:ind w:left="-15" w:firstLine="0"/>
      </w:pPr>
      <w:r>
        <w:rPr>
          <w:sz w:val="16"/>
        </w:rPr>
        <w:t>Accumulation rates for sediments a</w:t>
      </w:r>
      <w:r>
        <w:rPr>
          <w:sz w:val="16"/>
        </w:rPr>
        <w:t>ssociated with communities 1 to 4, based on 3 senarios (see text for details)</w:t>
      </w:r>
    </w:p>
    <w:tbl>
      <w:tblPr>
        <w:tblStyle w:val="TableGrid"/>
        <w:tblW w:w="4423" w:type="dxa"/>
        <w:tblInd w:w="0" w:type="dxa"/>
        <w:tblCellMar>
          <w:top w:w="27" w:type="dxa"/>
          <w:left w:w="0" w:type="dxa"/>
          <w:bottom w:w="0" w:type="dxa"/>
          <w:right w:w="0" w:type="dxa"/>
        </w:tblCellMar>
        <w:tblLook w:val="04A0" w:firstRow="1" w:lastRow="0" w:firstColumn="1" w:lastColumn="0" w:noHBand="0" w:noVBand="1"/>
      </w:tblPr>
      <w:tblGrid>
        <w:gridCol w:w="1385"/>
        <w:gridCol w:w="1178"/>
        <w:gridCol w:w="1179"/>
        <w:gridCol w:w="681"/>
      </w:tblGrid>
      <w:tr w:rsidR="00CF7124" w14:paraId="18CC0FBF" w14:textId="77777777">
        <w:trPr>
          <w:trHeight w:val="468"/>
        </w:trPr>
        <w:tc>
          <w:tcPr>
            <w:tcW w:w="1384" w:type="dxa"/>
            <w:tcBorders>
              <w:top w:val="single" w:sz="4" w:space="0" w:color="221F1F"/>
              <w:left w:val="nil"/>
              <w:bottom w:val="single" w:sz="4" w:space="0" w:color="221F1F"/>
              <w:right w:val="nil"/>
            </w:tcBorders>
          </w:tcPr>
          <w:p w14:paraId="3663E460" w14:textId="77777777" w:rsidR="00CF7124" w:rsidRDefault="00CF7124">
            <w:pPr>
              <w:spacing w:after="160" w:line="259" w:lineRule="auto"/>
              <w:ind w:firstLine="0"/>
              <w:jc w:val="left"/>
            </w:pPr>
          </w:p>
        </w:tc>
        <w:tc>
          <w:tcPr>
            <w:tcW w:w="1178" w:type="dxa"/>
            <w:tcBorders>
              <w:top w:val="single" w:sz="4" w:space="0" w:color="221F1F"/>
              <w:left w:val="nil"/>
              <w:bottom w:val="single" w:sz="4" w:space="0" w:color="221F1F"/>
              <w:right w:val="nil"/>
            </w:tcBorders>
          </w:tcPr>
          <w:p w14:paraId="313D1656" w14:textId="77777777" w:rsidR="00CF7124" w:rsidRDefault="001578E5">
            <w:pPr>
              <w:spacing w:after="2" w:line="259" w:lineRule="auto"/>
              <w:ind w:firstLine="0"/>
              <w:jc w:val="left"/>
            </w:pPr>
            <w:r>
              <w:rPr>
                <w:sz w:val="16"/>
              </w:rPr>
              <w:t>Scenario 1</w:t>
            </w:r>
          </w:p>
          <w:p w14:paraId="0F8EA475" w14:textId="77777777" w:rsidR="00CF7124" w:rsidRDefault="001578E5">
            <w:pPr>
              <w:spacing w:after="0" w:line="259" w:lineRule="auto"/>
              <w:ind w:firstLine="0"/>
              <w:jc w:val="left"/>
            </w:pPr>
            <w:r>
              <w:rPr>
                <w:sz w:val="16"/>
              </w:rPr>
              <w:t>(m ka</w:t>
            </w:r>
            <w:r>
              <w:rPr>
                <w:sz w:val="16"/>
                <w:vertAlign w:val="superscript"/>
              </w:rPr>
              <w:t>1</w:t>
            </w:r>
            <w:r>
              <w:rPr>
                <w:sz w:val="16"/>
              </w:rPr>
              <w:t>)</w:t>
            </w:r>
          </w:p>
        </w:tc>
        <w:tc>
          <w:tcPr>
            <w:tcW w:w="1179" w:type="dxa"/>
            <w:tcBorders>
              <w:top w:val="single" w:sz="4" w:space="0" w:color="221F1F"/>
              <w:left w:val="nil"/>
              <w:bottom w:val="single" w:sz="4" w:space="0" w:color="221F1F"/>
              <w:right w:val="nil"/>
            </w:tcBorders>
          </w:tcPr>
          <w:p w14:paraId="6E47CD5B" w14:textId="77777777" w:rsidR="00CF7124" w:rsidRDefault="001578E5">
            <w:pPr>
              <w:spacing w:after="2" w:line="259" w:lineRule="auto"/>
              <w:ind w:firstLine="0"/>
              <w:jc w:val="left"/>
            </w:pPr>
            <w:r>
              <w:rPr>
                <w:sz w:val="16"/>
              </w:rPr>
              <w:t>Scenario 2</w:t>
            </w:r>
          </w:p>
          <w:p w14:paraId="539E0662" w14:textId="77777777" w:rsidR="00CF7124" w:rsidRDefault="001578E5">
            <w:pPr>
              <w:spacing w:after="0" w:line="259" w:lineRule="auto"/>
              <w:ind w:firstLine="0"/>
              <w:jc w:val="left"/>
            </w:pPr>
            <w:r>
              <w:rPr>
                <w:sz w:val="16"/>
              </w:rPr>
              <w:t>(m ka</w:t>
            </w:r>
            <w:r>
              <w:rPr>
                <w:sz w:val="16"/>
                <w:vertAlign w:val="superscript"/>
              </w:rPr>
              <w:t>1</w:t>
            </w:r>
            <w:r>
              <w:rPr>
                <w:sz w:val="16"/>
              </w:rPr>
              <w:t>)</w:t>
            </w:r>
          </w:p>
        </w:tc>
        <w:tc>
          <w:tcPr>
            <w:tcW w:w="681" w:type="dxa"/>
            <w:tcBorders>
              <w:top w:val="single" w:sz="4" w:space="0" w:color="221F1F"/>
              <w:left w:val="nil"/>
              <w:bottom w:val="single" w:sz="4" w:space="0" w:color="221F1F"/>
              <w:right w:val="nil"/>
            </w:tcBorders>
          </w:tcPr>
          <w:p w14:paraId="7067ADD9" w14:textId="77777777" w:rsidR="00CF7124" w:rsidRDefault="001578E5">
            <w:pPr>
              <w:spacing w:after="6" w:line="259" w:lineRule="auto"/>
              <w:ind w:firstLine="0"/>
            </w:pPr>
            <w:r>
              <w:rPr>
                <w:sz w:val="16"/>
              </w:rPr>
              <w:t>Scenario 3</w:t>
            </w:r>
          </w:p>
          <w:p w14:paraId="54854C47" w14:textId="77777777" w:rsidR="00CF7124" w:rsidRDefault="001578E5">
            <w:pPr>
              <w:spacing w:after="0" w:line="259" w:lineRule="auto"/>
              <w:ind w:firstLine="0"/>
              <w:jc w:val="left"/>
            </w:pPr>
            <w:r>
              <w:rPr>
                <w:sz w:val="16"/>
              </w:rPr>
              <w:t>(m ka</w:t>
            </w:r>
            <w:r>
              <w:rPr>
                <w:sz w:val="16"/>
                <w:vertAlign w:val="superscript"/>
              </w:rPr>
              <w:t>1</w:t>
            </w:r>
            <w:r>
              <w:rPr>
                <w:sz w:val="16"/>
              </w:rPr>
              <w:t>)</w:t>
            </w:r>
          </w:p>
        </w:tc>
      </w:tr>
      <w:tr w:rsidR="00CF7124" w14:paraId="6E842854" w14:textId="77777777">
        <w:trPr>
          <w:trHeight w:val="266"/>
        </w:trPr>
        <w:tc>
          <w:tcPr>
            <w:tcW w:w="1384" w:type="dxa"/>
            <w:tcBorders>
              <w:top w:val="single" w:sz="4" w:space="0" w:color="221F1F"/>
              <w:left w:val="nil"/>
              <w:bottom w:val="nil"/>
              <w:right w:val="nil"/>
            </w:tcBorders>
          </w:tcPr>
          <w:p w14:paraId="6784BE98" w14:textId="77777777" w:rsidR="00CF7124" w:rsidRDefault="001578E5">
            <w:pPr>
              <w:spacing w:after="0" w:line="259" w:lineRule="auto"/>
              <w:ind w:firstLine="0"/>
              <w:jc w:val="left"/>
            </w:pPr>
            <w:r>
              <w:rPr>
                <w:sz w:val="16"/>
              </w:rPr>
              <w:t>Community 1</w:t>
            </w:r>
          </w:p>
        </w:tc>
        <w:tc>
          <w:tcPr>
            <w:tcW w:w="1178" w:type="dxa"/>
            <w:tcBorders>
              <w:top w:val="single" w:sz="4" w:space="0" w:color="221F1F"/>
              <w:left w:val="nil"/>
              <w:bottom w:val="nil"/>
              <w:right w:val="nil"/>
            </w:tcBorders>
          </w:tcPr>
          <w:p w14:paraId="6A90AD80" w14:textId="77777777" w:rsidR="00CF7124" w:rsidRDefault="001578E5">
            <w:pPr>
              <w:spacing w:after="0" w:line="259" w:lineRule="auto"/>
              <w:ind w:firstLine="0"/>
              <w:jc w:val="left"/>
            </w:pPr>
            <w:r>
              <w:rPr>
                <w:sz w:val="16"/>
              </w:rPr>
              <w:t>0.03</w:t>
            </w:r>
          </w:p>
        </w:tc>
        <w:tc>
          <w:tcPr>
            <w:tcW w:w="1179" w:type="dxa"/>
            <w:tcBorders>
              <w:top w:val="single" w:sz="4" w:space="0" w:color="221F1F"/>
              <w:left w:val="nil"/>
              <w:bottom w:val="nil"/>
              <w:right w:val="nil"/>
            </w:tcBorders>
          </w:tcPr>
          <w:p w14:paraId="4B5CF100" w14:textId="77777777" w:rsidR="00CF7124" w:rsidRDefault="001578E5">
            <w:pPr>
              <w:spacing w:after="0" w:line="259" w:lineRule="auto"/>
              <w:ind w:firstLine="0"/>
              <w:jc w:val="left"/>
            </w:pPr>
            <w:r>
              <w:rPr>
                <w:sz w:val="16"/>
              </w:rPr>
              <w:t>0.06</w:t>
            </w:r>
          </w:p>
        </w:tc>
        <w:tc>
          <w:tcPr>
            <w:tcW w:w="681" w:type="dxa"/>
            <w:tcBorders>
              <w:top w:val="single" w:sz="4" w:space="0" w:color="221F1F"/>
              <w:left w:val="nil"/>
              <w:bottom w:val="nil"/>
              <w:right w:val="nil"/>
            </w:tcBorders>
          </w:tcPr>
          <w:p w14:paraId="47965D40" w14:textId="77777777" w:rsidR="00CF7124" w:rsidRDefault="001578E5">
            <w:pPr>
              <w:spacing w:after="0" w:line="259" w:lineRule="auto"/>
              <w:ind w:firstLine="0"/>
              <w:jc w:val="left"/>
            </w:pPr>
            <w:r>
              <w:rPr>
                <w:sz w:val="16"/>
              </w:rPr>
              <w:t>0.12</w:t>
            </w:r>
          </w:p>
        </w:tc>
      </w:tr>
      <w:tr w:rsidR="00CF7124" w14:paraId="17B0FFAD" w14:textId="77777777">
        <w:trPr>
          <w:trHeight w:val="199"/>
        </w:trPr>
        <w:tc>
          <w:tcPr>
            <w:tcW w:w="1384" w:type="dxa"/>
            <w:tcBorders>
              <w:top w:val="nil"/>
              <w:left w:val="nil"/>
              <w:bottom w:val="nil"/>
              <w:right w:val="nil"/>
            </w:tcBorders>
          </w:tcPr>
          <w:p w14:paraId="5F0C14AD" w14:textId="77777777" w:rsidR="00CF7124" w:rsidRDefault="001578E5">
            <w:pPr>
              <w:spacing w:after="0" w:line="259" w:lineRule="auto"/>
              <w:ind w:firstLine="0"/>
              <w:jc w:val="left"/>
            </w:pPr>
            <w:r>
              <w:rPr>
                <w:sz w:val="16"/>
              </w:rPr>
              <w:t>Community 2</w:t>
            </w:r>
          </w:p>
        </w:tc>
        <w:tc>
          <w:tcPr>
            <w:tcW w:w="1178" w:type="dxa"/>
            <w:tcBorders>
              <w:top w:val="nil"/>
              <w:left w:val="nil"/>
              <w:bottom w:val="nil"/>
              <w:right w:val="nil"/>
            </w:tcBorders>
          </w:tcPr>
          <w:p w14:paraId="6D821BEB" w14:textId="77777777" w:rsidR="00CF7124" w:rsidRDefault="001578E5">
            <w:pPr>
              <w:spacing w:after="0" w:line="259" w:lineRule="auto"/>
              <w:ind w:firstLine="0"/>
              <w:jc w:val="left"/>
            </w:pPr>
            <w:r>
              <w:rPr>
                <w:sz w:val="16"/>
              </w:rPr>
              <w:t>0.05</w:t>
            </w:r>
          </w:p>
        </w:tc>
        <w:tc>
          <w:tcPr>
            <w:tcW w:w="1179" w:type="dxa"/>
            <w:tcBorders>
              <w:top w:val="nil"/>
              <w:left w:val="nil"/>
              <w:bottom w:val="nil"/>
              <w:right w:val="nil"/>
            </w:tcBorders>
          </w:tcPr>
          <w:p w14:paraId="3375F5DE" w14:textId="77777777" w:rsidR="00CF7124" w:rsidRDefault="001578E5">
            <w:pPr>
              <w:spacing w:after="0" w:line="259" w:lineRule="auto"/>
              <w:ind w:firstLine="0"/>
              <w:jc w:val="left"/>
            </w:pPr>
            <w:r>
              <w:rPr>
                <w:sz w:val="16"/>
              </w:rPr>
              <w:t>0.10</w:t>
            </w:r>
          </w:p>
        </w:tc>
        <w:tc>
          <w:tcPr>
            <w:tcW w:w="681" w:type="dxa"/>
            <w:tcBorders>
              <w:top w:val="nil"/>
              <w:left w:val="nil"/>
              <w:bottom w:val="nil"/>
              <w:right w:val="nil"/>
            </w:tcBorders>
          </w:tcPr>
          <w:p w14:paraId="4F6603EA" w14:textId="77777777" w:rsidR="00CF7124" w:rsidRDefault="001578E5">
            <w:pPr>
              <w:spacing w:after="0" w:line="259" w:lineRule="auto"/>
              <w:ind w:firstLine="0"/>
              <w:jc w:val="left"/>
            </w:pPr>
            <w:r>
              <w:rPr>
                <w:sz w:val="16"/>
              </w:rPr>
              <w:t>0.20</w:t>
            </w:r>
          </w:p>
        </w:tc>
      </w:tr>
      <w:tr w:rsidR="00CF7124" w14:paraId="707E729C" w14:textId="77777777">
        <w:trPr>
          <w:trHeight w:val="199"/>
        </w:trPr>
        <w:tc>
          <w:tcPr>
            <w:tcW w:w="1384" w:type="dxa"/>
            <w:tcBorders>
              <w:top w:val="nil"/>
              <w:left w:val="nil"/>
              <w:bottom w:val="nil"/>
              <w:right w:val="nil"/>
            </w:tcBorders>
          </w:tcPr>
          <w:p w14:paraId="7C4D5740" w14:textId="77777777" w:rsidR="00CF7124" w:rsidRDefault="001578E5">
            <w:pPr>
              <w:spacing w:after="0" w:line="259" w:lineRule="auto"/>
              <w:ind w:firstLine="0"/>
              <w:jc w:val="left"/>
            </w:pPr>
            <w:r>
              <w:rPr>
                <w:sz w:val="16"/>
              </w:rPr>
              <w:t>Community 3</w:t>
            </w:r>
          </w:p>
        </w:tc>
        <w:tc>
          <w:tcPr>
            <w:tcW w:w="1178" w:type="dxa"/>
            <w:tcBorders>
              <w:top w:val="nil"/>
              <w:left w:val="nil"/>
              <w:bottom w:val="nil"/>
              <w:right w:val="nil"/>
            </w:tcBorders>
          </w:tcPr>
          <w:p w14:paraId="3E19366D" w14:textId="77777777" w:rsidR="00CF7124" w:rsidRDefault="001578E5">
            <w:pPr>
              <w:spacing w:after="0" w:line="259" w:lineRule="auto"/>
              <w:ind w:firstLine="0"/>
              <w:jc w:val="left"/>
            </w:pPr>
            <w:r>
              <w:rPr>
                <w:sz w:val="16"/>
              </w:rPr>
              <w:t>0.07</w:t>
            </w:r>
          </w:p>
        </w:tc>
        <w:tc>
          <w:tcPr>
            <w:tcW w:w="1179" w:type="dxa"/>
            <w:tcBorders>
              <w:top w:val="nil"/>
              <w:left w:val="nil"/>
              <w:bottom w:val="nil"/>
              <w:right w:val="nil"/>
            </w:tcBorders>
          </w:tcPr>
          <w:p w14:paraId="6849B6F5" w14:textId="77777777" w:rsidR="00CF7124" w:rsidRDefault="001578E5">
            <w:pPr>
              <w:spacing w:after="0" w:line="259" w:lineRule="auto"/>
              <w:ind w:firstLine="0"/>
              <w:jc w:val="left"/>
            </w:pPr>
            <w:r>
              <w:rPr>
                <w:sz w:val="16"/>
              </w:rPr>
              <w:t>0.14</w:t>
            </w:r>
          </w:p>
        </w:tc>
        <w:tc>
          <w:tcPr>
            <w:tcW w:w="681" w:type="dxa"/>
            <w:tcBorders>
              <w:top w:val="nil"/>
              <w:left w:val="nil"/>
              <w:bottom w:val="nil"/>
              <w:right w:val="nil"/>
            </w:tcBorders>
          </w:tcPr>
          <w:p w14:paraId="6EFCBA28" w14:textId="77777777" w:rsidR="00CF7124" w:rsidRDefault="001578E5">
            <w:pPr>
              <w:spacing w:after="0" w:line="259" w:lineRule="auto"/>
              <w:ind w:firstLine="0"/>
              <w:jc w:val="left"/>
            </w:pPr>
            <w:r>
              <w:rPr>
                <w:sz w:val="16"/>
              </w:rPr>
              <w:t>0.28</w:t>
            </w:r>
          </w:p>
        </w:tc>
      </w:tr>
      <w:tr w:rsidR="00CF7124" w14:paraId="69F21A3B" w14:textId="77777777">
        <w:trPr>
          <w:trHeight w:val="213"/>
        </w:trPr>
        <w:tc>
          <w:tcPr>
            <w:tcW w:w="1384" w:type="dxa"/>
            <w:tcBorders>
              <w:top w:val="nil"/>
              <w:left w:val="nil"/>
              <w:bottom w:val="single" w:sz="4" w:space="0" w:color="221F1F"/>
              <w:right w:val="nil"/>
            </w:tcBorders>
          </w:tcPr>
          <w:p w14:paraId="3DFFC208" w14:textId="77777777" w:rsidR="00CF7124" w:rsidRDefault="001578E5">
            <w:pPr>
              <w:spacing w:after="0" w:line="259" w:lineRule="auto"/>
              <w:ind w:firstLine="0"/>
              <w:jc w:val="left"/>
            </w:pPr>
            <w:r>
              <w:rPr>
                <w:sz w:val="16"/>
              </w:rPr>
              <w:t>Community 4</w:t>
            </w:r>
          </w:p>
        </w:tc>
        <w:tc>
          <w:tcPr>
            <w:tcW w:w="1178" w:type="dxa"/>
            <w:tcBorders>
              <w:top w:val="nil"/>
              <w:left w:val="nil"/>
              <w:bottom w:val="single" w:sz="4" w:space="0" w:color="221F1F"/>
              <w:right w:val="nil"/>
            </w:tcBorders>
          </w:tcPr>
          <w:p w14:paraId="17C39463" w14:textId="77777777" w:rsidR="00CF7124" w:rsidRDefault="001578E5">
            <w:pPr>
              <w:spacing w:after="0" w:line="259" w:lineRule="auto"/>
              <w:ind w:firstLine="0"/>
              <w:jc w:val="left"/>
            </w:pPr>
            <w:r>
              <w:rPr>
                <w:sz w:val="16"/>
              </w:rPr>
              <w:t>0.10</w:t>
            </w:r>
          </w:p>
        </w:tc>
        <w:tc>
          <w:tcPr>
            <w:tcW w:w="1179" w:type="dxa"/>
            <w:tcBorders>
              <w:top w:val="nil"/>
              <w:left w:val="nil"/>
              <w:bottom w:val="single" w:sz="4" w:space="0" w:color="221F1F"/>
              <w:right w:val="nil"/>
            </w:tcBorders>
          </w:tcPr>
          <w:p w14:paraId="45204785" w14:textId="77777777" w:rsidR="00CF7124" w:rsidRDefault="001578E5">
            <w:pPr>
              <w:spacing w:after="0" w:line="259" w:lineRule="auto"/>
              <w:ind w:firstLine="0"/>
              <w:jc w:val="left"/>
            </w:pPr>
            <w:r>
              <w:rPr>
                <w:sz w:val="16"/>
              </w:rPr>
              <w:t>0.20</w:t>
            </w:r>
          </w:p>
        </w:tc>
        <w:tc>
          <w:tcPr>
            <w:tcW w:w="681" w:type="dxa"/>
            <w:tcBorders>
              <w:top w:val="nil"/>
              <w:left w:val="nil"/>
              <w:bottom w:val="single" w:sz="4" w:space="0" w:color="221F1F"/>
              <w:right w:val="nil"/>
            </w:tcBorders>
          </w:tcPr>
          <w:p w14:paraId="0264A3F2" w14:textId="77777777" w:rsidR="00CF7124" w:rsidRDefault="001578E5">
            <w:pPr>
              <w:spacing w:after="0" w:line="259" w:lineRule="auto"/>
              <w:ind w:firstLine="0"/>
              <w:jc w:val="left"/>
            </w:pPr>
            <w:r>
              <w:rPr>
                <w:sz w:val="16"/>
              </w:rPr>
              <w:t>0.40</w:t>
            </w:r>
          </w:p>
        </w:tc>
      </w:tr>
    </w:tbl>
    <w:p w14:paraId="07E546CB" w14:textId="77777777" w:rsidR="00CF7124" w:rsidRDefault="001578E5">
      <w:pPr>
        <w:spacing w:after="4" w:line="269" w:lineRule="auto"/>
        <w:ind w:left="-15" w:firstLine="0"/>
      </w:pPr>
      <w:r>
        <w:rPr>
          <w:sz w:val="16"/>
        </w:rPr>
        <w:t>Table 7</w:t>
      </w:r>
    </w:p>
    <w:p w14:paraId="01D99FCF" w14:textId="77777777" w:rsidR="00CF7124" w:rsidRDefault="001578E5">
      <w:pPr>
        <w:spacing w:after="4" w:line="269" w:lineRule="auto"/>
        <w:ind w:left="-15" w:firstLine="0"/>
      </w:pPr>
      <w:r>
        <w:rPr>
          <w:sz w:val="16"/>
        </w:rPr>
        <w:t>Production rates of CaCO</w:t>
      </w:r>
      <w:r>
        <w:rPr>
          <w:sz w:val="16"/>
          <w:vertAlign w:val="subscript"/>
        </w:rPr>
        <w:t xml:space="preserve">3 </w:t>
      </w:r>
      <w:r>
        <w:rPr>
          <w:sz w:val="16"/>
        </w:rPr>
        <w:t>precipitated by rudist communities (in kg m</w:t>
      </w:r>
      <w:r>
        <w:rPr>
          <w:sz w:val="16"/>
          <w:vertAlign w:val="superscript"/>
        </w:rPr>
        <w:t xml:space="preserve">2 </w:t>
      </w:r>
      <w:r>
        <w:rPr>
          <w:sz w:val="16"/>
        </w:rPr>
        <w:t>ka</w:t>
      </w:r>
      <w:r>
        <w:rPr>
          <w:sz w:val="16"/>
          <w:vertAlign w:val="superscript"/>
        </w:rPr>
        <w:t>1</w:t>
      </w:r>
      <w:r>
        <w:rPr>
          <w:sz w:val="16"/>
        </w:rPr>
        <w:t>) based on 3 senarios, scenario 1 regarded the most consistent</w:t>
      </w:r>
    </w:p>
    <w:tbl>
      <w:tblPr>
        <w:tblStyle w:val="TableGrid"/>
        <w:tblW w:w="4423" w:type="dxa"/>
        <w:tblInd w:w="0" w:type="dxa"/>
        <w:tblCellMar>
          <w:top w:w="27" w:type="dxa"/>
          <w:left w:w="0" w:type="dxa"/>
          <w:bottom w:w="0" w:type="dxa"/>
          <w:right w:w="0" w:type="dxa"/>
        </w:tblCellMar>
        <w:tblLook w:val="04A0" w:firstRow="1" w:lastRow="0" w:firstColumn="1" w:lastColumn="0" w:noHBand="0" w:noVBand="1"/>
      </w:tblPr>
      <w:tblGrid>
        <w:gridCol w:w="1383"/>
        <w:gridCol w:w="1179"/>
        <w:gridCol w:w="1178"/>
        <w:gridCol w:w="683"/>
      </w:tblGrid>
      <w:tr w:rsidR="00CF7124" w14:paraId="2EB95C02" w14:textId="77777777">
        <w:trPr>
          <w:trHeight w:val="269"/>
        </w:trPr>
        <w:tc>
          <w:tcPr>
            <w:tcW w:w="1383" w:type="dxa"/>
            <w:tcBorders>
              <w:top w:val="single" w:sz="4" w:space="0" w:color="221F1F"/>
              <w:left w:val="nil"/>
              <w:bottom w:val="single" w:sz="4" w:space="0" w:color="221F1F"/>
              <w:right w:val="nil"/>
            </w:tcBorders>
          </w:tcPr>
          <w:p w14:paraId="14D4754F" w14:textId="77777777" w:rsidR="00CF7124" w:rsidRDefault="00CF7124">
            <w:pPr>
              <w:spacing w:after="160" w:line="259" w:lineRule="auto"/>
              <w:ind w:firstLine="0"/>
              <w:jc w:val="left"/>
            </w:pPr>
          </w:p>
        </w:tc>
        <w:tc>
          <w:tcPr>
            <w:tcW w:w="1179" w:type="dxa"/>
            <w:tcBorders>
              <w:top w:val="single" w:sz="4" w:space="0" w:color="221F1F"/>
              <w:left w:val="nil"/>
              <w:bottom w:val="single" w:sz="4" w:space="0" w:color="221F1F"/>
              <w:right w:val="nil"/>
            </w:tcBorders>
          </w:tcPr>
          <w:p w14:paraId="35A51884" w14:textId="77777777" w:rsidR="00CF7124" w:rsidRDefault="001578E5">
            <w:pPr>
              <w:spacing w:after="0" w:line="259" w:lineRule="auto"/>
              <w:ind w:firstLine="0"/>
              <w:jc w:val="left"/>
            </w:pPr>
            <w:r>
              <w:rPr>
                <w:sz w:val="16"/>
              </w:rPr>
              <w:t>Scenario 1</w:t>
            </w:r>
          </w:p>
        </w:tc>
        <w:tc>
          <w:tcPr>
            <w:tcW w:w="1178" w:type="dxa"/>
            <w:tcBorders>
              <w:top w:val="single" w:sz="4" w:space="0" w:color="221F1F"/>
              <w:left w:val="nil"/>
              <w:bottom w:val="single" w:sz="4" w:space="0" w:color="221F1F"/>
              <w:right w:val="nil"/>
            </w:tcBorders>
          </w:tcPr>
          <w:p w14:paraId="19AA4F01" w14:textId="77777777" w:rsidR="00CF7124" w:rsidRDefault="001578E5">
            <w:pPr>
              <w:spacing w:after="0" w:line="259" w:lineRule="auto"/>
              <w:ind w:firstLine="0"/>
              <w:jc w:val="left"/>
            </w:pPr>
            <w:r>
              <w:rPr>
                <w:sz w:val="16"/>
              </w:rPr>
              <w:t>Scenario 2</w:t>
            </w:r>
          </w:p>
        </w:tc>
        <w:tc>
          <w:tcPr>
            <w:tcW w:w="683" w:type="dxa"/>
            <w:tcBorders>
              <w:top w:val="single" w:sz="4" w:space="0" w:color="221F1F"/>
              <w:left w:val="nil"/>
              <w:bottom w:val="single" w:sz="4" w:space="0" w:color="221F1F"/>
              <w:right w:val="nil"/>
            </w:tcBorders>
          </w:tcPr>
          <w:p w14:paraId="35A5A50B" w14:textId="77777777" w:rsidR="00CF7124" w:rsidRDefault="001578E5">
            <w:pPr>
              <w:spacing w:after="0" w:line="259" w:lineRule="auto"/>
              <w:ind w:firstLine="0"/>
            </w:pPr>
            <w:r>
              <w:rPr>
                <w:sz w:val="16"/>
              </w:rPr>
              <w:t>Scenario 3</w:t>
            </w:r>
          </w:p>
        </w:tc>
      </w:tr>
      <w:tr w:rsidR="00CF7124" w14:paraId="364DEB22" w14:textId="77777777">
        <w:trPr>
          <w:trHeight w:val="266"/>
        </w:trPr>
        <w:tc>
          <w:tcPr>
            <w:tcW w:w="1383" w:type="dxa"/>
            <w:tcBorders>
              <w:top w:val="single" w:sz="4" w:space="0" w:color="221F1F"/>
              <w:left w:val="nil"/>
              <w:bottom w:val="nil"/>
              <w:right w:val="nil"/>
            </w:tcBorders>
          </w:tcPr>
          <w:p w14:paraId="180B775F" w14:textId="77777777" w:rsidR="00CF7124" w:rsidRDefault="001578E5">
            <w:pPr>
              <w:spacing w:after="0" w:line="259" w:lineRule="auto"/>
              <w:ind w:firstLine="0"/>
              <w:jc w:val="left"/>
            </w:pPr>
            <w:r>
              <w:rPr>
                <w:sz w:val="16"/>
              </w:rPr>
              <w:t>Community 1</w:t>
            </w:r>
          </w:p>
        </w:tc>
        <w:tc>
          <w:tcPr>
            <w:tcW w:w="1179" w:type="dxa"/>
            <w:tcBorders>
              <w:top w:val="single" w:sz="4" w:space="0" w:color="221F1F"/>
              <w:left w:val="nil"/>
              <w:bottom w:val="nil"/>
              <w:right w:val="nil"/>
            </w:tcBorders>
          </w:tcPr>
          <w:p w14:paraId="0AEF254C" w14:textId="77777777" w:rsidR="00CF7124" w:rsidRDefault="001578E5">
            <w:pPr>
              <w:spacing w:after="0" w:line="259" w:lineRule="auto"/>
              <w:ind w:firstLine="0"/>
              <w:jc w:val="left"/>
            </w:pPr>
            <w:r>
              <w:rPr>
                <w:sz w:val="16"/>
              </w:rPr>
              <w:t>19</w:t>
            </w:r>
          </w:p>
        </w:tc>
        <w:tc>
          <w:tcPr>
            <w:tcW w:w="1178" w:type="dxa"/>
            <w:tcBorders>
              <w:top w:val="single" w:sz="4" w:space="0" w:color="221F1F"/>
              <w:left w:val="nil"/>
              <w:bottom w:val="nil"/>
              <w:right w:val="nil"/>
            </w:tcBorders>
          </w:tcPr>
          <w:p w14:paraId="1376876A" w14:textId="77777777" w:rsidR="00CF7124" w:rsidRDefault="001578E5">
            <w:pPr>
              <w:spacing w:after="0" w:line="259" w:lineRule="auto"/>
              <w:ind w:left="79" w:firstLine="0"/>
              <w:jc w:val="left"/>
            </w:pPr>
            <w:r>
              <w:rPr>
                <w:sz w:val="16"/>
              </w:rPr>
              <w:t>38</w:t>
            </w:r>
          </w:p>
        </w:tc>
        <w:tc>
          <w:tcPr>
            <w:tcW w:w="683" w:type="dxa"/>
            <w:tcBorders>
              <w:top w:val="single" w:sz="4" w:space="0" w:color="221F1F"/>
              <w:left w:val="nil"/>
              <w:bottom w:val="nil"/>
              <w:right w:val="nil"/>
            </w:tcBorders>
          </w:tcPr>
          <w:p w14:paraId="4535A6D4" w14:textId="77777777" w:rsidR="00CF7124" w:rsidRDefault="001578E5">
            <w:pPr>
              <w:spacing w:after="0" w:line="259" w:lineRule="auto"/>
              <w:ind w:left="79" w:firstLine="0"/>
              <w:jc w:val="left"/>
            </w:pPr>
            <w:r>
              <w:rPr>
                <w:sz w:val="16"/>
              </w:rPr>
              <w:t>76</w:t>
            </w:r>
          </w:p>
        </w:tc>
      </w:tr>
      <w:tr w:rsidR="00CF7124" w14:paraId="741B0CE6" w14:textId="77777777">
        <w:trPr>
          <w:trHeight w:val="199"/>
        </w:trPr>
        <w:tc>
          <w:tcPr>
            <w:tcW w:w="1383" w:type="dxa"/>
            <w:tcBorders>
              <w:top w:val="nil"/>
              <w:left w:val="nil"/>
              <w:bottom w:val="nil"/>
              <w:right w:val="nil"/>
            </w:tcBorders>
          </w:tcPr>
          <w:p w14:paraId="66424234" w14:textId="77777777" w:rsidR="00CF7124" w:rsidRDefault="001578E5">
            <w:pPr>
              <w:spacing w:after="0" w:line="259" w:lineRule="auto"/>
              <w:ind w:firstLine="0"/>
              <w:jc w:val="left"/>
            </w:pPr>
            <w:r>
              <w:rPr>
                <w:sz w:val="16"/>
              </w:rPr>
              <w:t>Community 2</w:t>
            </w:r>
          </w:p>
        </w:tc>
        <w:tc>
          <w:tcPr>
            <w:tcW w:w="1179" w:type="dxa"/>
            <w:tcBorders>
              <w:top w:val="nil"/>
              <w:left w:val="nil"/>
              <w:bottom w:val="nil"/>
              <w:right w:val="nil"/>
            </w:tcBorders>
          </w:tcPr>
          <w:p w14:paraId="16F2B057" w14:textId="77777777" w:rsidR="00CF7124" w:rsidRDefault="001578E5">
            <w:pPr>
              <w:spacing w:after="0" w:line="259" w:lineRule="auto"/>
              <w:ind w:firstLine="0"/>
              <w:jc w:val="left"/>
            </w:pPr>
            <w:r>
              <w:rPr>
                <w:sz w:val="16"/>
              </w:rPr>
              <w:t>41</w:t>
            </w:r>
          </w:p>
        </w:tc>
        <w:tc>
          <w:tcPr>
            <w:tcW w:w="1178" w:type="dxa"/>
            <w:tcBorders>
              <w:top w:val="nil"/>
              <w:left w:val="nil"/>
              <w:bottom w:val="nil"/>
              <w:right w:val="nil"/>
            </w:tcBorders>
          </w:tcPr>
          <w:p w14:paraId="7763BF36" w14:textId="77777777" w:rsidR="00CF7124" w:rsidRDefault="001578E5">
            <w:pPr>
              <w:spacing w:after="0" w:line="259" w:lineRule="auto"/>
              <w:ind w:left="79" w:firstLine="0"/>
              <w:jc w:val="left"/>
            </w:pPr>
            <w:r>
              <w:rPr>
                <w:sz w:val="16"/>
              </w:rPr>
              <w:t>82</w:t>
            </w:r>
          </w:p>
        </w:tc>
        <w:tc>
          <w:tcPr>
            <w:tcW w:w="683" w:type="dxa"/>
            <w:tcBorders>
              <w:top w:val="nil"/>
              <w:left w:val="nil"/>
              <w:bottom w:val="nil"/>
              <w:right w:val="nil"/>
            </w:tcBorders>
          </w:tcPr>
          <w:p w14:paraId="48AB7101" w14:textId="77777777" w:rsidR="00CF7124" w:rsidRDefault="001578E5">
            <w:pPr>
              <w:spacing w:after="0" w:line="259" w:lineRule="auto"/>
              <w:ind w:firstLine="0"/>
              <w:jc w:val="left"/>
            </w:pPr>
            <w:r>
              <w:rPr>
                <w:sz w:val="16"/>
              </w:rPr>
              <w:t>164</w:t>
            </w:r>
          </w:p>
        </w:tc>
      </w:tr>
      <w:tr w:rsidR="00CF7124" w14:paraId="4A70F2ED" w14:textId="77777777">
        <w:trPr>
          <w:trHeight w:val="199"/>
        </w:trPr>
        <w:tc>
          <w:tcPr>
            <w:tcW w:w="1383" w:type="dxa"/>
            <w:tcBorders>
              <w:top w:val="nil"/>
              <w:left w:val="nil"/>
              <w:bottom w:val="nil"/>
              <w:right w:val="nil"/>
            </w:tcBorders>
          </w:tcPr>
          <w:p w14:paraId="4CCAD614" w14:textId="77777777" w:rsidR="00CF7124" w:rsidRDefault="001578E5">
            <w:pPr>
              <w:spacing w:after="0" w:line="259" w:lineRule="auto"/>
              <w:ind w:firstLine="0"/>
              <w:jc w:val="left"/>
            </w:pPr>
            <w:r>
              <w:rPr>
                <w:sz w:val="16"/>
              </w:rPr>
              <w:t>Community 3</w:t>
            </w:r>
          </w:p>
        </w:tc>
        <w:tc>
          <w:tcPr>
            <w:tcW w:w="1179" w:type="dxa"/>
            <w:tcBorders>
              <w:top w:val="nil"/>
              <w:left w:val="nil"/>
              <w:bottom w:val="nil"/>
              <w:right w:val="nil"/>
            </w:tcBorders>
          </w:tcPr>
          <w:p w14:paraId="1C83A74B" w14:textId="77777777" w:rsidR="00CF7124" w:rsidRDefault="001578E5">
            <w:pPr>
              <w:spacing w:after="0" w:line="259" w:lineRule="auto"/>
              <w:ind w:firstLine="0"/>
              <w:jc w:val="left"/>
            </w:pPr>
            <w:r>
              <w:rPr>
                <w:sz w:val="16"/>
              </w:rPr>
              <w:t>49</w:t>
            </w:r>
          </w:p>
        </w:tc>
        <w:tc>
          <w:tcPr>
            <w:tcW w:w="1178" w:type="dxa"/>
            <w:tcBorders>
              <w:top w:val="nil"/>
              <w:left w:val="nil"/>
              <w:bottom w:val="nil"/>
              <w:right w:val="nil"/>
            </w:tcBorders>
          </w:tcPr>
          <w:p w14:paraId="01B59C8D" w14:textId="77777777" w:rsidR="00CF7124" w:rsidRDefault="001578E5">
            <w:pPr>
              <w:spacing w:after="0" w:line="259" w:lineRule="auto"/>
              <w:ind w:left="79" w:firstLine="0"/>
              <w:jc w:val="left"/>
            </w:pPr>
            <w:r>
              <w:rPr>
                <w:sz w:val="16"/>
              </w:rPr>
              <w:t>98</w:t>
            </w:r>
          </w:p>
        </w:tc>
        <w:tc>
          <w:tcPr>
            <w:tcW w:w="683" w:type="dxa"/>
            <w:tcBorders>
              <w:top w:val="nil"/>
              <w:left w:val="nil"/>
              <w:bottom w:val="nil"/>
              <w:right w:val="nil"/>
            </w:tcBorders>
          </w:tcPr>
          <w:p w14:paraId="2F437875" w14:textId="77777777" w:rsidR="00CF7124" w:rsidRDefault="001578E5">
            <w:pPr>
              <w:spacing w:after="0" w:line="259" w:lineRule="auto"/>
              <w:ind w:firstLine="0"/>
              <w:jc w:val="left"/>
            </w:pPr>
            <w:r>
              <w:rPr>
                <w:sz w:val="16"/>
              </w:rPr>
              <w:t>196</w:t>
            </w:r>
          </w:p>
        </w:tc>
      </w:tr>
      <w:tr w:rsidR="00CF7124" w14:paraId="32F2BF18" w14:textId="77777777">
        <w:trPr>
          <w:trHeight w:val="212"/>
        </w:trPr>
        <w:tc>
          <w:tcPr>
            <w:tcW w:w="1383" w:type="dxa"/>
            <w:tcBorders>
              <w:top w:val="nil"/>
              <w:left w:val="nil"/>
              <w:bottom w:val="single" w:sz="4" w:space="0" w:color="221F1F"/>
              <w:right w:val="nil"/>
            </w:tcBorders>
          </w:tcPr>
          <w:p w14:paraId="6A245772" w14:textId="77777777" w:rsidR="00CF7124" w:rsidRDefault="001578E5">
            <w:pPr>
              <w:spacing w:after="0" w:line="259" w:lineRule="auto"/>
              <w:ind w:firstLine="0"/>
              <w:jc w:val="left"/>
            </w:pPr>
            <w:r>
              <w:rPr>
                <w:sz w:val="16"/>
              </w:rPr>
              <w:t>Community 4</w:t>
            </w:r>
          </w:p>
        </w:tc>
        <w:tc>
          <w:tcPr>
            <w:tcW w:w="1179" w:type="dxa"/>
            <w:tcBorders>
              <w:top w:val="nil"/>
              <w:left w:val="nil"/>
              <w:bottom w:val="single" w:sz="4" w:space="0" w:color="221F1F"/>
              <w:right w:val="nil"/>
            </w:tcBorders>
          </w:tcPr>
          <w:p w14:paraId="0F3B9918" w14:textId="77777777" w:rsidR="00CF7124" w:rsidRDefault="001578E5">
            <w:pPr>
              <w:spacing w:after="0" w:line="259" w:lineRule="auto"/>
              <w:ind w:firstLine="0"/>
              <w:jc w:val="left"/>
            </w:pPr>
            <w:r>
              <w:rPr>
                <w:sz w:val="16"/>
              </w:rPr>
              <w:t>50</w:t>
            </w:r>
          </w:p>
        </w:tc>
        <w:tc>
          <w:tcPr>
            <w:tcW w:w="1178" w:type="dxa"/>
            <w:tcBorders>
              <w:top w:val="nil"/>
              <w:left w:val="nil"/>
              <w:bottom w:val="single" w:sz="4" w:space="0" w:color="221F1F"/>
              <w:right w:val="nil"/>
            </w:tcBorders>
          </w:tcPr>
          <w:p w14:paraId="7C6CD7AD" w14:textId="77777777" w:rsidR="00CF7124" w:rsidRDefault="001578E5">
            <w:pPr>
              <w:spacing w:after="0" w:line="259" w:lineRule="auto"/>
              <w:ind w:firstLine="0"/>
              <w:jc w:val="left"/>
            </w:pPr>
            <w:r>
              <w:rPr>
                <w:sz w:val="16"/>
              </w:rPr>
              <w:t>100</w:t>
            </w:r>
          </w:p>
        </w:tc>
        <w:tc>
          <w:tcPr>
            <w:tcW w:w="683" w:type="dxa"/>
            <w:tcBorders>
              <w:top w:val="nil"/>
              <w:left w:val="nil"/>
              <w:bottom w:val="single" w:sz="4" w:space="0" w:color="221F1F"/>
              <w:right w:val="nil"/>
            </w:tcBorders>
          </w:tcPr>
          <w:p w14:paraId="769AFD42" w14:textId="77777777" w:rsidR="00CF7124" w:rsidRDefault="001578E5">
            <w:pPr>
              <w:spacing w:after="0" w:line="259" w:lineRule="auto"/>
              <w:ind w:firstLine="0"/>
              <w:jc w:val="left"/>
            </w:pPr>
            <w:r>
              <w:rPr>
                <w:sz w:val="16"/>
              </w:rPr>
              <w:t>200</w:t>
            </w:r>
          </w:p>
        </w:tc>
      </w:tr>
    </w:tbl>
    <w:p w14:paraId="2599C7C6" w14:textId="77777777" w:rsidR="00CF7124" w:rsidRDefault="001578E5">
      <w:pPr>
        <w:spacing w:after="452" w:line="269" w:lineRule="auto"/>
        <w:ind w:left="-15" w:firstLine="0"/>
      </w:pPr>
      <w:r>
        <w:rPr>
          <w:sz w:val="16"/>
        </w:rPr>
        <w:t>Bold entries in scenario 1 are considered the more relevant data.</w:t>
      </w:r>
    </w:p>
    <w:p w14:paraId="1791B86B" w14:textId="77777777" w:rsidR="00CF7124" w:rsidRDefault="001578E5">
      <w:pPr>
        <w:ind w:left="-15" w:firstLine="0"/>
      </w:pPr>
      <w:r>
        <w:t>far less than those reported for Holocene shallow water platform carbonates (</w:t>
      </w:r>
      <w:proofErr w:type="gramStart"/>
      <w:r>
        <w:t>e.g.</w:t>
      </w:r>
      <w:proofErr w:type="gramEnd"/>
      <w:r>
        <w:t xml:space="preserve"> Florida, Bahamas) fluctuating from 0.3 to 3 m ka</w:t>
      </w:r>
      <w:r>
        <w:rPr>
          <w:vertAlign w:val="superscript"/>
        </w:rPr>
        <w:t>1</w:t>
      </w:r>
      <w:r>
        <w:t>, and at the lower end of values for Kimmeridgian–Berriasian lagoonal sediments, 0.07 to 0.6 m ka</w:t>
      </w:r>
      <w:r>
        <w:rPr>
          <w:vertAlign w:val="superscript"/>
        </w:rPr>
        <w:t>1</w:t>
      </w:r>
      <w:r>
        <w:t xml:space="preserve">, the calculation of which </w:t>
      </w:r>
      <w:r>
        <w:t>involved decompaction (</w:t>
      </w:r>
      <w:r>
        <w:rPr>
          <w:color w:val="2D3092"/>
        </w:rPr>
        <w:t>Strasser and Samankassou, 2003</w:t>
      </w:r>
      <w:r>
        <w:t>).</w:t>
      </w:r>
    </w:p>
    <w:p w14:paraId="4C5CB145" w14:textId="77777777" w:rsidR="00CF7124" w:rsidRDefault="001578E5">
      <w:pPr>
        <w:ind w:left="-15"/>
      </w:pPr>
      <w:r>
        <w:t xml:space="preserve">The production of carbonate for each rudist community is estimated by using the following parameters: the skeletal contribution of rudists to the sediment in %, which means that the production in question represents the net production, </w:t>
      </w:r>
      <w:proofErr w:type="gramStart"/>
      <w:r>
        <w:t>i.e.</w:t>
      </w:r>
      <w:proofErr w:type="gramEnd"/>
      <w:r>
        <w:t xml:space="preserve"> the gross produ</w:t>
      </w:r>
      <w:r>
        <w:t>ction minus the material destroyed by various agents (see Discussion below), the corresponding accumulation rate, and the density of precipitated CaCO</w:t>
      </w:r>
      <w:r>
        <w:rPr>
          <w:vertAlign w:val="subscript"/>
        </w:rPr>
        <w:t>3</w:t>
      </w:r>
      <w:r>
        <w:t>, 2.6 g cm</w:t>
      </w:r>
      <w:r>
        <w:rPr>
          <w:vertAlign w:val="superscript"/>
        </w:rPr>
        <w:t xml:space="preserve">3 </w:t>
      </w:r>
      <w:r>
        <w:t xml:space="preserve">(a value retained by </w:t>
      </w:r>
      <w:r>
        <w:rPr>
          <w:color w:val="2D3092"/>
        </w:rPr>
        <w:t xml:space="preserve">Steuber, 2000 </w:t>
      </w:r>
      <w:r>
        <w:t>for rudist shells).</w:t>
      </w:r>
    </w:p>
    <w:p w14:paraId="1B097A16" w14:textId="77777777" w:rsidR="00CF7124" w:rsidRDefault="001578E5">
      <w:pPr>
        <w:spacing w:after="208" w:line="319" w:lineRule="auto"/>
        <w:ind w:left="-15"/>
      </w:pPr>
      <w:r>
        <w:t>The results, expressed in kg m</w:t>
      </w:r>
      <w:r>
        <w:rPr>
          <w:vertAlign w:val="superscript"/>
        </w:rPr>
        <w:t xml:space="preserve">2 </w:t>
      </w:r>
      <w:r>
        <w:t>a</w:t>
      </w:r>
      <w:r>
        <w:rPr>
          <w:vertAlign w:val="superscript"/>
        </w:rPr>
        <w:t>1</w:t>
      </w:r>
      <w:r>
        <w:t>, ar</w:t>
      </w:r>
      <w:r>
        <w:t xml:space="preserve">e calculated as follows. accumulation </w:t>
      </w:r>
      <w:proofErr w:type="gramStart"/>
      <w:r>
        <w:t xml:space="preserve">rate </w:t>
      </w:r>
      <w:r>
        <w:rPr>
          <w:rFonts w:ascii="Calibri" w:eastAsia="Calibri" w:hAnsi="Calibri" w:cs="Calibri"/>
        </w:rPr>
        <w:t xml:space="preserve"> </w:t>
      </w:r>
      <w:r>
        <w:t>2</w:t>
      </w:r>
      <w:r>
        <w:rPr>
          <w:rFonts w:ascii="Calibri" w:eastAsia="Calibri" w:hAnsi="Calibri" w:cs="Calibri"/>
        </w:rPr>
        <w:t>:</w:t>
      </w:r>
      <w:r>
        <w:t>6</w:t>
      </w:r>
      <w:proofErr w:type="gramEnd"/>
      <w:r>
        <w:t xml:space="preserve"> 10</w:t>
      </w:r>
      <w:r>
        <w:rPr>
          <w:vertAlign w:val="superscript"/>
        </w:rPr>
        <w:t xml:space="preserve">3 </w:t>
      </w:r>
      <w:r>
        <w:rPr>
          <w:rFonts w:ascii="Calibri" w:eastAsia="Calibri" w:hAnsi="Calibri" w:cs="Calibri"/>
        </w:rPr>
        <w:t>ð</w:t>
      </w:r>
      <w:r>
        <w:rPr>
          <w:sz w:val="14"/>
        </w:rPr>
        <w:t>m ka</w:t>
      </w:r>
      <w:r>
        <w:rPr>
          <w:sz w:val="14"/>
          <w:vertAlign w:val="superscript"/>
        </w:rPr>
        <w:t>1</w:t>
      </w:r>
      <w:r>
        <w:rPr>
          <w:rFonts w:ascii="Calibri" w:eastAsia="Calibri" w:hAnsi="Calibri" w:cs="Calibri"/>
        </w:rPr>
        <w:t xml:space="preserve">Þ </w:t>
      </w:r>
      <w:r>
        <w:rPr>
          <w:sz w:val="14"/>
        </w:rPr>
        <w:t>kg m</w:t>
      </w:r>
      <w:r>
        <w:rPr>
          <w:sz w:val="14"/>
          <w:vertAlign w:val="superscript"/>
        </w:rPr>
        <w:t>3</w:t>
      </w:r>
    </w:p>
    <w:p w14:paraId="559D658C" w14:textId="77777777" w:rsidR="00CF7124" w:rsidRDefault="001578E5">
      <w:pPr>
        <w:spacing w:after="220"/>
        <w:ind w:left="1531" w:right="815" w:hanging="1331"/>
      </w:pPr>
      <w:r>
        <w:rPr>
          <w:rFonts w:ascii="Calibri" w:eastAsia="Calibri" w:hAnsi="Calibri" w:cs="Calibri"/>
        </w:rPr>
        <w:t xml:space="preserve"> </w:t>
      </w:r>
      <w:r>
        <w:t xml:space="preserve">skeletal contribution of </w:t>
      </w:r>
      <w:proofErr w:type="gramStart"/>
      <w:r>
        <w:t xml:space="preserve">rudists </w:t>
      </w:r>
      <w:r>
        <w:rPr>
          <w:rFonts w:ascii="Calibri" w:eastAsia="Calibri" w:hAnsi="Calibri" w:cs="Calibri"/>
        </w:rPr>
        <w:t xml:space="preserve"> </w:t>
      </w:r>
      <w:r>
        <w:t>1</w:t>
      </w:r>
      <w:proofErr w:type="gramEnd"/>
      <w:r>
        <w:t xml:space="preserve"> m</w:t>
      </w:r>
      <w:r>
        <w:rPr>
          <w:vertAlign w:val="superscript"/>
        </w:rPr>
        <w:t xml:space="preserve">2 </w:t>
      </w:r>
      <w:r>
        <w:rPr>
          <w:rFonts w:ascii="Calibri" w:eastAsia="Calibri" w:hAnsi="Calibri" w:cs="Calibri"/>
          <w:sz w:val="14"/>
        </w:rPr>
        <w:t>ð Þ</w:t>
      </w:r>
      <w:r>
        <w:rPr>
          <w:sz w:val="14"/>
        </w:rPr>
        <w:t>%</w:t>
      </w:r>
    </w:p>
    <w:p w14:paraId="124D979C" w14:textId="77777777" w:rsidR="00CF7124" w:rsidRDefault="001578E5">
      <w:pPr>
        <w:tabs>
          <w:tab w:val="center" w:pos="1037"/>
          <w:tab w:val="right" w:pos="4425"/>
        </w:tabs>
        <w:spacing w:after="0" w:line="259" w:lineRule="auto"/>
        <w:ind w:right="-13" w:firstLine="0"/>
        <w:jc w:val="left"/>
      </w:pPr>
      <w:r>
        <w:rPr>
          <w:rFonts w:ascii="Calibri" w:eastAsia="Calibri" w:hAnsi="Calibri" w:cs="Calibri"/>
          <w:color w:val="000000"/>
          <w:sz w:val="22"/>
        </w:rPr>
        <w:tab/>
      </w:r>
      <w:r>
        <w:rPr>
          <w:rFonts w:ascii="Calibri" w:eastAsia="Calibri" w:hAnsi="Calibri" w:cs="Calibri"/>
        </w:rPr>
        <w:t xml:space="preserve">¼ </w:t>
      </w:r>
      <w:r>
        <w:t>rudist production</w:t>
      </w:r>
      <w:r>
        <w:rPr>
          <w:rFonts w:ascii="Calibri" w:eastAsia="Calibri" w:hAnsi="Calibri" w:cs="Calibri"/>
        </w:rPr>
        <w:t>:</w:t>
      </w:r>
      <w:r>
        <w:rPr>
          <w:rFonts w:ascii="Calibri" w:eastAsia="Calibri" w:hAnsi="Calibri" w:cs="Calibri"/>
        </w:rPr>
        <w:tab/>
        <w:t>ð</w:t>
      </w:r>
      <w:r>
        <w:t>4</w:t>
      </w:r>
      <w:r>
        <w:rPr>
          <w:rFonts w:ascii="Calibri" w:eastAsia="Calibri" w:hAnsi="Calibri" w:cs="Calibri"/>
        </w:rPr>
        <w:t>Þ</w:t>
      </w:r>
    </w:p>
    <w:p w14:paraId="45BDF6CA" w14:textId="77777777" w:rsidR="00CF7124" w:rsidRDefault="001578E5">
      <w:pPr>
        <w:spacing w:after="301" w:line="264" w:lineRule="auto"/>
        <w:ind w:left="868" w:hanging="10"/>
        <w:jc w:val="left"/>
      </w:pPr>
      <w:r>
        <w:rPr>
          <w:sz w:val="14"/>
        </w:rPr>
        <w:t>kg ka</w:t>
      </w:r>
      <w:r>
        <w:rPr>
          <w:sz w:val="14"/>
          <w:vertAlign w:val="superscript"/>
        </w:rPr>
        <w:t>1</w:t>
      </w:r>
    </w:p>
    <w:p w14:paraId="23B1894A" w14:textId="77777777" w:rsidR="00CF7124" w:rsidRDefault="001578E5">
      <w:pPr>
        <w:spacing w:after="225"/>
        <w:ind w:left="-15"/>
      </w:pPr>
      <w:r>
        <w:rPr>
          <w:color w:val="2D3092"/>
        </w:rPr>
        <w:t xml:space="preserve">Table 7 </w:t>
      </w:r>
      <w:r>
        <w:t xml:space="preserve">documents production values obtained for each rudist community and acknowledges the 3 scenarios discussed above, referring to the mode of calculation of accumulation rates. The following will focus on values obtained for scenario 1 (implying no compaction </w:t>
      </w:r>
      <w:r>
        <w:t xml:space="preserve">nor sedimentation gap effects) regarded the </w:t>
      </w:r>
      <w:r>
        <w:t>most consistent. The highest value (50 kg m</w:t>
      </w:r>
      <w:r>
        <w:rPr>
          <w:vertAlign w:val="superscript"/>
        </w:rPr>
        <w:t xml:space="preserve">2 </w:t>
      </w:r>
      <w:r>
        <w:t>ka</w:t>
      </w:r>
      <w:r>
        <w:rPr>
          <w:vertAlign w:val="superscript"/>
        </w:rPr>
        <w:t>1</w:t>
      </w:r>
      <w:r>
        <w:t>) was obtained for community 4, by community 3, (49 kg m</w:t>
      </w:r>
      <w:r>
        <w:rPr>
          <w:vertAlign w:val="superscript"/>
        </w:rPr>
        <w:t xml:space="preserve">2 </w:t>
      </w:r>
      <w:r>
        <w:t>ka</w:t>
      </w:r>
      <w:r>
        <w:rPr>
          <w:vertAlign w:val="superscript"/>
        </w:rPr>
        <w:t>1</w:t>
      </w:r>
      <w:r>
        <w:t>) and community 2, (41 kg m</w:t>
      </w:r>
      <w:r>
        <w:rPr>
          <w:vertAlign w:val="superscript"/>
        </w:rPr>
        <w:t xml:space="preserve">2 </w:t>
      </w:r>
      <w:r>
        <w:t>ka</w:t>
      </w:r>
      <w:r>
        <w:rPr>
          <w:vertAlign w:val="superscript"/>
        </w:rPr>
        <w:t>1</w:t>
      </w:r>
      <w:r>
        <w:t>), community 1 having the lowest value (19 kg m</w:t>
      </w:r>
      <w:r>
        <w:rPr>
          <w:vertAlign w:val="superscript"/>
        </w:rPr>
        <w:t xml:space="preserve">2 </w:t>
      </w:r>
      <w:r>
        <w:t>ka</w:t>
      </w:r>
      <w:r>
        <w:rPr>
          <w:vertAlign w:val="superscript"/>
        </w:rPr>
        <w:t>1</w:t>
      </w:r>
      <w:r>
        <w:t xml:space="preserve">). </w:t>
      </w:r>
      <w:r>
        <w:t>6. Comparisons</w:t>
      </w:r>
    </w:p>
    <w:p w14:paraId="6CEC908E" w14:textId="77777777" w:rsidR="00CF7124" w:rsidRDefault="001578E5">
      <w:pPr>
        <w:spacing w:after="227"/>
        <w:ind w:left="-15"/>
      </w:pPr>
      <w:r>
        <w:t>C</w:t>
      </w:r>
      <w:r>
        <w:t>omparisons with present day living communities require reference to production rates estimated at a biological scale (</w:t>
      </w:r>
      <w:r>
        <w:rPr>
          <w:color w:val="2D3092"/>
        </w:rPr>
        <w:t>Smith, 1983</w:t>
      </w:r>
      <w:r>
        <w:t xml:space="preserve">) based on the metabolic activity of organisms, or biomass increase. Individual growth rates have also been evaluated for both </w:t>
      </w:r>
      <w:r>
        <w:t>modern and fossil bivalves. The method used herein for evaluating the CaCO</w:t>
      </w:r>
      <w:r>
        <w:rPr>
          <w:vertAlign w:val="subscript"/>
        </w:rPr>
        <w:t xml:space="preserve">3 </w:t>
      </w:r>
      <w:r>
        <w:t>production of rudist communities relates to a geological scale (</w:t>
      </w:r>
      <w:r>
        <w:rPr>
          <w:color w:val="2D3092"/>
        </w:rPr>
        <w:t>Smith, 1983</w:t>
      </w:r>
      <w:r>
        <w:t xml:space="preserve">), based on the measure of accumulated carbonate divided by the estimated time increment over which that </w:t>
      </w:r>
      <w:r>
        <w:t>material accumulated; a proxy successfully applied for instance to the study of Holocene coral-reef accretion.</w:t>
      </w:r>
    </w:p>
    <w:p w14:paraId="4A728C06" w14:textId="77777777" w:rsidR="00CF7124" w:rsidRDefault="001578E5">
      <w:pPr>
        <w:spacing w:after="234" w:line="254" w:lineRule="auto"/>
        <w:ind w:left="-5" w:hanging="10"/>
        <w:jc w:val="left"/>
      </w:pPr>
      <w:r>
        <w:t>6.1. Comparisons with result obtained for rudists by using individual growth rates</w:t>
      </w:r>
    </w:p>
    <w:p w14:paraId="2772A683" w14:textId="77777777" w:rsidR="00CF7124" w:rsidRDefault="001578E5">
      <w:pPr>
        <w:ind w:left="-15"/>
      </w:pPr>
      <w:r>
        <w:t xml:space="preserve">Estimates of annual rates of shell accretion based on </w:t>
      </w:r>
      <w:r>
        <w:t>d</w:t>
      </w:r>
      <w:r>
        <w:rPr>
          <w:vertAlign w:val="superscript"/>
        </w:rPr>
        <w:t>18</w:t>
      </w:r>
      <w:r>
        <w:t xml:space="preserve">O and Mg cycles obtained for </w:t>
      </w:r>
      <w:r>
        <w:t xml:space="preserve">Requienia ammonia </w:t>
      </w:r>
      <w:r>
        <w:t>(a key species for community 4) from the Upper Barremian of Orgon (SE France) amount to 70 mm (</w:t>
      </w:r>
      <w:r>
        <w:rPr>
          <w:color w:val="2D3092"/>
        </w:rPr>
        <w:t>Rauch and Steuber, 2002</w:t>
      </w:r>
      <w:r>
        <w:t xml:space="preserve">). Plasticine models of such </w:t>
      </w:r>
      <w:r>
        <w:t xml:space="preserve">R. ammonia </w:t>
      </w:r>
      <w:r>
        <w:t>were made and used to measure a volume of shell mat</w:t>
      </w:r>
      <w:r>
        <w:t>erial of about 45 cm</w:t>
      </w:r>
      <w:r>
        <w:rPr>
          <w:vertAlign w:val="superscript"/>
        </w:rPr>
        <w:t>3</w:t>
      </w:r>
      <w:r>
        <w:t>, equivalent to 0.12 kg a</w:t>
      </w:r>
      <w:r>
        <w:rPr>
          <w:vertAlign w:val="superscript"/>
        </w:rPr>
        <w:t>1</w:t>
      </w:r>
      <w:r>
        <w:t>. This value is relatively high if compared to those obtained for Upper Cretaceous Hippuritidae and Torreitidae (0.012 to 0.075 kg a</w:t>
      </w:r>
      <w:r>
        <w:rPr>
          <w:vertAlign w:val="superscript"/>
        </w:rPr>
        <w:t>1</w:t>
      </w:r>
      <w:r>
        <w:t xml:space="preserve">) but comparable to that of the Campanian </w:t>
      </w:r>
      <w:r>
        <w:t>Vaccinites ultimus</w:t>
      </w:r>
      <w:r>
        <w:t xml:space="preserve">, (0.14–0.21 kg </w:t>
      </w:r>
      <w:r>
        <w:t>a</w:t>
      </w:r>
      <w:r>
        <w:rPr>
          <w:vertAlign w:val="superscript"/>
        </w:rPr>
        <w:t>1</w:t>
      </w:r>
      <w:r>
        <w:t>) (</w:t>
      </w:r>
      <w:r>
        <w:rPr>
          <w:color w:val="2D3092"/>
        </w:rPr>
        <w:t>Steuber, 2000</w:t>
      </w:r>
      <w:r>
        <w:t>). Annual shell accretion of Hippuritidae has been used for modelling the production rates of rudist assemblages (</w:t>
      </w:r>
      <w:r>
        <w:rPr>
          <w:color w:val="2D3092"/>
        </w:rPr>
        <w:t>Steuber, 2000</w:t>
      </w:r>
      <w:r>
        <w:t xml:space="preserve">). For </w:t>
      </w:r>
      <w:proofErr w:type="gramStart"/>
      <w:r>
        <w:t>example</w:t>
      </w:r>
      <w:proofErr w:type="gramEnd"/>
      <w:r>
        <w:t xml:space="preserve"> dense communities of </w:t>
      </w:r>
      <w:r>
        <w:t xml:space="preserve">Vaccinites </w:t>
      </w:r>
      <w:r>
        <w:t>have a potential rate of 8.9 to 35.7 kg m</w:t>
      </w:r>
      <w:r>
        <w:rPr>
          <w:vertAlign w:val="superscript"/>
        </w:rPr>
        <w:t xml:space="preserve">2 </w:t>
      </w:r>
      <w:r>
        <w:t>a</w:t>
      </w:r>
      <w:r>
        <w:rPr>
          <w:vertAlign w:val="superscript"/>
        </w:rPr>
        <w:t>1</w:t>
      </w:r>
      <w:r>
        <w:t>, whereas loose ass</w:t>
      </w:r>
      <w:r>
        <w:t>emblages are expected to produce 2.2 to 8.9 kg m</w:t>
      </w:r>
      <w:r>
        <w:rPr>
          <w:vertAlign w:val="superscript"/>
        </w:rPr>
        <w:t xml:space="preserve">2 </w:t>
      </w:r>
      <w:r>
        <w:t>a</w:t>
      </w:r>
      <w:r>
        <w:rPr>
          <w:vertAlign w:val="superscript"/>
        </w:rPr>
        <w:t>1</w:t>
      </w:r>
      <w:r>
        <w:t xml:space="preserve">. Steuber has emphasized the need to distinguish between carbonate production by individuals, potential community production and estimated community production which is less or even far less than that of </w:t>
      </w:r>
      <w:r>
        <w:t>the potential one. Estimated community production fluctuates from 25 kg m</w:t>
      </w:r>
      <w:r>
        <w:rPr>
          <w:vertAlign w:val="superscript"/>
        </w:rPr>
        <w:t xml:space="preserve">2 </w:t>
      </w:r>
      <w:r>
        <w:t>a</w:t>
      </w:r>
      <w:r>
        <w:rPr>
          <w:vertAlign w:val="superscript"/>
        </w:rPr>
        <w:t xml:space="preserve">1 </w:t>
      </w:r>
      <w:r>
        <w:t>for outer bank bioconstructed bodies to 5.0 kg m</w:t>
      </w:r>
      <w:r>
        <w:rPr>
          <w:vertAlign w:val="superscript"/>
        </w:rPr>
        <w:t xml:space="preserve">2 </w:t>
      </w:r>
      <w:r>
        <w:t>a</w:t>
      </w:r>
      <w:r>
        <w:rPr>
          <w:vertAlign w:val="superscript"/>
        </w:rPr>
        <w:t xml:space="preserve">1 </w:t>
      </w:r>
      <w:r>
        <w:t>for inner bank assemblages, and drops to 2 kg m</w:t>
      </w:r>
      <w:r>
        <w:rPr>
          <w:vertAlign w:val="superscript"/>
        </w:rPr>
        <w:t xml:space="preserve">2 </w:t>
      </w:r>
      <w:r>
        <w:t>a</w:t>
      </w:r>
      <w:r>
        <w:rPr>
          <w:vertAlign w:val="superscript"/>
        </w:rPr>
        <w:t xml:space="preserve">1 </w:t>
      </w:r>
      <w:r>
        <w:t>in lagoonal settings. These values are in correspondence with taxonomic c</w:t>
      </w:r>
      <w:r>
        <w:t>omposition and average shell size.</w:t>
      </w:r>
    </w:p>
    <w:p w14:paraId="746AAB61" w14:textId="77777777" w:rsidR="00CF7124" w:rsidRDefault="001578E5">
      <w:pPr>
        <w:spacing w:after="236"/>
        <w:ind w:left="-15"/>
      </w:pPr>
      <w:r>
        <w:t xml:space="preserve">The above estimates are higher than those obtained for the Barremian requieniid-dominated communities by a factor exceeding 100 to 250. Requieniidae with a </w:t>
      </w:r>
      <w:r>
        <w:lastRenderedPageBreak/>
        <w:t xml:space="preserve">clinger life habit (sensu </w:t>
      </w:r>
      <w:r>
        <w:rPr>
          <w:color w:val="2D3092"/>
        </w:rPr>
        <w:t>Skelton and Gili, 2002</w:t>
      </w:r>
      <w:r>
        <w:t xml:space="preserve">) </w:t>
      </w:r>
      <w:proofErr w:type="gramStart"/>
      <w:r>
        <w:t>actually differ</w:t>
      </w:r>
      <w:proofErr w:type="gramEnd"/>
      <w:r>
        <w:t xml:space="preserve"> from Hippuritidae with an elevator life habit (sensu </w:t>
      </w:r>
      <w:r>
        <w:rPr>
          <w:color w:val="2D3092"/>
        </w:rPr>
        <w:t>Skelton and Gili, 2002</w:t>
      </w:r>
      <w:r>
        <w:t>) in having a more reduced packing density and therefore a more limited standing crop. These differences cannot account for the strong dissimilarities in CaCO</w:t>
      </w:r>
      <w:r>
        <w:rPr>
          <w:vertAlign w:val="subscript"/>
        </w:rPr>
        <w:t xml:space="preserve">3 </w:t>
      </w:r>
      <w:r>
        <w:t>production, they are</w:t>
      </w:r>
      <w:r>
        <w:t xml:space="preserve"> more likely the consequence of using a geological rate instead of a biological one for estimating CaCO</w:t>
      </w:r>
      <w:r>
        <w:rPr>
          <w:vertAlign w:val="subscript"/>
        </w:rPr>
        <w:t xml:space="preserve">3 </w:t>
      </w:r>
      <w:r>
        <w:t>production.</w:t>
      </w:r>
    </w:p>
    <w:p w14:paraId="3B3DA67E" w14:textId="77777777" w:rsidR="00CF7124" w:rsidRDefault="001578E5">
      <w:pPr>
        <w:spacing w:after="234" w:line="254" w:lineRule="auto"/>
        <w:ind w:left="-5" w:hanging="10"/>
        <w:jc w:val="left"/>
      </w:pPr>
      <w:r>
        <w:t>6.2. Comparisons with results from modern bivalves</w:t>
      </w:r>
    </w:p>
    <w:p w14:paraId="47290C29" w14:textId="77777777" w:rsidR="00CF7124" w:rsidRDefault="001578E5">
      <w:pPr>
        <w:ind w:left="-15"/>
      </w:pPr>
      <w:r>
        <w:t xml:space="preserve">Data provided by </w:t>
      </w:r>
      <w:r>
        <w:rPr>
          <w:color w:val="2D3092"/>
        </w:rPr>
        <w:t xml:space="preserve">Richard (1982, 1985) </w:t>
      </w:r>
      <w:r>
        <w:t xml:space="preserve">on </w:t>
      </w:r>
      <w:r>
        <w:t xml:space="preserve">Tridacna maxima </w:t>
      </w:r>
      <w:r>
        <w:t xml:space="preserve">(Ro¨ding), </w:t>
      </w:r>
      <w:r>
        <w:t xml:space="preserve">Chama iostoma </w:t>
      </w:r>
      <w:r>
        <w:t>Conrad</w:t>
      </w:r>
      <w:r>
        <w:t xml:space="preserve"> and </w:t>
      </w:r>
      <w:r>
        <w:t xml:space="preserve">Cardium fragum </w:t>
      </w:r>
      <w:r>
        <w:t xml:space="preserve">Linne´, thriving in atoll lagoons from French Polynesia and playing an important role in production, are summarized on </w:t>
      </w:r>
      <w:r>
        <w:rPr>
          <w:color w:val="2D3092"/>
        </w:rPr>
        <w:t xml:space="preserve">Table 8 </w:t>
      </w:r>
      <w:r>
        <w:t>concerning average adult size, annual size increase, life span, number of individuals by m</w:t>
      </w:r>
      <w:r>
        <w:rPr>
          <w:vertAlign w:val="superscript"/>
        </w:rPr>
        <w:t xml:space="preserve">2 </w:t>
      </w:r>
      <w:r>
        <w:t>and annual CaCO</w:t>
      </w:r>
      <w:r>
        <w:rPr>
          <w:vertAlign w:val="subscript"/>
        </w:rPr>
        <w:t xml:space="preserve">3 </w:t>
      </w:r>
      <w:r>
        <w:t>production (ka m</w:t>
      </w:r>
      <w:r>
        <w:rPr>
          <w:vertAlign w:val="superscript"/>
        </w:rPr>
        <w:t>2</w:t>
      </w:r>
      <w:r>
        <w:t>) at community level.</w:t>
      </w:r>
    </w:p>
    <w:p w14:paraId="0CC45950" w14:textId="77777777" w:rsidR="00CF7124" w:rsidRDefault="001578E5">
      <w:pPr>
        <w:spacing w:after="523"/>
        <w:ind w:left="-15"/>
      </w:pPr>
      <w:r>
        <w:t>These bivalves may be used as potential ecological equivalents (</w:t>
      </w:r>
      <w:r>
        <w:rPr>
          <w:color w:val="2D3092"/>
        </w:rPr>
        <w:t>Odum, 1971</w:t>
      </w:r>
      <w:r>
        <w:t xml:space="preserve">) for requieniid rudists. The epifaunal taxa </w:t>
      </w:r>
      <w:r>
        <w:t xml:space="preserve">T. maxima </w:t>
      </w:r>
      <w:r>
        <w:t xml:space="preserve">and </w:t>
      </w:r>
      <w:r>
        <w:t xml:space="preserve">C. iostoma </w:t>
      </w:r>
      <w:r>
        <w:t xml:space="preserve">represent K demographic strategists sensu </w:t>
      </w:r>
      <w:r>
        <w:rPr>
          <w:color w:val="2D3092"/>
        </w:rPr>
        <w:t>Birkeland (1977, 1988)</w:t>
      </w:r>
      <w:r>
        <w:t xml:space="preserve">, </w:t>
      </w:r>
      <w:proofErr w:type="gramStart"/>
      <w:r>
        <w:t>i.e.</w:t>
      </w:r>
      <w:proofErr w:type="gramEnd"/>
      <w:r>
        <w:t xml:space="preserve"> fo</w:t>
      </w:r>
      <w:r>
        <w:t xml:space="preserve">rms with a relatively long life span and reduced shell growth rates. Large to medium size Requieniidae associated with communities 3 and 4, are somewhat similar, whereas they were sediment-dwellers instead of being attached to hard substrates as the </w:t>
      </w:r>
      <w:r>
        <w:t xml:space="preserve">Chama </w:t>
      </w:r>
      <w:r>
        <w:t xml:space="preserve">and </w:t>
      </w:r>
      <w:r>
        <w:t xml:space="preserve">Tridacna </w:t>
      </w:r>
      <w:r>
        <w:t xml:space="preserve">species in question. </w:t>
      </w:r>
      <w:proofErr w:type="gramStart"/>
      <w:r>
        <w:t>Assuming that</w:t>
      </w:r>
      <w:proofErr w:type="gramEnd"/>
      <w:r>
        <w:t xml:space="preserve"> the shell growth rate estimated for </w:t>
      </w:r>
      <w:r>
        <w:t xml:space="preserve">R. ammonia </w:t>
      </w:r>
      <w:r>
        <w:t xml:space="preserve">(see above) may be a valuable reference for large rudists in general found in community 3 (pars) and 4, the corresponding growth rates of </w:t>
      </w:r>
      <w:r>
        <w:t xml:space="preserve">T. maxima </w:t>
      </w:r>
      <w:r>
        <w:t xml:space="preserve">and </w:t>
      </w:r>
      <w:r>
        <w:t>C. iostom</w:t>
      </w:r>
      <w:r>
        <w:t xml:space="preserve">a </w:t>
      </w:r>
      <w:r>
        <w:t xml:space="preserve">are far less. </w:t>
      </w:r>
      <w:proofErr w:type="gramStart"/>
      <w:r>
        <w:t>Moreover</w:t>
      </w:r>
      <w:proofErr w:type="gramEnd"/>
      <w:r>
        <w:t xml:space="preserve"> the spatial densities of these two species are drastically lower than those of the requieniids. Notwithstanding these strong dissimilarities the estimated CaCO</w:t>
      </w:r>
      <w:r>
        <w:rPr>
          <w:vertAlign w:val="subscript"/>
        </w:rPr>
        <w:t xml:space="preserve">3 </w:t>
      </w:r>
      <w:r>
        <w:t>production is very similar. This similarity is most likely the result ofcontrasting methodologies used for approaching carbonate production rather than ecological affinities between the Barremian and modern investigated bivalves. Values obtained for living</w:t>
      </w:r>
      <w:r>
        <w:t xml:space="preserve"> mollusc communities were based on 2 years survey excluding episodic biological breaks (diseases, trophic crisis, storm events, etc.) (</w:t>
      </w:r>
      <w:r>
        <w:rPr>
          <w:color w:val="2D3092"/>
        </w:rPr>
        <w:t>Richard, 1982</w:t>
      </w:r>
      <w:r>
        <w:t xml:space="preserve">). By contrast estimates obtained for Barremian communities were based on </w:t>
      </w:r>
      <w:r>
        <w:t>reference durations in the range o</w:t>
      </w:r>
      <w:r>
        <w:t>f 10 to 20 ka including necessarily ecological variability and therefore numerous episodic interruptions in the development of rudist communities,</w:t>
      </w:r>
    </w:p>
    <w:p w14:paraId="63A3126D" w14:textId="77777777" w:rsidR="00CF7124" w:rsidRDefault="001578E5">
      <w:pPr>
        <w:spacing w:after="4" w:line="269" w:lineRule="auto"/>
        <w:ind w:left="-15" w:firstLine="0"/>
      </w:pPr>
      <w:r>
        <w:rPr>
          <w:sz w:val="16"/>
        </w:rPr>
        <w:t>Table 8</w:t>
      </w:r>
    </w:p>
    <w:p w14:paraId="0206BA91" w14:textId="77777777" w:rsidR="00CF7124" w:rsidRDefault="001578E5">
      <w:pPr>
        <w:spacing w:after="4" w:line="269" w:lineRule="auto"/>
        <w:ind w:left="-15" w:firstLine="0"/>
      </w:pPr>
      <w:r>
        <w:rPr>
          <w:sz w:val="16"/>
        </w:rPr>
        <w:t>Table 9</w:t>
      </w:r>
    </w:p>
    <w:p w14:paraId="572FED6B" w14:textId="77777777" w:rsidR="00CF7124" w:rsidRDefault="001578E5">
      <w:pPr>
        <w:spacing w:after="4" w:line="269" w:lineRule="auto"/>
        <w:ind w:left="-15" w:firstLine="0"/>
      </w:pPr>
      <w:r>
        <w:rPr>
          <w:sz w:val="16"/>
        </w:rPr>
        <w:t>Quantitative ecological data on Barremian Requieniidae-dominated communities and CaCO</w:t>
      </w:r>
      <w:r>
        <w:rPr>
          <w:sz w:val="16"/>
          <w:vertAlign w:val="subscript"/>
        </w:rPr>
        <w:t xml:space="preserve">3 </w:t>
      </w:r>
      <w:r>
        <w:rPr>
          <w:sz w:val="16"/>
        </w:rPr>
        <w:t>produc</w:t>
      </w:r>
      <w:r>
        <w:rPr>
          <w:sz w:val="16"/>
        </w:rPr>
        <w:t>tion</w:t>
      </w:r>
    </w:p>
    <w:tbl>
      <w:tblPr>
        <w:tblStyle w:val="TableGrid"/>
        <w:tblW w:w="4423" w:type="dxa"/>
        <w:tblInd w:w="0" w:type="dxa"/>
        <w:tblCellMar>
          <w:top w:w="27" w:type="dxa"/>
          <w:left w:w="0" w:type="dxa"/>
          <w:bottom w:w="0" w:type="dxa"/>
          <w:right w:w="0" w:type="dxa"/>
        </w:tblCellMar>
        <w:tblLook w:val="04A0" w:firstRow="1" w:lastRow="0" w:firstColumn="1" w:lastColumn="0" w:noHBand="0" w:noVBand="1"/>
      </w:tblPr>
      <w:tblGrid>
        <w:gridCol w:w="1271"/>
        <w:gridCol w:w="859"/>
        <w:gridCol w:w="1091"/>
        <w:gridCol w:w="1202"/>
      </w:tblGrid>
      <w:tr w:rsidR="00CF7124" w14:paraId="5914CAE9" w14:textId="77777777">
        <w:trPr>
          <w:trHeight w:val="468"/>
        </w:trPr>
        <w:tc>
          <w:tcPr>
            <w:tcW w:w="1271" w:type="dxa"/>
            <w:tcBorders>
              <w:top w:val="single" w:sz="4" w:space="0" w:color="221F1F"/>
              <w:left w:val="nil"/>
              <w:bottom w:val="single" w:sz="4" w:space="0" w:color="221F1F"/>
              <w:right w:val="nil"/>
            </w:tcBorders>
          </w:tcPr>
          <w:p w14:paraId="64B40A2C" w14:textId="77777777" w:rsidR="00CF7124" w:rsidRDefault="00CF7124">
            <w:pPr>
              <w:spacing w:after="160" w:line="259" w:lineRule="auto"/>
              <w:ind w:firstLine="0"/>
              <w:jc w:val="left"/>
            </w:pPr>
          </w:p>
        </w:tc>
        <w:tc>
          <w:tcPr>
            <w:tcW w:w="859" w:type="dxa"/>
            <w:tcBorders>
              <w:top w:val="single" w:sz="4" w:space="0" w:color="221F1F"/>
              <w:left w:val="nil"/>
              <w:bottom w:val="single" w:sz="4" w:space="0" w:color="221F1F"/>
              <w:right w:val="nil"/>
            </w:tcBorders>
          </w:tcPr>
          <w:p w14:paraId="69F724D4" w14:textId="77777777" w:rsidR="00CF7124" w:rsidRDefault="001578E5">
            <w:pPr>
              <w:spacing w:after="0" w:line="259" w:lineRule="auto"/>
              <w:ind w:firstLine="0"/>
              <w:jc w:val="left"/>
            </w:pPr>
            <w:r>
              <w:rPr>
                <w:sz w:val="16"/>
              </w:rPr>
              <w:t>Size</w:t>
            </w:r>
          </w:p>
          <w:p w14:paraId="494CD9F8" w14:textId="77777777" w:rsidR="00CF7124" w:rsidRDefault="001578E5">
            <w:pPr>
              <w:spacing w:after="0" w:line="259" w:lineRule="auto"/>
              <w:ind w:firstLine="0"/>
              <w:jc w:val="left"/>
            </w:pPr>
            <w:r>
              <w:rPr>
                <w:sz w:val="16"/>
              </w:rPr>
              <w:t>(cm)</w:t>
            </w:r>
          </w:p>
        </w:tc>
        <w:tc>
          <w:tcPr>
            <w:tcW w:w="1091" w:type="dxa"/>
            <w:tcBorders>
              <w:top w:val="single" w:sz="4" w:space="0" w:color="221F1F"/>
              <w:left w:val="nil"/>
              <w:bottom w:val="single" w:sz="4" w:space="0" w:color="221F1F"/>
              <w:right w:val="nil"/>
            </w:tcBorders>
          </w:tcPr>
          <w:p w14:paraId="2452C9B9" w14:textId="77777777" w:rsidR="00CF7124" w:rsidRDefault="001578E5">
            <w:pPr>
              <w:spacing w:after="10" w:line="259" w:lineRule="auto"/>
              <w:ind w:firstLine="0"/>
              <w:jc w:val="left"/>
            </w:pPr>
            <w:r>
              <w:rPr>
                <w:sz w:val="16"/>
              </w:rPr>
              <w:t>Individuals</w:t>
            </w:r>
          </w:p>
          <w:p w14:paraId="171194C1" w14:textId="77777777" w:rsidR="00CF7124" w:rsidRDefault="001578E5">
            <w:pPr>
              <w:spacing w:after="0" w:line="259" w:lineRule="auto"/>
              <w:ind w:firstLine="0"/>
              <w:jc w:val="left"/>
            </w:pPr>
            <w:r>
              <w:rPr>
                <w:sz w:val="16"/>
              </w:rPr>
              <w:t>(m</w:t>
            </w:r>
            <w:r>
              <w:rPr>
                <w:sz w:val="16"/>
                <w:vertAlign w:val="superscript"/>
              </w:rPr>
              <w:t>2</w:t>
            </w:r>
            <w:r>
              <w:rPr>
                <w:sz w:val="16"/>
              </w:rPr>
              <w:t>)</w:t>
            </w:r>
          </w:p>
        </w:tc>
        <w:tc>
          <w:tcPr>
            <w:tcW w:w="1202" w:type="dxa"/>
            <w:tcBorders>
              <w:top w:val="single" w:sz="4" w:space="0" w:color="221F1F"/>
              <w:left w:val="nil"/>
              <w:bottom w:val="single" w:sz="4" w:space="0" w:color="221F1F"/>
              <w:right w:val="nil"/>
            </w:tcBorders>
          </w:tcPr>
          <w:p w14:paraId="18845BB9" w14:textId="77777777" w:rsidR="00CF7124" w:rsidRDefault="001578E5">
            <w:pPr>
              <w:spacing w:after="0" w:line="259" w:lineRule="auto"/>
              <w:ind w:right="-2" w:firstLine="0"/>
            </w:pPr>
            <w:r>
              <w:rPr>
                <w:sz w:val="16"/>
              </w:rPr>
              <w:t>Annual production</w:t>
            </w:r>
          </w:p>
          <w:p w14:paraId="28BF971C" w14:textId="77777777" w:rsidR="00CF7124" w:rsidRDefault="001578E5">
            <w:pPr>
              <w:spacing w:after="0" w:line="259" w:lineRule="auto"/>
              <w:ind w:firstLine="0"/>
              <w:jc w:val="left"/>
            </w:pPr>
            <w:r>
              <w:rPr>
                <w:sz w:val="16"/>
              </w:rPr>
              <w:t>kg m</w:t>
            </w:r>
            <w:r>
              <w:rPr>
                <w:sz w:val="11"/>
              </w:rPr>
              <w:t>2</w:t>
            </w:r>
          </w:p>
        </w:tc>
      </w:tr>
      <w:tr w:rsidR="00CF7124" w14:paraId="689A04DD" w14:textId="77777777">
        <w:trPr>
          <w:trHeight w:val="266"/>
        </w:trPr>
        <w:tc>
          <w:tcPr>
            <w:tcW w:w="1271" w:type="dxa"/>
            <w:tcBorders>
              <w:top w:val="single" w:sz="4" w:space="0" w:color="221F1F"/>
              <w:left w:val="nil"/>
              <w:bottom w:val="nil"/>
              <w:right w:val="nil"/>
            </w:tcBorders>
          </w:tcPr>
          <w:p w14:paraId="0DB94043" w14:textId="77777777" w:rsidR="00CF7124" w:rsidRDefault="001578E5">
            <w:pPr>
              <w:spacing w:after="0" w:line="259" w:lineRule="auto"/>
              <w:ind w:firstLine="0"/>
              <w:jc w:val="left"/>
            </w:pPr>
            <w:r>
              <w:rPr>
                <w:sz w:val="16"/>
              </w:rPr>
              <w:t>Community 1</w:t>
            </w:r>
          </w:p>
        </w:tc>
        <w:tc>
          <w:tcPr>
            <w:tcW w:w="859" w:type="dxa"/>
            <w:tcBorders>
              <w:top w:val="single" w:sz="4" w:space="0" w:color="221F1F"/>
              <w:left w:val="nil"/>
              <w:bottom w:val="nil"/>
              <w:right w:val="nil"/>
            </w:tcBorders>
          </w:tcPr>
          <w:p w14:paraId="16E3083C" w14:textId="77777777" w:rsidR="00CF7124" w:rsidRDefault="001578E5">
            <w:pPr>
              <w:spacing w:after="0" w:line="259" w:lineRule="auto"/>
              <w:ind w:firstLine="0"/>
              <w:jc w:val="left"/>
            </w:pPr>
            <w:r>
              <w:rPr>
                <w:sz w:val="16"/>
              </w:rPr>
              <w:t>0.8–1.0</w:t>
            </w:r>
          </w:p>
        </w:tc>
        <w:tc>
          <w:tcPr>
            <w:tcW w:w="1091" w:type="dxa"/>
            <w:tcBorders>
              <w:top w:val="single" w:sz="4" w:space="0" w:color="221F1F"/>
              <w:left w:val="nil"/>
              <w:bottom w:val="nil"/>
              <w:right w:val="nil"/>
            </w:tcBorders>
          </w:tcPr>
          <w:p w14:paraId="1EBF9AA0" w14:textId="77777777" w:rsidR="00CF7124" w:rsidRDefault="001578E5">
            <w:pPr>
              <w:spacing w:after="0" w:line="259" w:lineRule="auto"/>
              <w:ind w:firstLine="0"/>
              <w:jc w:val="left"/>
            </w:pPr>
            <w:r>
              <w:rPr>
                <w:sz w:val="16"/>
              </w:rPr>
              <w:t>1030</w:t>
            </w:r>
          </w:p>
        </w:tc>
        <w:tc>
          <w:tcPr>
            <w:tcW w:w="1202" w:type="dxa"/>
            <w:tcBorders>
              <w:top w:val="single" w:sz="4" w:space="0" w:color="221F1F"/>
              <w:left w:val="nil"/>
              <w:bottom w:val="nil"/>
              <w:right w:val="nil"/>
            </w:tcBorders>
          </w:tcPr>
          <w:p w14:paraId="379BA1C6" w14:textId="77777777" w:rsidR="00CF7124" w:rsidRDefault="001578E5">
            <w:pPr>
              <w:spacing w:after="0" w:line="259" w:lineRule="auto"/>
              <w:ind w:firstLine="0"/>
              <w:jc w:val="left"/>
            </w:pPr>
            <w:r>
              <w:rPr>
                <w:sz w:val="16"/>
              </w:rPr>
              <w:t>0.02</w:t>
            </w:r>
          </w:p>
        </w:tc>
      </w:tr>
      <w:tr w:rsidR="00CF7124" w14:paraId="0E54ECA8" w14:textId="77777777">
        <w:trPr>
          <w:trHeight w:val="199"/>
        </w:trPr>
        <w:tc>
          <w:tcPr>
            <w:tcW w:w="1271" w:type="dxa"/>
            <w:tcBorders>
              <w:top w:val="nil"/>
              <w:left w:val="nil"/>
              <w:bottom w:val="nil"/>
              <w:right w:val="nil"/>
            </w:tcBorders>
          </w:tcPr>
          <w:p w14:paraId="77B98D9D" w14:textId="77777777" w:rsidR="00CF7124" w:rsidRDefault="001578E5">
            <w:pPr>
              <w:spacing w:after="0" w:line="259" w:lineRule="auto"/>
              <w:ind w:firstLine="0"/>
              <w:jc w:val="left"/>
            </w:pPr>
            <w:r>
              <w:rPr>
                <w:sz w:val="16"/>
              </w:rPr>
              <w:t>Community 2</w:t>
            </w:r>
          </w:p>
        </w:tc>
        <w:tc>
          <w:tcPr>
            <w:tcW w:w="859" w:type="dxa"/>
            <w:tcBorders>
              <w:top w:val="nil"/>
              <w:left w:val="nil"/>
              <w:bottom w:val="nil"/>
              <w:right w:val="nil"/>
            </w:tcBorders>
          </w:tcPr>
          <w:p w14:paraId="247ABF7D" w14:textId="77777777" w:rsidR="00CF7124" w:rsidRDefault="001578E5">
            <w:pPr>
              <w:spacing w:after="0" w:line="259" w:lineRule="auto"/>
              <w:ind w:firstLine="0"/>
              <w:jc w:val="left"/>
            </w:pPr>
            <w:r>
              <w:rPr>
                <w:sz w:val="16"/>
              </w:rPr>
              <w:t>1.3–1.4</w:t>
            </w:r>
          </w:p>
        </w:tc>
        <w:tc>
          <w:tcPr>
            <w:tcW w:w="1091" w:type="dxa"/>
            <w:tcBorders>
              <w:top w:val="nil"/>
              <w:left w:val="nil"/>
              <w:bottom w:val="nil"/>
              <w:right w:val="nil"/>
            </w:tcBorders>
          </w:tcPr>
          <w:p w14:paraId="1410F734" w14:textId="77777777" w:rsidR="00CF7124" w:rsidRDefault="001578E5">
            <w:pPr>
              <w:spacing w:after="0" w:line="259" w:lineRule="auto"/>
              <w:ind w:firstLine="0"/>
              <w:jc w:val="left"/>
            </w:pPr>
            <w:r>
              <w:rPr>
                <w:sz w:val="16"/>
              </w:rPr>
              <w:t>1650</w:t>
            </w:r>
          </w:p>
        </w:tc>
        <w:tc>
          <w:tcPr>
            <w:tcW w:w="1202" w:type="dxa"/>
            <w:tcBorders>
              <w:top w:val="nil"/>
              <w:left w:val="nil"/>
              <w:bottom w:val="nil"/>
              <w:right w:val="nil"/>
            </w:tcBorders>
          </w:tcPr>
          <w:p w14:paraId="69E842BB" w14:textId="77777777" w:rsidR="00CF7124" w:rsidRDefault="001578E5">
            <w:pPr>
              <w:spacing w:after="0" w:line="259" w:lineRule="auto"/>
              <w:ind w:firstLine="0"/>
              <w:jc w:val="left"/>
            </w:pPr>
            <w:r>
              <w:rPr>
                <w:sz w:val="16"/>
              </w:rPr>
              <w:t>0.04</w:t>
            </w:r>
          </w:p>
        </w:tc>
      </w:tr>
      <w:tr w:rsidR="00CF7124" w14:paraId="6F5B3F9F" w14:textId="77777777">
        <w:trPr>
          <w:trHeight w:val="199"/>
        </w:trPr>
        <w:tc>
          <w:tcPr>
            <w:tcW w:w="1271" w:type="dxa"/>
            <w:tcBorders>
              <w:top w:val="nil"/>
              <w:left w:val="nil"/>
              <w:bottom w:val="nil"/>
              <w:right w:val="nil"/>
            </w:tcBorders>
          </w:tcPr>
          <w:p w14:paraId="6B07B202" w14:textId="77777777" w:rsidR="00CF7124" w:rsidRDefault="001578E5">
            <w:pPr>
              <w:spacing w:after="0" w:line="259" w:lineRule="auto"/>
              <w:ind w:firstLine="0"/>
              <w:jc w:val="left"/>
            </w:pPr>
            <w:r>
              <w:rPr>
                <w:sz w:val="16"/>
              </w:rPr>
              <w:t>Community 3</w:t>
            </w:r>
          </w:p>
        </w:tc>
        <w:tc>
          <w:tcPr>
            <w:tcW w:w="859" w:type="dxa"/>
            <w:tcBorders>
              <w:top w:val="nil"/>
              <w:left w:val="nil"/>
              <w:bottom w:val="nil"/>
              <w:right w:val="nil"/>
            </w:tcBorders>
          </w:tcPr>
          <w:p w14:paraId="2144F3C9" w14:textId="77777777" w:rsidR="00CF7124" w:rsidRDefault="001578E5">
            <w:pPr>
              <w:spacing w:after="0" w:line="259" w:lineRule="auto"/>
              <w:ind w:firstLine="0"/>
              <w:jc w:val="left"/>
            </w:pPr>
            <w:r>
              <w:rPr>
                <w:sz w:val="16"/>
              </w:rPr>
              <w:t>3.2–3.3</w:t>
            </w:r>
          </w:p>
        </w:tc>
        <w:tc>
          <w:tcPr>
            <w:tcW w:w="1091" w:type="dxa"/>
            <w:tcBorders>
              <w:top w:val="nil"/>
              <w:left w:val="nil"/>
              <w:bottom w:val="nil"/>
              <w:right w:val="nil"/>
            </w:tcBorders>
          </w:tcPr>
          <w:p w14:paraId="6D491FA3" w14:textId="77777777" w:rsidR="00CF7124" w:rsidRDefault="001578E5">
            <w:pPr>
              <w:spacing w:after="0" w:line="259" w:lineRule="auto"/>
              <w:ind w:left="79" w:firstLine="0"/>
              <w:jc w:val="left"/>
            </w:pPr>
            <w:r>
              <w:rPr>
                <w:sz w:val="16"/>
              </w:rPr>
              <w:t>380</w:t>
            </w:r>
          </w:p>
        </w:tc>
        <w:tc>
          <w:tcPr>
            <w:tcW w:w="1202" w:type="dxa"/>
            <w:tcBorders>
              <w:top w:val="nil"/>
              <w:left w:val="nil"/>
              <w:bottom w:val="nil"/>
              <w:right w:val="nil"/>
            </w:tcBorders>
          </w:tcPr>
          <w:p w14:paraId="294FA435" w14:textId="77777777" w:rsidR="00CF7124" w:rsidRDefault="001578E5">
            <w:pPr>
              <w:spacing w:after="0" w:line="259" w:lineRule="auto"/>
              <w:ind w:firstLine="0"/>
              <w:jc w:val="left"/>
            </w:pPr>
            <w:r>
              <w:rPr>
                <w:sz w:val="16"/>
              </w:rPr>
              <w:t>0.09</w:t>
            </w:r>
          </w:p>
        </w:tc>
      </w:tr>
      <w:tr w:rsidR="00CF7124" w14:paraId="07EB7A01" w14:textId="77777777">
        <w:trPr>
          <w:trHeight w:val="212"/>
        </w:trPr>
        <w:tc>
          <w:tcPr>
            <w:tcW w:w="1271" w:type="dxa"/>
            <w:tcBorders>
              <w:top w:val="nil"/>
              <w:left w:val="nil"/>
              <w:bottom w:val="single" w:sz="4" w:space="0" w:color="221F1F"/>
              <w:right w:val="nil"/>
            </w:tcBorders>
          </w:tcPr>
          <w:p w14:paraId="1AA4A3B6" w14:textId="77777777" w:rsidR="00CF7124" w:rsidRDefault="001578E5">
            <w:pPr>
              <w:spacing w:after="0" w:line="259" w:lineRule="auto"/>
              <w:ind w:firstLine="0"/>
              <w:jc w:val="left"/>
            </w:pPr>
            <w:r>
              <w:rPr>
                <w:sz w:val="16"/>
              </w:rPr>
              <w:t>Community 4</w:t>
            </w:r>
          </w:p>
        </w:tc>
        <w:tc>
          <w:tcPr>
            <w:tcW w:w="859" w:type="dxa"/>
            <w:tcBorders>
              <w:top w:val="nil"/>
              <w:left w:val="nil"/>
              <w:bottom w:val="single" w:sz="4" w:space="0" w:color="221F1F"/>
              <w:right w:val="nil"/>
            </w:tcBorders>
          </w:tcPr>
          <w:p w14:paraId="392934CA" w14:textId="77777777" w:rsidR="00CF7124" w:rsidRDefault="001578E5">
            <w:pPr>
              <w:spacing w:after="0" w:line="259" w:lineRule="auto"/>
              <w:ind w:firstLine="0"/>
              <w:jc w:val="left"/>
            </w:pPr>
            <w:r>
              <w:rPr>
                <w:sz w:val="16"/>
              </w:rPr>
              <w:t>3.6–4.0</w:t>
            </w:r>
          </w:p>
        </w:tc>
        <w:tc>
          <w:tcPr>
            <w:tcW w:w="1091" w:type="dxa"/>
            <w:tcBorders>
              <w:top w:val="nil"/>
              <w:left w:val="nil"/>
              <w:bottom w:val="single" w:sz="4" w:space="0" w:color="221F1F"/>
              <w:right w:val="nil"/>
            </w:tcBorders>
          </w:tcPr>
          <w:p w14:paraId="7CDB01A5" w14:textId="77777777" w:rsidR="00CF7124" w:rsidRDefault="001578E5">
            <w:pPr>
              <w:spacing w:after="0" w:line="259" w:lineRule="auto"/>
              <w:ind w:left="79" w:firstLine="0"/>
              <w:jc w:val="left"/>
            </w:pPr>
            <w:r>
              <w:rPr>
                <w:sz w:val="16"/>
              </w:rPr>
              <w:t>170</w:t>
            </w:r>
          </w:p>
        </w:tc>
        <w:tc>
          <w:tcPr>
            <w:tcW w:w="1202" w:type="dxa"/>
            <w:tcBorders>
              <w:top w:val="nil"/>
              <w:left w:val="nil"/>
              <w:bottom w:val="single" w:sz="4" w:space="0" w:color="221F1F"/>
              <w:right w:val="nil"/>
            </w:tcBorders>
          </w:tcPr>
          <w:p w14:paraId="78DB1617" w14:textId="77777777" w:rsidR="00CF7124" w:rsidRDefault="001578E5">
            <w:pPr>
              <w:spacing w:after="0" w:line="259" w:lineRule="auto"/>
              <w:ind w:firstLine="0"/>
              <w:jc w:val="left"/>
            </w:pPr>
            <w:r>
              <w:rPr>
                <w:sz w:val="16"/>
              </w:rPr>
              <w:t>0.05</w:t>
            </w:r>
          </w:p>
        </w:tc>
      </w:tr>
    </w:tbl>
    <w:p w14:paraId="6FB41F66" w14:textId="77777777" w:rsidR="00CF7124" w:rsidRDefault="001578E5">
      <w:pPr>
        <w:ind w:left="-15" w:firstLine="0"/>
      </w:pPr>
      <w:r>
        <w:t>which represent time averaging of equivalent even noncontemporaneous elements (</w:t>
      </w:r>
      <w:r>
        <w:rPr>
          <w:color w:val="2D3092"/>
        </w:rPr>
        <w:t>Kidwell and Behrensmeyer, 1993</w:t>
      </w:r>
      <w:r>
        <w:t>).</w:t>
      </w:r>
    </w:p>
    <w:p w14:paraId="6C257E3E" w14:textId="77777777" w:rsidR="00CF7124" w:rsidRDefault="001578E5">
      <w:pPr>
        <w:ind w:left="-15"/>
      </w:pPr>
      <w:r>
        <w:t xml:space="preserve">Notwithstanding its endofaunal mode of life, which differs from that of the Requieniidae, </w:t>
      </w:r>
      <w:r>
        <w:t xml:space="preserve">Cardium fragum </w:t>
      </w:r>
      <w:r>
        <w:t>might be used as a possible analogue fo</w:t>
      </w:r>
      <w:r>
        <w:t xml:space="preserve">r small requieniids associated with communities 1 and 2, assumed to represent r strategists (short life span and fast growth rate). As shown in </w:t>
      </w:r>
      <w:r>
        <w:rPr>
          <w:color w:val="2D3092"/>
        </w:rPr>
        <w:t xml:space="preserve">Table 8 </w:t>
      </w:r>
      <w:r>
        <w:t>the highest annual CaCO</w:t>
      </w:r>
      <w:r>
        <w:rPr>
          <w:vertAlign w:val="subscript"/>
        </w:rPr>
        <w:t xml:space="preserve">3 </w:t>
      </w:r>
      <w:r>
        <w:t>production of lagoonal bivalves is due to this species, a feature departing fro</w:t>
      </w:r>
      <w:r>
        <w:t>m that of small requieniids having the lowest production (by a factor 10). Another contrasting featureis the numberof individuals by m</w:t>
      </w:r>
      <w:r>
        <w:rPr>
          <w:vertAlign w:val="superscript"/>
        </w:rPr>
        <w:t xml:space="preserve">2 </w:t>
      </w:r>
      <w:r>
        <w:t xml:space="preserve">(see </w:t>
      </w:r>
      <w:r>
        <w:rPr>
          <w:color w:val="2D3092"/>
        </w:rPr>
        <w:t>Tables 8 and 9</w:t>
      </w:r>
      <w:r>
        <w:t xml:space="preserve">), far less for modern </w:t>
      </w:r>
      <w:r>
        <w:t xml:space="preserve">Cardium </w:t>
      </w:r>
      <w:r>
        <w:t>than for Barremian forms. This may be due to the integration of severa</w:t>
      </w:r>
      <w:r>
        <w:t xml:space="preserve">l noncontemporaneous generations, at least in part. </w:t>
      </w:r>
      <w:proofErr w:type="gramStart"/>
      <w:r>
        <w:t>Actually</w:t>
      </w:r>
      <w:proofErr w:type="gramEnd"/>
      <w:r>
        <w:t xml:space="preserve"> several lines of evidence tend to focus on significant dissimilarities between small requieniids and modern lagoonal </w:t>
      </w:r>
      <w:r>
        <w:t xml:space="preserve">Cardium </w:t>
      </w:r>
      <w:r>
        <w:t>communities, especially in terms of demographic strategies. Communitie</w:t>
      </w:r>
      <w:r>
        <w:t xml:space="preserve">s with small Requieniidae merely represent slow growing communities in a stressing environment rather than fast growing assemblages with </w:t>
      </w:r>
      <w:r>
        <w:t xml:space="preserve">r </w:t>
      </w:r>
      <w:r>
        <w:t xml:space="preserve">strategies. As for the </w:t>
      </w:r>
      <w:r>
        <w:t>Tridacna</w:t>
      </w:r>
      <w:r>
        <w:t xml:space="preserve">– </w:t>
      </w:r>
      <w:r>
        <w:t xml:space="preserve">Chama </w:t>
      </w:r>
      <w:r>
        <w:t>reference model comparisons between the production values estimated for commun</w:t>
      </w:r>
      <w:r>
        <w:t>ities surveyed at pluri-annual scales and those investigated at the scale of 10 to 20 ka are poorly consistent.</w:t>
      </w:r>
    </w:p>
    <w:tbl>
      <w:tblPr>
        <w:tblStyle w:val="TableGrid"/>
        <w:tblpPr w:vertAnchor="text" w:horzAnchor="margin" w:tblpY="1961"/>
        <w:tblOverlap w:val="never"/>
        <w:tblW w:w="9411" w:type="dxa"/>
        <w:tblInd w:w="0" w:type="dxa"/>
        <w:tblCellMar>
          <w:top w:w="1" w:type="dxa"/>
          <w:left w:w="86" w:type="dxa"/>
          <w:bottom w:w="0" w:type="dxa"/>
          <w:right w:w="0" w:type="dxa"/>
        </w:tblCellMar>
        <w:tblLook w:val="04A0" w:firstRow="1" w:lastRow="0" w:firstColumn="1" w:lastColumn="0" w:noHBand="0" w:noVBand="1"/>
      </w:tblPr>
      <w:tblGrid>
        <w:gridCol w:w="9411"/>
      </w:tblGrid>
      <w:tr w:rsidR="00CF7124" w14:paraId="7ABD89D1" w14:textId="77777777">
        <w:trPr>
          <w:trHeight w:val="164"/>
        </w:trPr>
        <w:tc>
          <w:tcPr>
            <w:tcW w:w="5035" w:type="dxa"/>
            <w:tcBorders>
              <w:top w:val="nil"/>
              <w:left w:val="nil"/>
              <w:bottom w:val="nil"/>
              <w:right w:val="nil"/>
            </w:tcBorders>
          </w:tcPr>
          <w:p w14:paraId="756909D4" w14:textId="77777777" w:rsidR="00CF7124" w:rsidRDefault="001578E5">
            <w:pPr>
              <w:spacing w:after="0" w:line="259" w:lineRule="auto"/>
              <w:ind w:firstLine="0"/>
            </w:pPr>
            <w:r>
              <w:rPr>
                <w:sz w:val="16"/>
              </w:rPr>
              <w:t>Quantitative ecological data and CaCO</w:t>
            </w:r>
            <w:r>
              <w:rPr>
                <w:sz w:val="16"/>
                <w:vertAlign w:val="subscript"/>
              </w:rPr>
              <w:t xml:space="preserve">3 </w:t>
            </w:r>
            <w:r>
              <w:rPr>
                <w:sz w:val="16"/>
              </w:rPr>
              <w:t>production of modern living bivalves</w:t>
            </w:r>
          </w:p>
          <w:tbl>
            <w:tblPr>
              <w:tblStyle w:val="TableGrid"/>
              <w:tblW w:w="9325" w:type="dxa"/>
              <w:tblInd w:w="0" w:type="dxa"/>
              <w:tblCellMar>
                <w:top w:w="27" w:type="dxa"/>
                <w:left w:w="0" w:type="dxa"/>
                <w:bottom w:w="0" w:type="dxa"/>
                <w:right w:w="0" w:type="dxa"/>
              </w:tblCellMar>
              <w:tblLook w:val="04A0" w:firstRow="1" w:lastRow="0" w:firstColumn="1" w:lastColumn="0" w:noHBand="0" w:noVBand="1"/>
            </w:tblPr>
            <w:tblGrid>
              <w:gridCol w:w="1986"/>
              <w:gridCol w:w="1669"/>
              <w:gridCol w:w="1615"/>
              <w:gridCol w:w="1456"/>
              <w:gridCol w:w="1879"/>
              <w:gridCol w:w="720"/>
            </w:tblGrid>
            <w:tr w:rsidR="00CF7124" w14:paraId="5A0068E2" w14:textId="77777777">
              <w:trPr>
                <w:trHeight w:val="667"/>
              </w:trPr>
              <w:tc>
                <w:tcPr>
                  <w:tcW w:w="1989" w:type="dxa"/>
                  <w:tcBorders>
                    <w:top w:val="single" w:sz="4" w:space="0" w:color="221F1F"/>
                    <w:left w:val="nil"/>
                    <w:bottom w:val="single" w:sz="4" w:space="0" w:color="221F1F"/>
                    <w:right w:val="nil"/>
                  </w:tcBorders>
                </w:tcPr>
                <w:p w14:paraId="59AB0D37" w14:textId="77777777" w:rsidR="00CF7124" w:rsidRDefault="00CF7124">
                  <w:pPr>
                    <w:framePr w:wrap="around" w:vAnchor="text" w:hAnchor="margin" w:y="1961"/>
                    <w:spacing w:after="160" w:line="259" w:lineRule="auto"/>
                    <w:ind w:firstLine="0"/>
                    <w:suppressOverlap/>
                    <w:jc w:val="left"/>
                  </w:pPr>
                </w:p>
              </w:tc>
              <w:tc>
                <w:tcPr>
                  <w:tcW w:w="1672" w:type="dxa"/>
                  <w:tcBorders>
                    <w:top w:val="single" w:sz="4" w:space="0" w:color="221F1F"/>
                    <w:left w:val="nil"/>
                    <w:bottom w:val="single" w:sz="4" w:space="0" w:color="221F1F"/>
                    <w:right w:val="nil"/>
                  </w:tcBorders>
                </w:tcPr>
                <w:p w14:paraId="1226D2EC" w14:textId="77777777" w:rsidR="00CF7124" w:rsidRDefault="001578E5">
                  <w:pPr>
                    <w:framePr w:wrap="around" w:vAnchor="text" w:hAnchor="margin" w:y="1961"/>
                    <w:spacing w:after="0" w:line="259" w:lineRule="auto"/>
                    <w:ind w:firstLine="0"/>
                    <w:suppressOverlap/>
                    <w:jc w:val="left"/>
                  </w:pPr>
                  <w:r>
                    <w:rPr>
                      <w:sz w:val="16"/>
                    </w:rPr>
                    <w:t>Average size</w:t>
                  </w:r>
                </w:p>
                <w:p w14:paraId="76765656" w14:textId="77777777" w:rsidR="00CF7124" w:rsidRDefault="001578E5">
                  <w:pPr>
                    <w:framePr w:wrap="around" w:vAnchor="text" w:hAnchor="margin" w:y="1961"/>
                    <w:spacing w:after="0" w:line="259" w:lineRule="auto"/>
                    <w:ind w:firstLine="0"/>
                    <w:suppressOverlap/>
                    <w:jc w:val="left"/>
                  </w:pPr>
                  <w:r>
                    <w:rPr>
                      <w:sz w:val="16"/>
                    </w:rPr>
                    <w:t>(cm)</w:t>
                  </w:r>
                </w:p>
              </w:tc>
              <w:tc>
                <w:tcPr>
                  <w:tcW w:w="1616" w:type="dxa"/>
                  <w:tcBorders>
                    <w:top w:val="single" w:sz="4" w:space="0" w:color="221F1F"/>
                    <w:left w:val="nil"/>
                    <w:bottom w:val="single" w:sz="4" w:space="0" w:color="221F1F"/>
                    <w:right w:val="nil"/>
                  </w:tcBorders>
                </w:tcPr>
                <w:p w14:paraId="34DB20B2" w14:textId="77777777" w:rsidR="00CF7124" w:rsidRDefault="001578E5">
                  <w:pPr>
                    <w:framePr w:wrap="around" w:vAnchor="text" w:hAnchor="margin" w:y="1961"/>
                    <w:spacing w:after="0" w:line="259" w:lineRule="auto"/>
                    <w:ind w:right="807" w:firstLine="0"/>
                    <w:suppressOverlap/>
                    <w:jc w:val="left"/>
                  </w:pPr>
                  <w:r>
                    <w:rPr>
                      <w:sz w:val="16"/>
                    </w:rPr>
                    <w:t>Annual size increase (cm)</w:t>
                  </w:r>
                </w:p>
              </w:tc>
              <w:tc>
                <w:tcPr>
                  <w:tcW w:w="1458" w:type="dxa"/>
                  <w:tcBorders>
                    <w:top w:val="single" w:sz="4" w:space="0" w:color="221F1F"/>
                    <w:left w:val="nil"/>
                    <w:bottom w:val="single" w:sz="4" w:space="0" w:color="221F1F"/>
                    <w:right w:val="nil"/>
                  </w:tcBorders>
                </w:tcPr>
                <w:p w14:paraId="55822574" w14:textId="77777777" w:rsidR="00CF7124" w:rsidRDefault="001578E5">
                  <w:pPr>
                    <w:framePr w:wrap="around" w:vAnchor="text" w:hAnchor="margin" w:y="1961"/>
                    <w:spacing w:after="0" w:line="259" w:lineRule="auto"/>
                    <w:ind w:firstLine="0"/>
                    <w:suppressOverlap/>
                    <w:jc w:val="left"/>
                  </w:pPr>
                  <w:r>
                    <w:rPr>
                      <w:sz w:val="16"/>
                    </w:rPr>
                    <w:t>Life span</w:t>
                  </w:r>
                </w:p>
                <w:p w14:paraId="7CE3B658" w14:textId="77777777" w:rsidR="00CF7124" w:rsidRDefault="001578E5">
                  <w:pPr>
                    <w:framePr w:wrap="around" w:vAnchor="text" w:hAnchor="margin" w:y="1961"/>
                    <w:spacing w:after="0" w:line="259" w:lineRule="auto"/>
                    <w:ind w:firstLine="0"/>
                    <w:suppressOverlap/>
                    <w:jc w:val="left"/>
                  </w:pPr>
                  <w:r>
                    <w:rPr>
                      <w:sz w:val="16"/>
                    </w:rPr>
                    <w:t>(years)</w:t>
                  </w:r>
                </w:p>
              </w:tc>
              <w:tc>
                <w:tcPr>
                  <w:tcW w:w="1881" w:type="dxa"/>
                  <w:tcBorders>
                    <w:top w:val="single" w:sz="4" w:space="0" w:color="221F1F"/>
                    <w:left w:val="nil"/>
                    <w:bottom w:val="single" w:sz="4" w:space="0" w:color="221F1F"/>
                    <w:right w:val="nil"/>
                  </w:tcBorders>
                </w:tcPr>
                <w:p w14:paraId="46D73AB1" w14:textId="77777777" w:rsidR="00CF7124" w:rsidRDefault="001578E5">
                  <w:pPr>
                    <w:framePr w:wrap="around" w:vAnchor="text" w:hAnchor="margin" w:y="1961"/>
                    <w:spacing w:after="0" w:line="261" w:lineRule="auto"/>
                    <w:ind w:right="222" w:firstLine="0"/>
                    <w:suppressOverlap/>
                    <w:jc w:val="left"/>
                  </w:pPr>
                  <w:r>
                    <w:rPr>
                      <w:sz w:val="16"/>
                    </w:rPr>
                    <w:t>Annual CaCO</w:t>
                  </w:r>
                  <w:r>
                    <w:rPr>
                      <w:sz w:val="16"/>
                      <w:vertAlign w:val="subscript"/>
                    </w:rPr>
                    <w:t xml:space="preserve">3 </w:t>
                  </w:r>
                  <w:r>
                    <w:rPr>
                      <w:sz w:val="16"/>
                    </w:rPr>
                    <w:t>production</w:t>
                  </w:r>
                </w:p>
                <w:p w14:paraId="49F3615B" w14:textId="77777777" w:rsidR="00CF7124" w:rsidRDefault="001578E5">
                  <w:pPr>
                    <w:framePr w:wrap="around" w:vAnchor="text" w:hAnchor="margin" w:y="1961"/>
                    <w:spacing w:after="0" w:line="259" w:lineRule="auto"/>
                    <w:ind w:firstLine="0"/>
                    <w:suppressOverlap/>
                    <w:jc w:val="left"/>
                  </w:pPr>
                  <w:r>
                    <w:rPr>
                      <w:sz w:val="16"/>
                    </w:rPr>
                    <w:t>kg m</w:t>
                  </w:r>
                  <w:r>
                    <w:rPr>
                      <w:sz w:val="11"/>
                    </w:rPr>
                    <w:t>2</w:t>
                  </w:r>
                </w:p>
              </w:tc>
              <w:tc>
                <w:tcPr>
                  <w:tcW w:w="709" w:type="dxa"/>
                  <w:tcBorders>
                    <w:top w:val="single" w:sz="4" w:space="0" w:color="221F1F"/>
                    <w:left w:val="nil"/>
                    <w:bottom w:val="single" w:sz="4" w:space="0" w:color="221F1F"/>
                    <w:right w:val="nil"/>
                  </w:tcBorders>
                </w:tcPr>
                <w:p w14:paraId="18EABDB9" w14:textId="77777777" w:rsidR="00CF7124" w:rsidRDefault="001578E5">
                  <w:pPr>
                    <w:framePr w:wrap="around" w:vAnchor="text" w:hAnchor="margin" w:y="1961"/>
                    <w:spacing w:after="0" w:line="259" w:lineRule="auto"/>
                    <w:ind w:right="-1" w:firstLine="0"/>
                    <w:suppressOverlap/>
                  </w:pPr>
                  <w:r>
                    <w:rPr>
                      <w:sz w:val="16"/>
                    </w:rPr>
                    <w:t>Individuals</w:t>
                  </w:r>
                </w:p>
                <w:p w14:paraId="007D17A3" w14:textId="77777777" w:rsidR="00CF7124" w:rsidRDefault="001578E5">
                  <w:pPr>
                    <w:framePr w:wrap="around" w:vAnchor="text" w:hAnchor="margin" w:y="1961"/>
                    <w:spacing w:after="0" w:line="259" w:lineRule="auto"/>
                    <w:ind w:firstLine="0"/>
                    <w:suppressOverlap/>
                    <w:jc w:val="left"/>
                  </w:pPr>
                  <w:r>
                    <w:rPr>
                      <w:sz w:val="16"/>
                    </w:rPr>
                    <w:t>m</w:t>
                  </w:r>
                  <w:r>
                    <w:rPr>
                      <w:sz w:val="11"/>
                    </w:rPr>
                    <w:t>2</w:t>
                  </w:r>
                </w:p>
              </w:tc>
            </w:tr>
            <w:tr w:rsidR="00CF7124" w14:paraId="35446D36" w14:textId="77777777">
              <w:trPr>
                <w:trHeight w:val="266"/>
              </w:trPr>
              <w:tc>
                <w:tcPr>
                  <w:tcW w:w="1989" w:type="dxa"/>
                  <w:tcBorders>
                    <w:top w:val="single" w:sz="4" w:space="0" w:color="221F1F"/>
                    <w:left w:val="nil"/>
                    <w:bottom w:val="nil"/>
                    <w:right w:val="nil"/>
                  </w:tcBorders>
                </w:tcPr>
                <w:p w14:paraId="5CC4876F" w14:textId="77777777" w:rsidR="00CF7124" w:rsidRDefault="001578E5">
                  <w:pPr>
                    <w:framePr w:wrap="around" w:vAnchor="text" w:hAnchor="margin" w:y="1961"/>
                    <w:spacing w:after="0" w:line="259" w:lineRule="auto"/>
                    <w:ind w:firstLine="0"/>
                    <w:suppressOverlap/>
                    <w:jc w:val="left"/>
                  </w:pPr>
                  <w:r>
                    <w:rPr>
                      <w:sz w:val="16"/>
                    </w:rPr>
                    <w:t>Tridacna maxima</w:t>
                  </w:r>
                </w:p>
              </w:tc>
              <w:tc>
                <w:tcPr>
                  <w:tcW w:w="1672" w:type="dxa"/>
                  <w:tcBorders>
                    <w:top w:val="single" w:sz="4" w:space="0" w:color="221F1F"/>
                    <w:left w:val="nil"/>
                    <w:bottom w:val="nil"/>
                    <w:right w:val="nil"/>
                  </w:tcBorders>
                </w:tcPr>
                <w:p w14:paraId="7A8C90C0" w14:textId="77777777" w:rsidR="00CF7124" w:rsidRDefault="001578E5">
                  <w:pPr>
                    <w:framePr w:wrap="around" w:vAnchor="text" w:hAnchor="margin" w:y="1961"/>
                    <w:spacing w:after="0" w:line="259" w:lineRule="auto"/>
                    <w:ind w:firstLine="0"/>
                    <w:suppressOverlap/>
                    <w:jc w:val="left"/>
                  </w:pPr>
                  <w:r>
                    <w:rPr>
                      <w:sz w:val="16"/>
                    </w:rPr>
                    <w:t>10</w:t>
                  </w:r>
                </w:p>
              </w:tc>
              <w:tc>
                <w:tcPr>
                  <w:tcW w:w="1616" w:type="dxa"/>
                  <w:tcBorders>
                    <w:top w:val="single" w:sz="4" w:space="0" w:color="221F1F"/>
                    <w:left w:val="nil"/>
                    <w:bottom w:val="nil"/>
                    <w:right w:val="nil"/>
                  </w:tcBorders>
                </w:tcPr>
                <w:p w14:paraId="7D9A175F" w14:textId="77777777" w:rsidR="00CF7124" w:rsidRDefault="001578E5">
                  <w:pPr>
                    <w:framePr w:wrap="around" w:vAnchor="text" w:hAnchor="margin" w:y="1961"/>
                    <w:spacing w:after="0" w:line="259" w:lineRule="auto"/>
                    <w:ind w:firstLine="0"/>
                    <w:suppressOverlap/>
                    <w:jc w:val="left"/>
                  </w:pPr>
                  <w:r>
                    <w:rPr>
                      <w:sz w:val="16"/>
                    </w:rPr>
                    <w:t>1–1.15</w:t>
                  </w:r>
                </w:p>
              </w:tc>
              <w:tc>
                <w:tcPr>
                  <w:tcW w:w="1458" w:type="dxa"/>
                  <w:tcBorders>
                    <w:top w:val="single" w:sz="4" w:space="0" w:color="221F1F"/>
                    <w:left w:val="nil"/>
                    <w:bottom w:val="nil"/>
                    <w:right w:val="nil"/>
                  </w:tcBorders>
                </w:tcPr>
                <w:p w14:paraId="1B7FA102" w14:textId="77777777" w:rsidR="00CF7124" w:rsidRDefault="001578E5">
                  <w:pPr>
                    <w:framePr w:wrap="around" w:vAnchor="text" w:hAnchor="margin" w:y="1961"/>
                    <w:spacing w:after="0" w:line="259" w:lineRule="auto"/>
                    <w:ind w:firstLine="0"/>
                    <w:suppressOverlap/>
                    <w:jc w:val="left"/>
                  </w:pPr>
                  <w:r>
                    <w:rPr>
                      <w:sz w:val="16"/>
                    </w:rPr>
                    <w:t>11–12</w:t>
                  </w:r>
                </w:p>
              </w:tc>
              <w:tc>
                <w:tcPr>
                  <w:tcW w:w="1881" w:type="dxa"/>
                  <w:tcBorders>
                    <w:top w:val="single" w:sz="4" w:space="0" w:color="221F1F"/>
                    <w:left w:val="nil"/>
                    <w:bottom w:val="nil"/>
                    <w:right w:val="nil"/>
                  </w:tcBorders>
                </w:tcPr>
                <w:p w14:paraId="0A508932" w14:textId="77777777" w:rsidR="00CF7124" w:rsidRDefault="001578E5">
                  <w:pPr>
                    <w:framePr w:wrap="around" w:vAnchor="text" w:hAnchor="margin" w:y="1961"/>
                    <w:spacing w:after="0" w:line="259" w:lineRule="auto"/>
                    <w:ind w:firstLine="0"/>
                    <w:suppressOverlap/>
                    <w:jc w:val="left"/>
                  </w:pPr>
                  <w:r>
                    <w:rPr>
                      <w:sz w:val="16"/>
                    </w:rPr>
                    <w:t>0.02–0.03</w:t>
                  </w:r>
                </w:p>
              </w:tc>
              <w:tc>
                <w:tcPr>
                  <w:tcW w:w="709" w:type="dxa"/>
                  <w:tcBorders>
                    <w:top w:val="single" w:sz="4" w:space="0" w:color="221F1F"/>
                    <w:left w:val="nil"/>
                    <w:bottom w:val="nil"/>
                    <w:right w:val="nil"/>
                  </w:tcBorders>
                </w:tcPr>
                <w:p w14:paraId="4EABF0DF" w14:textId="77777777" w:rsidR="00CF7124" w:rsidRDefault="001578E5">
                  <w:pPr>
                    <w:framePr w:wrap="around" w:vAnchor="text" w:hAnchor="margin" w:y="1961"/>
                    <w:spacing w:after="0" w:line="259" w:lineRule="auto"/>
                    <w:ind w:left="105" w:firstLine="0"/>
                    <w:suppressOverlap/>
                    <w:jc w:val="left"/>
                  </w:pPr>
                  <w:r>
                    <w:rPr>
                      <w:sz w:val="16"/>
                    </w:rPr>
                    <w:t>1–5</w:t>
                  </w:r>
                </w:p>
              </w:tc>
            </w:tr>
            <w:tr w:rsidR="00CF7124" w14:paraId="475E2322" w14:textId="77777777">
              <w:trPr>
                <w:trHeight w:val="190"/>
              </w:trPr>
              <w:tc>
                <w:tcPr>
                  <w:tcW w:w="1989" w:type="dxa"/>
                  <w:tcBorders>
                    <w:top w:val="nil"/>
                    <w:left w:val="nil"/>
                    <w:bottom w:val="nil"/>
                    <w:right w:val="nil"/>
                  </w:tcBorders>
                </w:tcPr>
                <w:p w14:paraId="1D1E6E10" w14:textId="77777777" w:rsidR="00CF7124" w:rsidRDefault="001578E5">
                  <w:pPr>
                    <w:framePr w:wrap="around" w:vAnchor="text" w:hAnchor="margin" w:y="1961"/>
                    <w:spacing w:after="0" w:line="259" w:lineRule="auto"/>
                    <w:ind w:firstLine="0"/>
                    <w:suppressOverlap/>
                    <w:jc w:val="left"/>
                  </w:pPr>
                  <w:r>
                    <w:rPr>
                      <w:sz w:val="16"/>
                    </w:rPr>
                    <w:t>Chama iostoma</w:t>
                  </w:r>
                </w:p>
              </w:tc>
              <w:tc>
                <w:tcPr>
                  <w:tcW w:w="1672" w:type="dxa"/>
                  <w:tcBorders>
                    <w:top w:val="nil"/>
                    <w:left w:val="nil"/>
                    <w:bottom w:val="nil"/>
                    <w:right w:val="nil"/>
                  </w:tcBorders>
                </w:tcPr>
                <w:p w14:paraId="33710D31" w14:textId="77777777" w:rsidR="00CF7124" w:rsidRDefault="001578E5">
                  <w:pPr>
                    <w:framePr w:wrap="around" w:vAnchor="text" w:hAnchor="margin" w:y="1961"/>
                    <w:spacing w:after="0" w:line="259" w:lineRule="auto"/>
                    <w:ind w:left="79" w:firstLine="0"/>
                    <w:suppressOverlap/>
                    <w:jc w:val="left"/>
                  </w:pPr>
                  <w:r>
                    <w:rPr>
                      <w:sz w:val="16"/>
                    </w:rPr>
                    <w:t>6</w:t>
                  </w:r>
                </w:p>
              </w:tc>
              <w:tc>
                <w:tcPr>
                  <w:tcW w:w="1616" w:type="dxa"/>
                  <w:tcBorders>
                    <w:top w:val="nil"/>
                    <w:left w:val="nil"/>
                    <w:bottom w:val="nil"/>
                    <w:right w:val="nil"/>
                  </w:tcBorders>
                </w:tcPr>
                <w:p w14:paraId="1313DF2E" w14:textId="77777777" w:rsidR="00CF7124" w:rsidRDefault="001578E5">
                  <w:pPr>
                    <w:framePr w:wrap="around" w:vAnchor="text" w:hAnchor="margin" w:y="1961"/>
                    <w:spacing w:after="0" w:line="259" w:lineRule="auto"/>
                    <w:ind w:firstLine="0"/>
                    <w:suppressOverlap/>
                    <w:jc w:val="left"/>
                  </w:pPr>
                  <w:r>
                    <w:rPr>
                      <w:sz w:val="16"/>
                    </w:rPr>
                    <w:t>0.7</w:t>
                  </w:r>
                </w:p>
              </w:tc>
              <w:tc>
                <w:tcPr>
                  <w:tcW w:w="1458" w:type="dxa"/>
                  <w:tcBorders>
                    <w:top w:val="nil"/>
                    <w:left w:val="nil"/>
                    <w:bottom w:val="nil"/>
                    <w:right w:val="nil"/>
                  </w:tcBorders>
                </w:tcPr>
                <w:p w14:paraId="7C659B09" w14:textId="77777777" w:rsidR="00CF7124" w:rsidRDefault="001578E5">
                  <w:pPr>
                    <w:framePr w:wrap="around" w:vAnchor="text" w:hAnchor="margin" w:y="1961"/>
                    <w:spacing w:after="0" w:line="259" w:lineRule="auto"/>
                    <w:ind w:firstLine="0"/>
                    <w:suppressOverlap/>
                    <w:jc w:val="left"/>
                  </w:pPr>
                  <w:r>
                    <w:rPr>
                      <w:sz w:val="16"/>
                    </w:rPr>
                    <w:t>20</w:t>
                  </w:r>
                </w:p>
              </w:tc>
              <w:tc>
                <w:tcPr>
                  <w:tcW w:w="1881" w:type="dxa"/>
                  <w:tcBorders>
                    <w:top w:val="nil"/>
                    <w:left w:val="nil"/>
                    <w:bottom w:val="nil"/>
                    <w:right w:val="nil"/>
                  </w:tcBorders>
                </w:tcPr>
                <w:p w14:paraId="60F9925E" w14:textId="77777777" w:rsidR="00CF7124" w:rsidRDefault="001578E5">
                  <w:pPr>
                    <w:framePr w:wrap="around" w:vAnchor="text" w:hAnchor="margin" w:y="1961"/>
                    <w:spacing w:after="0" w:line="259" w:lineRule="auto"/>
                    <w:ind w:firstLine="0"/>
                    <w:suppressOverlap/>
                    <w:jc w:val="left"/>
                  </w:pPr>
                  <w:r>
                    <w:rPr>
                      <w:sz w:val="16"/>
                    </w:rPr>
                    <w:t>0.03</w:t>
                  </w:r>
                </w:p>
              </w:tc>
              <w:tc>
                <w:tcPr>
                  <w:tcW w:w="709" w:type="dxa"/>
                  <w:tcBorders>
                    <w:top w:val="nil"/>
                    <w:left w:val="nil"/>
                    <w:bottom w:val="nil"/>
                    <w:right w:val="nil"/>
                  </w:tcBorders>
                </w:tcPr>
                <w:p w14:paraId="617101C7" w14:textId="77777777" w:rsidR="00CF7124" w:rsidRDefault="001578E5">
                  <w:pPr>
                    <w:framePr w:wrap="around" w:vAnchor="text" w:hAnchor="margin" w:y="1961"/>
                    <w:spacing w:after="0" w:line="259" w:lineRule="auto"/>
                    <w:ind w:left="105" w:firstLine="0"/>
                    <w:suppressOverlap/>
                    <w:jc w:val="left"/>
                  </w:pPr>
                  <w:r>
                    <w:rPr>
                      <w:sz w:val="16"/>
                    </w:rPr>
                    <w:t>1–2</w:t>
                  </w:r>
                </w:p>
              </w:tc>
            </w:tr>
            <w:tr w:rsidR="00CF7124" w14:paraId="7353BE9B" w14:textId="77777777">
              <w:trPr>
                <w:trHeight w:val="221"/>
              </w:trPr>
              <w:tc>
                <w:tcPr>
                  <w:tcW w:w="1989" w:type="dxa"/>
                  <w:tcBorders>
                    <w:top w:val="nil"/>
                    <w:left w:val="nil"/>
                    <w:bottom w:val="single" w:sz="4" w:space="0" w:color="221F1F"/>
                    <w:right w:val="nil"/>
                  </w:tcBorders>
                </w:tcPr>
                <w:p w14:paraId="0176A227" w14:textId="77777777" w:rsidR="00CF7124" w:rsidRDefault="001578E5">
                  <w:pPr>
                    <w:framePr w:wrap="around" w:vAnchor="text" w:hAnchor="margin" w:y="1961"/>
                    <w:spacing w:after="0" w:line="259" w:lineRule="auto"/>
                    <w:ind w:firstLine="0"/>
                    <w:suppressOverlap/>
                    <w:jc w:val="left"/>
                  </w:pPr>
                  <w:r>
                    <w:rPr>
                      <w:sz w:val="16"/>
                    </w:rPr>
                    <w:t>Cardium fragum</w:t>
                  </w:r>
                </w:p>
              </w:tc>
              <w:tc>
                <w:tcPr>
                  <w:tcW w:w="1672" w:type="dxa"/>
                  <w:tcBorders>
                    <w:top w:val="nil"/>
                    <w:left w:val="nil"/>
                    <w:bottom w:val="single" w:sz="4" w:space="0" w:color="221F1F"/>
                    <w:right w:val="nil"/>
                  </w:tcBorders>
                </w:tcPr>
                <w:p w14:paraId="3F375AA1" w14:textId="77777777" w:rsidR="00CF7124" w:rsidRDefault="001578E5">
                  <w:pPr>
                    <w:framePr w:wrap="around" w:vAnchor="text" w:hAnchor="margin" w:y="1961"/>
                    <w:spacing w:after="0" w:line="259" w:lineRule="auto"/>
                    <w:ind w:left="79" w:firstLine="0"/>
                    <w:suppressOverlap/>
                    <w:jc w:val="left"/>
                  </w:pPr>
                  <w:r>
                    <w:rPr>
                      <w:sz w:val="16"/>
                    </w:rPr>
                    <w:t>3.5</w:t>
                  </w:r>
                </w:p>
              </w:tc>
              <w:tc>
                <w:tcPr>
                  <w:tcW w:w="1616" w:type="dxa"/>
                  <w:tcBorders>
                    <w:top w:val="nil"/>
                    <w:left w:val="nil"/>
                    <w:bottom w:val="single" w:sz="4" w:space="0" w:color="221F1F"/>
                    <w:right w:val="nil"/>
                  </w:tcBorders>
                </w:tcPr>
                <w:p w14:paraId="499CAFA0" w14:textId="77777777" w:rsidR="00CF7124" w:rsidRDefault="001578E5">
                  <w:pPr>
                    <w:framePr w:wrap="around" w:vAnchor="text" w:hAnchor="margin" w:y="1961"/>
                    <w:spacing w:after="0" w:line="259" w:lineRule="auto"/>
                    <w:ind w:firstLine="0"/>
                    <w:suppressOverlap/>
                    <w:jc w:val="left"/>
                  </w:pPr>
                  <w:r>
                    <w:rPr>
                      <w:sz w:val="16"/>
                    </w:rPr>
                    <w:t>1.4</w:t>
                  </w:r>
                </w:p>
              </w:tc>
              <w:tc>
                <w:tcPr>
                  <w:tcW w:w="1458" w:type="dxa"/>
                  <w:tcBorders>
                    <w:top w:val="nil"/>
                    <w:left w:val="nil"/>
                    <w:bottom w:val="single" w:sz="4" w:space="0" w:color="221F1F"/>
                    <w:right w:val="nil"/>
                  </w:tcBorders>
                </w:tcPr>
                <w:p w14:paraId="1B0A69F7" w14:textId="77777777" w:rsidR="00CF7124" w:rsidRDefault="001578E5">
                  <w:pPr>
                    <w:framePr w:wrap="around" w:vAnchor="text" w:hAnchor="margin" w:y="1961"/>
                    <w:spacing w:after="0" w:line="259" w:lineRule="auto"/>
                    <w:ind w:left="81" w:firstLine="0"/>
                    <w:suppressOverlap/>
                    <w:jc w:val="left"/>
                  </w:pPr>
                  <w:r>
                    <w:rPr>
                      <w:sz w:val="16"/>
                    </w:rPr>
                    <w:t>3–4</w:t>
                  </w:r>
                </w:p>
              </w:tc>
              <w:tc>
                <w:tcPr>
                  <w:tcW w:w="1881" w:type="dxa"/>
                  <w:tcBorders>
                    <w:top w:val="nil"/>
                    <w:left w:val="nil"/>
                    <w:bottom w:val="single" w:sz="4" w:space="0" w:color="221F1F"/>
                    <w:right w:val="nil"/>
                  </w:tcBorders>
                </w:tcPr>
                <w:p w14:paraId="798FDE3A" w14:textId="77777777" w:rsidR="00CF7124" w:rsidRDefault="001578E5">
                  <w:pPr>
                    <w:framePr w:wrap="around" w:vAnchor="text" w:hAnchor="margin" w:y="1961"/>
                    <w:spacing w:after="0" w:line="259" w:lineRule="auto"/>
                    <w:ind w:firstLine="0"/>
                    <w:suppressOverlap/>
                    <w:jc w:val="left"/>
                  </w:pPr>
                  <w:r>
                    <w:rPr>
                      <w:sz w:val="16"/>
                    </w:rPr>
                    <w:t>0.20</w:t>
                  </w:r>
                </w:p>
              </w:tc>
              <w:tc>
                <w:tcPr>
                  <w:tcW w:w="709" w:type="dxa"/>
                  <w:tcBorders>
                    <w:top w:val="nil"/>
                    <w:left w:val="nil"/>
                    <w:bottom w:val="single" w:sz="4" w:space="0" w:color="221F1F"/>
                    <w:right w:val="nil"/>
                  </w:tcBorders>
                </w:tcPr>
                <w:p w14:paraId="1F4D4B70" w14:textId="77777777" w:rsidR="00CF7124" w:rsidRDefault="001578E5">
                  <w:pPr>
                    <w:framePr w:wrap="around" w:vAnchor="text" w:hAnchor="margin" w:y="1961"/>
                    <w:spacing w:after="0" w:line="259" w:lineRule="auto"/>
                    <w:ind w:firstLine="0"/>
                    <w:suppressOverlap/>
                    <w:jc w:val="left"/>
                  </w:pPr>
                  <w:r>
                    <w:rPr>
                      <w:rFonts w:ascii="Calibri" w:eastAsia="Calibri" w:hAnsi="Calibri" w:cs="Calibri"/>
                      <w:sz w:val="16"/>
                    </w:rPr>
                    <w:t>N</w:t>
                  </w:r>
                  <w:r>
                    <w:rPr>
                      <w:sz w:val="16"/>
                    </w:rPr>
                    <w:t>200</w:t>
                  </w:r>
                </w:p>
              </w:tc>
            </w:tr>
          </w:tbl>
          <w:p w14:paraId="6EC445FA" w14:textId="77777777" w:rsidR="00CF7124" w:rsidRDefault="00CF7124">
            <w:pPr>
              <w:spacing w:after="160" w:line="259" w:lineRule="auto"/>
              <w:ind w:firstLine="0"/>
              <w:jc w:val="left"/>
            </w:pPr>
          </w:p>
        </w:tc>
      </w:tr>
    </w:tbl>
    <w:p w14:paraId="545D1CD2" w14:textId="77777777" w:rsidR="00CF7124" w:rsidRDefault="001578E5">
      <w:pPr>
        <w:ind w:left="-15"/>
      </w:pPr>
      <w:r>
        <w:lastRenderedPageBreak/>
        <w:t>To conclude, the foregoing comparisons tentatively suggest that for short durations, equivalent to a limited number of generations (cohorts), the carbonate production of requieniid communities may have been significantly higher than those of modern lagoona</w:t>
      </w:r>
      <w:r>
        <w:t>l bivalves.</w:t>
      </w:r>
    </w:p>
    <w:p w14:paraId="132794E9" w14:textId="77777777" w:rsidR="00CF7124" w:rsidRDefault="001578E5">
      <w:pPr>
        <w:spacing w:after="234" w:line="254" w:lineRule="auto"/>
        <w:ind w:left="-5" w:hanging="10"/>
        <w:jc w:val="left"/>
      </w:pPr>
      <w:r>
        <w:t>6.3. Comparisons with modern coral reefs</w:t>
      </w:r>
    </w:p>
    <w:p w14:paraId="70886258" w14:textId="77777777" w:rsidR="00CF7124" w:rsidRDefault="001578E5">
      <w:pPr>
        <w:ind w:left="-15"/>
      </w:pPr>
      <w:r>
        <w:t>Rudists have been considered by some authors as the primary frame builders of the Cretaceous, and that, in doing so, they competed with and excluded hermatypic corals from reefal biotopes (</w:t>
      </w:r>
      <w:r>
        <w:rPr>
          <w:color w:val="2D3092"/>
        </w:rPr>
        <w:t>Kauffman and J</w:t>
      </w:r>
      <w:r>
        <w:rPr>
          <w:color w:val="2D3092"/>
        </w:rPr>
        <w:t>ohnson, 1988</w:t>
      </w:r>
      <w:r>
        <w:t xml:space="preserve">). Alternative models proposed by </w:t>
      </w:r>
      <w:r>
        <w:rPr>
          <w:color w:val="2D3092"/>
        </w:rPr>
        <w:t xml:space="preserve">Carannante et al. (1993) </w:t>
      </w:r>
      <w:r>
        <w:t xml:space="preserve">and </w:t>
      </w:r>
      <w:r>
        <w:rPr>
          <w:color w:val="2D3092"/>
        </w:rPr>
        <w:t xml:space="preserve">Gili et al. (1995) </w:t>
      </w:r>
      <w:r>
        <w:t xml:space="preserve">emphasize their constratal (instead of superstratal) mode of life in sedimentdominated substrates without production of significant skeletal frameworks. Whatever </w:t>
      </w:r>
      <w:r>
        <w:t>the foregoing hypothesis, rudists have been regarded important carbonate producers by many workers (see introductory chapter) and therefore compared, in this respect, with modern coral reefs (</w:t>
      </w:r>
      <w:proofErr w:type="gramStart"/>
      <w:r>
        <w:t>e.g.</w:t>
      </w:r>
      <w:proofErr w:type="gramEnd"/>
      <w:r>
        <w:t xml:space="preserve"> </w:t>
      </w:r>
      <w:r>
        <w:rPr>
          <w:color w:val="2D3092"/>
        </w:rPr>
        <w:t>Steuber, 2000</w:t>
      </w:r>
      <w:r>
        <w:t>).</w:t>
      </w:r>
    </w:p>
    <w:p w14:paraId="3B31B08C" w14:textId="77777777" w:rsidR="00CF7124" w:rsidRDefault="001578E5">
      <w:pPr>
        <w:ind w:left="-15"/>
      </w:pPr>
      <w:r>
        <w:t>Estimates for the net calcification rates referring to the metabolic activity of coral communities vary from 4 kg CaCO</w:t>
      </w:r>
      <w:r>
        <w:rPr>
          <w:vertAlign w:val="subscript"/>
        </w:rPr>
        <w:t xml:space="preserve">3 </w:t>
      </w:r>
      <w:r>
        <w:t>m</w:t>
      </w:r>
      <w:r>
        <w:rPr>
          <w:vertAlign w:val="superscript"/>
        </w:rPr>
        <w:t xml:space="preserve">2 </w:t>
      </w:r>
      <w:r>
        <w:t>a</w:t>
      </w:r>
      <w:r>
        <w:rPr>
          <w:vertAlign w:val="superscript"/>
        </w:rPr>
        <w:t xml:space="preserve">1 </w:t>
      </w:r>
      <w:r>
        <w:t>(</w:t>
      </w:r>
      <w:r>
        <w:rPr>
          <w:color w:val="2D3092"/>
        </w:rPr>
        <w:t>Kinsey, 1983</w:t>
      </w:r>
      <w:r>
        <w:t>) for reef flat areas, to 1.0–1.2 kg m</w:t>
      </w:r>
      <w:r>
        <w:rPr>
          <w:vertAlign w:val="superscript"/>
        </w:rPr>
        <w:t xml:space="preserve">2 </w:t>
      </w:r>
      <w:r>
        <w:t>a</w:t>
      </w:r>
      <w:r>
        <w:rPr>
          <w:vertAlign w:val="superscript"/>
        </w:rPr>
        <w:t xml:space="preserve">1 </w:t>
      </w:r>
      <w:r>
        <w:t>for reefs in general (</w:t>
      </w:r>
      <w:r>
        <w:rPr>
          <w:color w:val="2D3092"/>
        </w:rPr>
        <w:t>Smith, 1983</w:t>
      </w:r>
      <w:r>
        <w:t xml:space="preserve">). As pointed out by </w:t>
      </w:r>
      <w:r>
        <w:rPr>
          <w:color w:val="2D3092"/>
        </w:rPr>
        <w:t xml:space="preserve">Rees et al. (2005) </w:t>
      </w:r>
      <w:r>
        <w:t>extrapolating the above present-day values of coral reef production (based on the alkalinity method) to the late Holocene is subject to errors. The more accurate way to estimate CaCO</w:t>
      </w:r>
      <w:r>
        <w:rPr>
          <w:vertAlign w:val="subscript"/>
        </w:rPr>
        <w:t xml:space="preserve">3 </w:t>
      </w:r>
      <w:r>
        <w:t>production is to measure changes</w:t>
      </w:r>
      <w:r>
        <w:t xml:space="preserve"> in well-dated coral reef sequences. Average rates for Indian Ocean reef flats, for instance, are 2–3 m ka</w:t>
      </w:r>
      <w:r>
        <w:rPr>
          <w:vertAlign w:val="superscript"/>
        </w:rPr>
        <w:t xml:space="preserve">1 </w:t>
      </w:r>
      <w:r>
        <w:t>for the last 5 ka (</w:t>
      </w:r>
      <w:r>
        <w:rPr>
          <w:color w:val="2D3092"/>
        </w:rPr>
        <w:t>Opdyke and Walker, 1992; Rees et al., 2005</w:t>
      </w:r>
      <w:r>
        <w:t xml:space="preserve">). Using the nomograph of </w:t>
      </w:r>
      <w:r>
        <w:rPr>
          <w:color w:val="2D3092"/>
        </w:rPr>
        <w:t xml:space="preserve">Smith (1983) </w:t>
      </w:r>
      <w:r>
        <w:t>to relate vertical accretion to calcification ra</w:t>
      </w:r>
      <w:r>
        <w:t>tes, for various porosities, provides estimates in the range of 1.5 and 2 kg m</w:t>
      </w:r>
      <w:r>
        <w:rPr>
          <w:vertAlign w:val="superscript"/>
        </w:rPr>
        <w:t xml:space="preserve">2 </w:t>
      </w:r>
      <w:r>
        <w:t>a</w:t>
      </w:r>
      <w:r>
        <w:rPr>
          <w:vertAlign w:val="superscript"/>
        </w:rPr>
        <w:t>1</w:t>
      </w:r>
      <w:r>
        <w:t xml:space="preserve">. These values are 50– 65% less than the calcification rates of the living community. </w:t>
      </w:r>
      <w:proofErr w:type="gramStart"/>
      <w:r>
        <w:t>Actually</w:t>
      </w:r>
      <w:proofErr w:type="gramEnd"/>
      <w:r>
        <w:t xml:space="preserve"> the net production of coral communities represents about 30% of the gross produ</w:t>
      </w:r>
      <w:r>
        <w:t>ction, i.e. 70% of the bioprecipitated CaCO</w:t>
      </w:r>
      <w:r>
        <w:rPr>
          <w:vertAlign w:val="subscript"/>
        </w:rPr>
        <w:t xml:space="preserve">3 </w:t>
      </w:r>
      <w:r>
        <w:t>is removed from the production area (Montaggioni, personal communication). The foregoing values refer to the historical phase of coral-reef accretion coeval with or immediately post-dating sea-level stabilizatio</w:t>
      </w:r>
      <w:r>
        <w:t>n. Prior to this stabilization, from 18,000 to 6000 years B.P., sea-level rose at a mean rate of 10 m ka</w:t>
      </w:r>
      <w:r>
        <w:rPr>
          <w:vertAlign w:val="superscript"/>
        </w:rPr>
        <w:t xml:space="preserve">1 </w:t>
      </w:r>
      <w:r>
        <w:t>the corresponding carbonate production being 7–10 kg m</w:t>
      </w:r>
      <w:r>
        <w:rPr>
          <w:vertAlign w:val="superscript"/>
        </w:rPr>
        <w:t xml:space="preserve">2 </w:t>
      </w:r>
      <w:r>
        <w:t>a</w:t>
      </w:r>
      <w:r>
        <w:rPr>
          <w:vertAlign w:val="superscript"/>
        </w:rPr>
        <w:t xml:space="preserve">1 </w:t>
      </w:r>
      <w:r>
        <w:t>(</w:t>
      </w:r>
      <w:r>
        <w:rPr>
          <w:color w:val="2D3092"/>
        </w:rPr>
        <w:t>Masse and Montaggioni, 2000</w:t>
      </w:r>
      <w:r>
        <w:t>). The geological rate of 1.5–2 kg m</w:t>
      </w:r>
      <w:r>
        <w:rPr>
          <w:vertAlign w:val="superscript"/>
        </w:rPr>
        <w:t xml:space="preserve">2 </w:t>
      </w:r>
      <w:r>
        <w:t>a</w:t>
      </w:r>
      <w:r>
        <w:rPr>
          <w:vertAlign w:val="superscript"/>
        </w:rPr>
        <w:t xml:space="preserve">1 </w:t>
      </w:r>
      <w:r>
        <w:t>for the CaCO</w:t>
      </w:r>
      <w:r>
        <w:rPr>
          <w:vertAlign w:val="subscript"/>
        </w:rPr>
        <w:t xml:space="preserve">3 </w:t>
      </w:r>
      <w:r>
        <w:t>producti</w:t>
      </w:r>
      <w:r>
        <w:t>on of recent coral reefs (</w:t>
      </w:r>
      <w:proofErr w:type="gramStart"/>
      <w:r>
        <w:t>i.e.</w:t>
      </w:r>
      <w:proofErr w:type="gramEnd"/>
      <w:r>
        <w:t xml:space="preserve"> </w:t>
      </w:r>
      <w:r>
        <w:t>bioconstructed bodies younger than 5 ka) compared with the rates of requieniid communities (0.02 kg m</w:t>
      </w:r>
      <w:r>
        <w:rPr>
          <w:vertAlign w:val="superscript"/>
        </w:rPr>
        <w:t xml:space="preserve">2 </w:t>
      </w:r>
      <w:r>
        <w:t>a</w:t>
      </w:r>
      <w:r>
        <w:rPr>
          <w:vertAlign w:val="superscript"/>
        </w:rPr>
        <w:t xml:space="preserve">1 </w:t>
      </w:r>
      <w:r>
        <w:t>to 0.09 kg m</w:t>
      </w:r>
      <w:r>
        <w:rPr>
          <w:vertAlign w:val="superscript"/>
        </w:rPr>
        <w:t xml:space="preserve">2 </w:t>
      </w:r>
      <w:r>
        <w:t>a</w:t>
      </w:r>
      <w:r>
        <w:rPr>
          <w:vertAlign w:val="superscript"/>
        </w:rPr>
        <w:t>1</w:t>
      </w:r>
      <w:r>
        <w:t>) show that the contrasting ecological, morphological and sedimentological behavior of rudist communiti</w:t>
      </w:r>
      <w:r>
        <w:t xml:space="preserve">es compared to the reef coral ones, underlined by </w:t>
      </w:r>
      <w:r>
        <w:rPr>
          <w:color w:val="2D3092"/>
        </w:rPr>
        <w:t xml:space="preserve">Carannante et al. (1993) </w:t>
      </w:r>
      <w:r>
        <w:t xml:space="preserve">and </w:t>
      </w:r>
      <w:r>
        <w:rPr>
          <w:color w:val="2D3092"/>
        </w:rPr>
        <w:t xml:space="preserve">Gili et al. (1995) </w:t>
      </w:r>
      <w:r>
        <w:t>is also obvious in terms of CaCO</w:t>
      </w:r>
      <w:r>
        <w:rPr>
          <w:vertAlign w:val="subscript"/>
        </w:rPr>
        <w:t xml:space="preserve">3 </w:t>
      </w:r>
      <w:r>
        <w:t>production.</w:t>
      </w:r>
    </w:p>
    <w:p w14:paraId="7C4EB7F5" w14:textId="77777777" w:rsidR="00CF7124" w:rsidRDefault="001578E5">
      <w:pPr>
        <w:spacing w:after="234" w:line="253" w:lineRule="auto"/>
        <w:ind w:left="-5" w:hanging="10"/>
        <w:jc w:val="left"/>
      </w:pPr>
      <w:r>
        <w:t>7. Discussion</w:t>
      </w:r>
    </w:p>
    <w:p w14:paraId="72F42EAF" w14:textId="77777777" w:rsidR="00CF7124" w:rsidRDefault="001578E5">
      <w:pPr>
        <w:ind w:left="-15"/>
      </w:pPr>
      <w:r>
        <w:t>At a regional scale the stratigraphic contribution of rudist beds, per section, is relatively high</w:t>
      </w:r>
      <w:r>
        <w:t xml:space="preserve"> (22% to 71%) </w:t>
      </w:r>
      <w:proofErr w:type="gramStart"/>
      <w:r>
        <w:t>and also</w:t>
      </w:r>
      <w:proofErr w:type="gramEnd"/>
      <w:r>
        <w:t xml:space="preserve"> relatively important for regional stratigraphic units (32% to 59%). Among rudist beds, community 2 has the highest regional record (50%), and community 1 the lowest (7%). The relative score of communities observed in vertical section</w:t>
      </w:r>
      <w:r>
        <w:t>s is also observed in regional stratigraphic units. The skeletal contribution of rudists to the sediment varies in correspondence with community types, from 19.2% to 31.5%. For a given vertical section the skeletal content fluctuates from 8.9% to 18.7% and</w:t>
      </w:r>
      <w:r>
        <w:t xml:space="preserve"> possesses a linear relationship with the stratigraphic contribution of rudist beds. In strata with a significant lateral continuity (more than several kilometers) the horizontal distribution of rudist rich beds is periodical, with a wavelength depending o</w:t>
      </w:r>
      <w:r>
        <w:t>n community types (</w:t>
      </w:r>
      <w:r>
        <w:rPr>
          <w:color w:val="2D3092"/>
        </w:rPr>
        <w:t>Fenerci-Masse et al., 2005</w:t>
      </w:r>
      <w:r>
        <w:t>). Modules, including laterally adjacent rudist rich and rudist free strata, have specific proportions of rudist rich and rudist free material, also in correspondence with community types. The skeletal content p</w:t>
      </w:r>
      <w:r>
        <w:t>er module fluctuates from 10.8%, corresponding to community 1, to 15.1% in the case of community 3.</w:t>
      </w:r>
    </w:p>
    <w:p w14:paraId="1CAFD302" w14:textId="77777777" w:rsidR="00CF7124" w:rsidRDefault="001578E5">
      <w:pPr>
        <w:ind w:left="-15"/>
      </w:pPr>
      <w:r>
        <w:t>The foregoing estimates show that the highest skeletal content, 31.5%, is expected to be found when the entire stratigraphic system is built by community 2,</w:t>
      </w:r>
      <w:r>
        <w:t xml:space="preserve"> the lowest, 19.2%, when community 4 is exclusive. </w:t>
      </w:r>
      <w:proofErr w:type="gramStart"/>
      <w:r>
        <w:t>Actually</w:t>
      </w:r>
      <w:proofErr w:type="gramEnd"/>
      <w:r>
        <w:t xml:space="preserve"> both vertical and horizontal stratigraphic entities consist of rudist rich and rudist free facies. The encountered values are therefore lower than the above theoretically expected ones.</w:t>
      </w:r>
    </w:p>
    <w:p w14:paraId="203EA8B4" w14:textId="77777777" w:rsidR="00CF7124" w:rsidRDefault="001578E5">
      <w:pPr>
        <w:ind w:left="-15"/>
      </w:pPr>
      <w:r>
        <w:t>The forego</w:t>
      </w:r>
      <w:r>
        <w:t xml:space="preserve">ing findings document some contrasting, even unexpected, results on the relationships between physiognomic, mainly </w:t>
      </w:r>
      <w:proofErr w:type="gramStart"/>
      <w:r>
        <w:t>qualitative</w:t>
      </w:r>
      <w:proofErr w:type="gramEnd"/>
      <w:r>
        <w:t xml:space="preserve"> and visual, and quantitative aspects, regarding the role of rudists in the Barremian platform carbonates of Provence. The relativ</w:t>
      </w:r>
      <w:r>
        <w:t xml:space="preserve">ely high stratigraphic contribution of rudist (43.1% at a regional scale) corresponds with a relatively modest skeletal contribution (12.8–13.2%). This difference is not only due to the discontinuous stratal distribution of </w:t>
      </w:r>
      <w:r>
        <w:lastRenderedPageBreak/>
        <w:t>rudist beds (both vertical and h</w:t>
      </w:r>
      <w:r>
        <w:t>orizontal) or to the lack of integration of skeletal elements found in rudist-free beds, but essentially to the internal architecture of rudist beds themselves and the composition of their associated sedimentary matrix.</w:t>
      </w:r>
    </w:p>
    <w:tbl>
      <w:tblPr>
        <w:tblStyle w:val="TableGrid"/>
        <w:tblpPr w:vertAnchor="text" w:horzAnchor="margin" w:tblpY="1137"/>
        <w:tblOverlap w:val="never"/>
        <w:tblW w:w="9325" w:type="dxa"/>
        <w:tblInd w:w="0" w:type="dxa"/>
        <w:tblCellMar>
          <w:top w:w="0" w:type="dxa"/>
          <w:left w:w="0" w:type="dxa"/>
          <w:bottom w:w="0" w:type="dxa"/>
          <w:right w:w="0" w:type="dxa"/>
        </w:tblCellMar>
        <w:tblLook w:val="04A0" w:firstRow="1" w:lastRow="0" w:firstColumn="1" w:lastColumn="0" w:noHBand="0" w:noVBand="1"/>
      </w:tblPr>
      <w:tblGrid>
        <w:gridCol w:w="9325"/>
      </w:tblGrid>
      <w:tr w:rsidR="00CF7124" w14:paraId="0ED3E545" w14:textId="77777777">
        <w:trPr>
          <w:trHeight w:val="344"/>
        </w:trPr>
        <w:tc>
          <w:tcPr>
            <w:tcW w:w="6282" w:type="dxa"/>
            <w:tcBorders>
              <w:top w:val="nil"/>
              <w:left w:val="nil"/>
              <w:bottom w:val="nil"/>
              <w:right w:val="nil"/>
            </w:tcBorders>
          </w:tcPr>
          <w:p w14:paraId="1EDAC4FA" w14:textId="77777777" w:rsidR="00CF7124" w:rsidRDefault="001578E5">
            <w:pPr>
              <w:spacing w:after="0" w:line="259" w:lineRule="auto"/>
              <w:ind w:firstLine="0"/>
              <w:jc w:val="left"/>
            </w:pPr>
            <w:r>
              <w:rPr>
                <w:sz w:val="16"/>
              </w:rPr>
              <w:t>Table 10</w:t>
            </w:r>
          </w:p>
          <w:p w14:paraId="49C37E84" w14:textId="77777777" w:rsidR="00CF7124" w:rsidRDefault="001578E5">
            <w:pPr>
              <w:spacing w:after="0" w:line="259" w:lineRule="auto"/>
              <w:ind w:firstLine="0"/>
            </w:pPr>
            <w:r>
              <w:rPr>
                <w:sz w:val="16"/>
              </w:rPr>
              <w:t>Framework and sedimentogene</w:t>
            </w:r>
            <w:r>
              <w:rPr>
                <w:sz w:val="16"/>
              </w:rPr>
              <w:t>tic potential of Barremian rudist communities (see text for details)</w:t>
            </w:r>
          </w:p>
          <w:tbl>
            <w:tblPr>
              <w:tblStyle w:val="TableGrid"/>
              <w:tblW w:w="9325" w:type="dxa"/>
              <w:tblInd w:w="0" w:type="dxa"/>
              <w:tblCellMar>
                <w:top w:w="27" w:type="dxa"/>
                <w:left w:w="0" w:type="dxa"/>
                <w:bottom w:w="0" w:type="dxa"/>
                <w:right w:w="0" w:type="dxa"/>
              </w:tblCellMar>
              <w:tblLook w:val="04A0" w:firstRow="1" w:lastRow="0" w:firstColumn="1" w:lastColumn="0" w:noHBand="0" w:noVBand="1"/>
            </w:tblPr>
            <w:tblGrid>
              <w:gridCol w:w="1529"/>
              <w:gridCol w:w="2515"/>
              <w:gridCol w:w="1279"/>
              <w:gridCol w:w="1246"/>
              <w:gridCol w:w="1699"/>
              <w:gridCol w:w="1057"/>
            </w:tblGrid>
            <w:tr w:rsidR="00CF7124" w14:paraId="1B0AB45E" w14:textId="77777777">
              <w:trPr>
                <w:trHeight w:val="468"/>
              </w:trPr>
              <w:tc>
                <w:tcPr>
                  <w:tcW w:w="1530" w:type="dxa"/>
                  <w:tcBorders>
                    <w:top w:val="single" w:sz="4" w:space="0" w:color="221F1F"/>
                    <w:left w:val="nil"/>
                    <w:bottom w:val="single" w:sz="4" w:space="0" w:color="221F1F"/>
                    <w:right w:val="nil"/>
                  </w:tcBorders>
                </w:tcPr>
                <w:p w14:paraId="6BD963AB" w14:textId="77777777" w:rsidR="00CF7124" w:rsidRDefault="00CF7124">
                  <w:pPr>
                    <w:framePr w:wrap="around" w:vAnchor="text" w:hAnchor="margin" w:y="1137"/>
                    <w:spacing w:after="160" w:line="259" w:lineRule="auto"/>
                    <w:ind w:firstLine="0"/>
                    <w:suppressOverlap/>
                    <w:jc w:val="left"/>
                  </w:pPr>
                </w:p>
              </w:tc>
              <w:tc>
                <w:tcPr>
                  <w:tcW w:w="2515" w:type="dxa"/>
                  <w:tcBorders>
                    <w:top w:val="single" w:sz="4" w:space="0" w:color="221F1F"/>
                    <w:left w:val="nil"/>
                    <w:bottom w:val="single" w:sz="4" w:space="0" w:color="221F1F"/>
                    <w:right w:val="nil"/>
                  </w:tcBorders>
                </w:tcPr>
                <w:p w14:paraId="0DD18F89" w14:textId="77777777" w:rsidR="00CF7124" w:rsidRDefault="001578E5">
                  <w:pPr>
                    <w:framePr w:wrap="around" w:vAnchor="text" w:hAnchor="margin" w:y="1137"/>
                    <w:spacing w:after="15" w:line="259" w:lineRule="auto"/>
                    <w:ind w:firstLine="0"/>
                    <w:suppressOverlap/>
                    <w:jc w:val="left"/>
                  </w:pPr>
                  <w:r>
                    <w:rPr>
                      <w:sz w:val="16"/>
                    </w:rPr>
                    <w:t>Packing density</w:t>
                  </w:r>
                </w:p>
                <w:p w14:paraId="3B7C2A59" w14:textId="77777777" w:rsidR="00CF7124" w:rsidRDefault="001578E5">
                  <w:pPr>
                    <w:framePr w:wrap="around" w:vAnchor="text" w:hAnchor="margin" w:y="1137"/>
                    <w:spacing w:after="0" w:line="259" w:lineRule="auto"/>
                    <w:ind w:firstLine="0"/>
                    <w:suppressOverlap/>
                    <w:jc w:val="left"/>
                  </w:pPr>
                  <w:r>
                    <w:rPr>
                      <w:sz w:val="16"/>
                    </w:rPr>
                    <w:t>(number individual 100 cm</w:t>
                  </w:r>
                  <w:r>
                    <w:rPr>
                      <w:sz w:val="16"/>
                      <w:vertAlign w:val="superscript"/>
                    </w:rPr>
                    <w:t>2</w:t>
                  </w:r>
                  <w:r>
                    <w:rPr>
                      <w:sz w:val="16"/>
                    </w:rPr>
                    <w:t>)</w:t>
                  </w:r>
                </w:p>
              </w:tc>
              <w:tc>
                <w:tcPr>
                  <w:tcW w:w="1279" w:type="dxa"/>
                  <w:tcBorders>
                    <w:top w:val="single" w:sz="4" w:space="0" w:color="221F1F"/>
                    <w:left w:val="nil"/>
                    <w:bottom w:val="single" w:sz="4" w:space="0" w:color="221F1F"/>
                    <w:right w:val="nil"/>
                  </w:tcBorders>
                </w:tcPr>
                <w:p w14:paraId="25717F49" w14:textId="77777777" w:rsidR="00CF7124" w:rsidRDefault="001578E5">
                  <w:pPr>
                    <w:framePr w:wrap="around" w:vAnchor="text" w:hAnchor="margin" w:y="1137"/>
                    <w:spacing w:after="0" w:line="259" w:lineRule="auto"/>
                    <w:ind w:right="418" w:firstLine="0"/>
                    <w:suppressOverlap/>
                    <w:jc w:val="left"/>
                  </w:pPr>
                  <w:r>
                    <w:rPr>
                      <w:sz w:val="16"/>
                    </w:rPr>
                    <w:t>Packing index (%)</w:t>
                  </w:r>
                </w:p>
              </w:tc>
              <w:tc>
                <w:tcPr>
                  <w:tcW w:w="1246" w:type="dxa"/>
                  <w:tcBorders>
                    <w:top w:val="single" w:sz="4" w:space="0" w:color="221F1F"/>
                    <w:left w:val="nil"/>
                    <w:bottom w:val="single" w:sz="4" w:space="0" w:color="221F1F"/>
                    <w:right w:val="nil"/>
                  </w:tcBorders>
                </w:tcPr>
                <w:p w14:paraId="0E2CDD07" w14:textId="77777777" w:rsidR="00CF7124" w:rsidRDefault="001578E5">
                  <w:pPr>
                    <w:framePr w:wrap="around" w:vAnchor="text" w:hAnchor="margin" w:y="1137"/>
                    <w:spacing w:after="0" w:line="259" w:lineRule="auto"/>
                    <w:ind w:firstLine="0"/>
                    <w:suppressOverlap/>
                    <w:jc w:val="left"/>
                  </w:pPr>
                  <w:r>
                    <w:rPr>
                      <w:sz w:val="16"/>
                    </w:rPr>
                    <w:t>Coverage</w:t>
                  </w:r>
                </w:p>
                <w:p w14:paraId="6A281049" w14:textId="77777777" w:rsidR="00CF7124" w:rsidRDefault="001578E5">
                  <w:pPr>
                    <w:framePr w:wrap="around" w:vAnchor="text" w:hAnchor="margin" w:y="1137"/>
                    <w:spacing w:after="0" w:line="259" w:lineRule="auto"/>
                    <w:ind w:firstLine="0"/>
                    <w:suppressOverlap/>
                    <w:jc w:val="left"/>
                  </w:pPr>
                  <w:r>
                    <w:rPr>
                      <w:sz w:val="16"/>
                    </w:rPr>
                    <w:t>(%)</w:t>
                  </w:r>
                </w:p>
              </w:tc>
              <w:tc>
                <w:tcPr>
                  <w:tcW w:w="1699" w:type="dxa"/>
                  <w:tcBorders>
                    <w:top w:val="single" w:sz="4" w:space="0" w:color="221F1F"/>
                    <w:left w:val="nil"/>
                    <w:bottom w:val="single" w:sz="4" w:space="0" w:color="221F1F"/>
                    <w:right w:val="nil"/>
                  </w:tcBorders>
                </w:tcPr>
                <w:p w14:paraId="1E05A9F2" w14:textId="77777777" w:rsidR="00CF7124" w:rsidRDefault="001578E5">
                  <w:pPr>
                    <w:framePr w:wrap="around" w:vAnchor="text" w:hAnchor="margin" w:y="1137"/>
                    <w:spacing w:after="0" w:line="259" w:lineRule="auto"/>
                    <w:ind w:right="38" w:firstLine="0"/>
                    <w:suppressOverlap/>
                    <w:jc w:val="left"/>
                  </w:pPr>
                  <w:r>
                    <w:rPr>
                      <w:sz w:val="16"/>
                    </w:rPr>
                    <w:t>Macroskeletal contribution (%)</w:t>
                  </w:r>
                </w:p>
              </w:tc>
              <w:tc>
                <w:tcPr>
                  <w:tcW w:w="1057" w:type="dxa"/>
                  <w:tcBorders>
                    <w:top w:val="single" w:sz="4" w:space="0" w:color="221F1F"/>
                    <w:left w:val="nil"/>
                    <w:bottom w:val="single" w:sz="4" w:space="0" w:color="221F1F"/>
                    <w:right w:val="nil"/>
                  </w:tcBorders>
                </w:tcPr>
                <w:p w14:paraId="5A557231" w14:textId="77777777" w:rsidR="00CF7124" w:rsidRDefault="001578E5">
                  <w:pPr>
                    <w:framePr w:wrap="around" w:vAnchor="text" w:hAnchor="margin" w:y="1137"/>
                    <w:spacing w:after="0" w:line="259" w:lineRule="auto"/>
                    <w:ind w:firstLine="0"/>
                    <w:suppressOverlap/>
                    <w:jc w:val="left"/>
                  </w:pPr>
                  <w:r>
                    <w:rPr>
                      <w:sz w:val="16"/>
                    </w:rPr>
                    <w:t>Microskeletal contribution (%)</w:t>
                  </w:r>
                </w:p>
              </w:tc>
            </w:tr>
            <w:tr w:rsidR="00CF7124" w14:paraId="300B768F" w14:textId="77777777">
              <w:trPr>
                <w:trHeight w:val="266"/>
              </w:trPr>
              <w:tc>
                <w:tcPr>
                  <w:tcW w:w="1530" w:type="dxa"/>
                  <w:tcBorders>
                    <w:top w:val="single" w:sz="4" w:space="0" w:color="221F1F"/>
                    <w:left w:val="nil"/>
                    <w:bottom w:val="nil"/>
                    <w:right w:val="nil"/>
                  </w:tcBorders>
                </w:tcPr>
                <w:p w14:paraId="04B64994" w14:textId="77777777" w:rsidR="00CF7124" w:rsidRDefault="001578E5">
                  <w:pPr>
                    <w:framePr w:wrap="around" w:vAnchor="text" w:hAnchor="margin" w:y="1137"/>
                    <w:spacing w:after="0" w:line="259" w:lineRule="auto"/>
                    <w:ind w:firstLine="0"/>
                    <w:suppressOverlap/>
                    <w:jc w:val="left"/>
                  </w:pPr>
                  <w:r>
                    <w:rPr>
                      <w:sz w:val="16"/>
                    </w:rPr>
                    <w:t>Community 1</w:t>
                  </w:r>
                </w:p>
              </w:tc>
              <w:tc>
                <w:tcPr>
                  <w:tcW w:w="2515" w:type="dxa"/>
                  <w:tcBorders>
                    <w:top w:val="single" w:sz="4" w:space="0" w:color="221F1F"/>
                    <w:left w:val="nil"/>
                    <w:bottom w:val="nil"/>
                    <w:right w:val="nil"/>
                  </w:tcBorders>
                </w:tcPr>
                <w:p w14:paraId="6031548F" w14:textId="77777777" w:rsidR="00CF7124" w:rsidRDefault="001578E5">
                  <w:pPr>
                    <w:framePr w:wrap="around" w:vAnchor="text" w:hAnchor="margin" w:y="1137"/>
                    <w:spacing w:after="0" w:line="259" w:lineRule="auto"/>
                    <w:ind w:firstLine="0"/>
                    <w:suppressOverlap/>
                    <w:jc w:val="left"/>
                  </w:pPr>
                  <w:r>
                    <w:rPr>
                      <w:sz w:val="16"/>
                    </w:rPr>
                    <w:t>12</w:t>
                  </w:r>
                </w:p>
              </w:tc>
              <w:tc>
                <w:tcPr>
                  <w:tcW w:w="1279" w:type="dxa"/>
                  <w:tcBorders>
                    <w:top w:val="single" w:sz="4" w:space="0" w:color="221F1F"/>
                    <w:left w:val="nil"/>
                    <w:bottom w:val="nil"/>
                    <w:right w:val="nil"/>
                  </w:tcBorders>
                </w:tcPr>
                <w:p w14:paraId="5F85C8B7" w14:textId="77777777" w:rsidR="00CF7124" w:rsidRDefault="001578E5">
                  <w:pPr>
                    <w:framePr w:wrap="around" w:vAnchor="text" w:hAnchor="margin" w:y="1137"/>
                    <w:spacing w:after="0" w:line="259" w:lineRule="auto"/>
                    <w:ind w:left="79" w:firstLine="0"/>
                    <w:suppressOverlap/>
                    <w:jc w:val="left"/>
                  </w:pPr>
                  <w:r>
                    <w:rPr>
                      <w:sz w:val="16"/>
                    </w:rPr>
                    <w:t>7</w:t>
                  </w:r>
                </w:p>
              </w:tc>
              <w:tc>
                <w:tcPr>
                  <w:tcW w:w="1246" w:type="dxa"/>
                  <w:tcBorders>
                    <w:top w:val="single" w:sz="4" w:space="0" w:color="221F1F"/>
                    <w:left w:val="nil"/>
                    <w:bottom w:val="nil"/>
                    <w:right w:val="nil"/>
                  </w:tcBorders>
                </w:tcPr>
                <w:p w14:paraId="2A71FB5C" w14:textId="77777777" w:rsidR="00CF7124" w:rsidRDefault="001578E5">
                  <w:pPr>
                    <w:framePr w:wrap="around" w:vAnchor="text" w:hAnchor="margin" w:y="1137"/>
                    <w:spacing w:after="0" w:line="259" w:lineRule="auto"/>
                    <w:ind w:firstLine="0"/>
                    <w:suppressOverlap/>
                    <w:jc w:val="left"/>
                  </w:pPr>
                  <w:r>
                    <w:rPr>
                      <w:sz w:val="16"/>
                    </w:rPr>
                    <w:t>17</w:t>
                  </w:r>
                </w:p>
              </w:tc>
              <w:tc>
                <w:tcPr>
                  <w:tcW w:w="1699" w:type="dxa"/>
                  <w:tcBorders>
                    <w:top w:val="single" w:sz="4" w:space="0" w:color="221F1F"/>
                    <w:left w:val="nil"/>
                    <w:bottom w:val="nil"/>
                    <w:right w:val="nil"/>
                  </w:tcBorders>
                </w:tcPr>
                <w:p w14:paraId="71C4BAF5" w14:textId="77777777" w:rsidR="00CF7124" w:rsidRDefault="001578E5">
                  <w:pPr>
                    <w:framePr w:wrap="around" w:vAnchor="text" w:hAnchor="margin" w:y="1137"/>
                    <w:spacing w:after="0" w:line="259" w:lineRule="auto"/>
                    <w:ind w:left="6" w:firstLine="0"/>
                    <w:suppressOverlap/>
                    <w:jc w:val="left"/>
                  </w:pPr>
                  <w:r>
                    <w:rPr>
                      <w:sz w:val="16"/>
                    </w:rPr>
                    <w:t>11.2</w:t>
                  </w:r>
                </w:p>
              </w:tc>
              <w:tc>
                <w:tcPr>
                  <w:tcW w:w="1057" w:type="dxa"/>
                  <w:tcBorders>
                    <w:top w:val="single" w:sz="4" w:space="0" w:color="221F1F"/>
                    <w:left w:val="nil"/>
                    <w:bottom w:val="nil"/>
                    <w:right w:val="nil"/>
                  </w:tcBorders>
                </w:tcPr>
                <w:p w14:paraId="23452E3C" w14:textId="77777777" w:rsidR="00CF7124" w:rsidRDefault="001578E5">
                  <w:pPr>
                    <w:framePr w:wrap="around" w:vAnchor="text" w:hAnchor="margin" w:y="1137"/>
                    <w:spacing w:after="0" w:line="259" w:lineRule="auto"/>
                    <w:ind w:firstLine="0"/>
                    <w:suppressOverlap/>
                    <w:jc w:val="left"/>
                  </w:pPr>
                  <w:r>
                    <w:rPr>
                      <w:sz w:val="16"/>
                    </w:rPr>
                    <w:t>15.1</w:t>
                  </w:r>
                </w:p>
              </w:tc>
            </w:tr>
            <w:tr w:rsidR="00CF7124" w14:paraId="793C0C75" w14:textId="77777777">
              <w:trPr>
                <w:trHeight w:val="200"/>
              </w:trPr>
              <w:tc>
                <w:tcPr>
                  <w:tcW w:w="1530" w:type="dxa"/>
                  <w:tcBorders>
                    <w:top w:val="nil"/>
                    <w:left w:val="nil"/>
                    <w:bottom w:val="nil"/>
                    <w:right w:val="nil"/>
                  </w:tcBorders>
                </w:tcPr>
                <w:p w14:paraId="42D01FB8" w14:textId="77777777" w:rsidR="00CF7124" w:rsidRDefault="001578E5">
                  <w:pPr>
                    <w:framePr w:wrap="around" w:vAnchor="text" w:hAnchor="margin" w:y="1137"/>
                    <w:spacing w:after="0" w:line="259" w:lineRule="auto"/>
                    <w:ind w:firstLine="0"/>
                    <w:suppressOverlap/>
                    <w:jc w:val="left"/>
                  </w:pPr>
                  <w:r>
                    <w:rPr>
                      <w:sz w:val="16"/>
                    </w:rPr>
                    <w:t>Community 2</w:t>
                  </w:r>
                </w:p>
              </w:tc>
              <w:tc>
                <w:tcPr>
                  <w:tcW w:w="2515" w:type="dxa"/>
                  <w:tcBorders>
                    <w:top w:val="nil"/>
                    <w:left w:val="nil"/>
                    <w:bottom w:val="nil"/>
                    <w:right w:val="nil"/>
                  </w:tcBorders>
                </w:tcPr>
                <w:p w14:paraId="455DB288" w14:textId="77777777" w:rsidR="00CF7124" w:rsidRDefault="001578E5">
                  <w:pPr>
                    <w:framePr w:wrap="around" w:vAnchor="text" w:hAnchor="margin" w:y="1137"/>
                    <w:spacing w:after="0" w:line="259" w:lineRule="auto"/>
                    <w:ind w:firstLine="0"/>
                    <w:suppressOverlap/>
                    <w:jc w:val="left"/>
                  </w:pPr>
                  <w:r>
                    <w:rPr>
                      <w:sz w:val="16"/>
                    </w:rPr>
                    <w:t>14</w:t>
                  </w:r>
                </w:p>
              </w:tc>
              <w:tc>
                <w:tcPr>
                  <w:tcW w:w="1279" w:type="dxa"/>
                  <w:tcBorders>
                    <w:top w:val="nil"/>
                    <w:left w:val="nil"/>
                    <w:bottom w:val="nil"/>
                    <w:right w:val="nil"/>
                  </w:tcBorders>
                </w:tcPr>
                <w:p w14:paraId="3696D955" w14:textId="77777777" w:rsidR="00CF7124" w:rsidRDefault="001578E5">
                  <w:pPr>
                    <w:framePr w:wrap="around" w:vAnchor="text" w:hAnchor="margin" w:y="1137"/>
                    <w:spacing w:after="0" w:line="259" w:lineRule="auto"/>
                    <w:ind w:firstLine="0"/>
                    <w:suppressOverlap/>
                    <w:jc w:val="left"/>
                  </w:pPr>
                  <w:r>
                    <w:rPr>
                      <w:sz w:val="16"/>
                    </w:rPr>
                    <w:t>17</w:t>
                  </w:r>
                </w:p>
              </w:tc>
              <w:tc>
                <w:tcPr>
                  <w:tcW w:w="1246" w:type="dxa"/>
                  <w:tcBorders>
                    <w:top w:val="nil"/>
                    <w:left w:val="nil"/>
                    <w:bottom w:val="nil"/>
                    <w:right w:val="nil"/>
                  </w:tcBorders>
                </w:tcPr>
                <w:p w14:paraId="541C681F" w14:textId="77777777" w:rsidR="00CF7124" w:rsidRDefault="001578E5">
                  <w:pPr>
                    <w:framePr w:wrap="around" w:vAnchor="text" w:hAnchor="margin" w:y="1137"/>
                    <w:spacing w:after="0" w:line="259" w:lineRule="auto"/>
                    <w:ind w:firstLine="0"/>
                    <w:suppressOverlap/>
                    <w:jc w:val="left"/>
                  </w:pPr>
                  <w:r>
                    <w:rPr>
                      <w:sz w:val="16"/>
                    </w:rPr>
                    <w:t>23</w:t>
                  </w:r>
                </w:p>
              </w:tc>
              <w:tc>
                <w:tcPr>
                  <w:tcW w:w="1699" w:type="dxa"/>
                  <w:tcBorders>
                    <w:top w:val="nil"/>
                    <w:left w:val="nil"/>
                    <w:bottom w:val="nil"/>
                    <w:right w:val="nil"/>
                  </w:tcBorders>
                </w:tcPr>
                <w:p w14:paraId="60D349B9" w14:textId="77777777" w:rsidR="00CF7124" w:rsidRDefault="001578E5">
                  <w:pPr>
                    <w:framePr w:wrap="around" w:vAnchor="text" w:hAnchor="margin" w:y="1137"/>
                    <w:spacing w:after="0" w:line="259" w:lineRule="auto"/>
                    <w:ind w:firstLine="0"/>
                    <w:suppressOverlap/>
                    <w:jc w:val="left"/>
                  </w:pPr>
                  <w:r>
                    <w:rPr>
                      <w:sz w:val="16"/>
                    </w:rPr>
                    <w:t>18.3</w:t>
                  </w:r>
                </w:p>
              </w:tc>
              <w:tc>
                <w:tcPr>
                  <w:tcW w:w="1057" w:type="dxa"/>
                  <w:tcBorders>
                    <w:top w:val="nil"/>
                    <w:left w:val="nil"/>
                    <w:bottom w:val="nil"/>
                    <w:right w:val="nil"/>
                  </w:tcBorders>
                </w:tcPr>
                <w:p w14:paraId="24C01D98" w14:textId="77777777" w:rsidR="00CF7124" w:rsidRDefault="001578E5">
                  <w:pPr>
                    <w:framePr w:wrap="around" w:vAnchor="text" w:hAnchor="margin" w:y="1137"/>
                    <w:spacing w:after="0" w:line="259" w:lineRule="auto"/>
                    <w:ind w:firstLine="0"/>
                    <w:suppressOverlap/>
                    <w:jc w:val="left"/>
                  </w:pPr>
                  <w:r>
                    <w:rPr>
                      <w:sz w:val="16"/>
                    </w:rPr>
                    <w:t>16.1</w:t>
                  </w:r>
                </w:p>
              </w:tc>
            </w:tr>
            <w:tr w:rsidR="00CF7124" w14:paraId="376FBE5D" w14:textId="77777777">
              <w:trPr>
                <w:trHeight w:val="199"/>
              </w:trPr>
              <w:tc>
                <w:tcPr>
                  <w:tcW w:w="1530" w:type="dxa"/>
                  <w:tcBorders>
                    <w:top w:val="nil"/>
                    <w:left w:val="nil"/>
                    <w:bottom w:val="nil"/>
                    <w:right w:val="nil"/>
                  </w:tcBorders>
                </w:tcPr>
                <w:p w14:paraId="0FB6E635" w14:textId="77777777" w:rsidR="00CF7124" w:rsidRDefault="001578E5">
                  <w:pPr>
                    <w:framePr w:wrap="around" w:vAnchor="text" w:hAnchor="margin" w:y="1137"/>
                    <w:spacing w:after="0" w:line="259" w:lineRule="auto"/>
                    <w:ind w:firstLine="0"/>
                    <w:suppressOverlap/>
                    <w:jc w:val="left"/>
                  </w:pPr>
                  <w:r>
                    <w:rPr>
                      <w:sz w:val="16"/>
                    </w:rPr>
                    <w:t>Community 3</w:t>
                  </w:r>
                </w:p>
              </w:tc>
              <w:tc>
                <w:tcPr>
                  <w:tcW w:w="2515" w:type="dxa"/>
                  <w:tcBorders>
                    <w:top w:val="nil"/>
                    <w:left w:val="nil"/>
                    <w:bottom w:val="nil"/>
                    <w:right w:val="nil"/>
                  </w:tcBorders>
                </w:tcPr>
                <w:p w14:paraId="76AA42E9" w14:textId="77777777" w:rsidR="00CF7124" w:rsidRDefault="001578E5">
                  <w:pPr>
                    <w:framePr w:wrap="around" w:vAnchor="text" w:hAnchor="margin" w:y="1137"/>
                    <w:spacing w:after="0" w:line="259" w:lineRule="auto"/>
                    <w:ind w:left="79" w:firstLine="0"/>
                    <w:suppressOverlap/>
                    <w:jc w:val="left"/>
                  </w:pPr>
                  <w:r>
                    <w:rPr>
                      <w:sz w:val="16"/>
                    </w:rPr>
                    <w:t>3</w:t>
                  </w:r>
                </w:p>
              </w:tc>
              <w:tc>
                <w:tcPr>
                  <w:tcW w:w="1279" w:type="dxa"/>
                  <w:tcBorders>
                    <w:top w:val="nil"/>
                    <w:left w:val="nil"/>
                    <w:bottom w:val="nil"/>
                    <w:right w:val="nil"/>
                  </w:tcBorders>
                </w:tcPr>
                <w:p w14:paraId="7CD5E5AB" w14:textId="77777777" w:rsidR="00CF7124" w:rsidRDefault="001578E5">
                  <w:pPr>
                    <w:framePr w:wrap="around" w:vAnchor="text" w:hAnchor="margin" w:y="1137"/>
                    <w:spacing w:after="0" w:line="259" w:lineRule="auto"/>
                    <w:ind w:left="79" w:firstLine="0"/>
                    <w:suppressOverlap/>
                    <w:jc w:val="left"/>
                  </w:pPr>
                  <w:r>
                    <w:rPr>
                      <w:sz w:val="16"/>
                    </w:rPr>
                    <w:t>9</w:t>
                  </w:r>
                </w:p>
              </w:tc>
              <w:tc>
                <w:tcPr>
                  <w:tcW w:w="1246" w:type="dxa"/>
                  <w:tcBorders>
                    <w:top w:val="nil"/>
                    <w:left w:val="nil"/>
                    <w:bottom w:val="nil"/>
                    <w:right w:val="nil"/>
                  </w:tcBorders>
                </w:tcPr>
                <w:p w14:paraId="34D8C93B" w14:textId="77777777" w:rsidR="00CF7124" w:rsidRDefault="001578E5">
                  <w:pPr>
                    <w:framePr w:wrap="around" w:vAnchor="text" w:hAnchor="margin" w:y="1137"/>
                    <w:spacing w:after="0" w:line="259" w:lineRule="auto"/>
                    <w:ind w:firstLine="0"/>
                    <w:suppressOverlap/>
                    <w:jc w:val="left"/>
                  </w:pPr>
                  <w:r>
                    <w:rPr>
                      <w:sz w:val="16"/>
                    </w:rPr>
                    <w:t>23</w:t>
                  </w:r>
                </w:p>
              </w:tc>
              <w:tc>
                <w:tcPr>
                  <w:tcW w:w="1699" w:type="dxa"/>
                  <w:tcBorders>
                    <w:top w:val="nil"/>
                    <w:left w:val="nil"/>
                    <w:bottom w:val="nil"/>
                    <w:right w:val="nil"/>
                  </w:tcBorders>
                </w:tcPr>
                <w:p w14:paraId="7BACBCDD" w14:textId="77777777" w:rsidR="00CF7124" w:rsidRDefault="001578E5">
                  <w:pPr>
                    <w:framePr w:wrap="around" w:vAnchor="text" w:hAnchor="margin" w:y="1137"/>
                    <w:spacing w:after="0" w:line="259" w:lineRule="auto"/>
                    <w:ind w:firstLine="0"/>
                    <w:suppressOverlap/>
                    <w:jc w:val="left"/>
                  </w:pPr>
                  <w:r>
                    <w:rPr>
                      <w:sz w:val="16"/>
                    </w:rPr>
                    <w:t>17.5</w:t>
                  </w:r>
                </w:p>
              </w:tc>
              <w:tc>
                <w:tcPr>
                  <w:tcW w:w="1057" w:type="dxa"/>
                  <w:tcBorders>
                    <w:top w:val="nil"/>
                    <w:left w:val="nil"/>
                    <w:bottom w:val="nil"/>
                    <w:right w:val="nil"/>
                  </w:tcBorders>
                </w:tcPr>
                <w:p w14:paraId="2CD661B9" w14:textId="77777777" w:rsidR="00CF7124" w:rsidRDefault="001578E5">
                  <w:pPr>
                    <w:framePr w:wrap="around" w:vAnchor="text" w:hAnchor="margin" w:y="1137"/>
                    <w:spacing w:after="0" w:line="259" w:lineRule="auto"/>
                    <w:ind w:left="5" w:firstLine="0"/>
                    <w:suppressOverlap/>
                    <w:jc w:val="left"/>
                  </w:pPr>
                  <w:r>
                    <w:rPr>
                      <w:sz w:val="16"/>
                    </w:rPr>
                    <w:t>11.2</w:t>
                  </w:r>
                </w:p>
              </w:tc>
            </w:tr>
            <w:tr w:rsidR="00CF7124" w14:paraId="26DC888B" w14:textId="77777777">
              <w:trPr>
                <w:trHeight w:val="199"/>
              </w:trPr>
              <w:tc>
                <w:tcPr>
                  <w:tcW w:w="1530" w:type="dxa"/>
                  <w:tcBorders>
                    <w:top w:val="nil"/>
                    <w:left w:val="nil"/>
                    <w:bottom w:val="nil"/>
                    <w:right w:val="nil"/>
                  </w:tcBorders>
                </w:tcPr>
                <w:p w14:paraId="54E6CC8D" w14:textId="77777777" w:rsidR="00CF7124" w:rsidRDefault="001578E5">
                  <w:pPr>
                    <w:framePr w:wrap="around" w:vAnchor="text" w:hAnchor="margin" w:y="1137"/>
                    <w:spacing w:after="0" w:line="259" w:lineRule="auto"/>
                    <w:ind w:firstLine="0"/>
                    <w:suppressOverlap/>
                    <w:jc w:val="left"/>
                  </w:pPr>
                  <w:r>
                    <w:rPr>
                      <w:sz w:val="16"/>
                    </w:rPr>
                    <w:t>Community 4</w:t>
                  </w:r>
                </w:p>
              </w:tc>
              <w:tc>
                <w:tcPr>
                  <w:tcW w:w="2515" w:type="dxa"/>
                  <w:tcBorders>
                    <w:top w:val="nil"/>
                    <w:left w:val="nil"/>
                    <w:bottom w:val="nil"/>
                    <w:right w:val="nil"/>
                  </w:tcBorders>
                </w:tcPr>
                <w:p w14:paraId="3542241A" w14:textId="77777777" w:rsidR="00CF7124" w:rsidRDefault="001578E5">
                  <w:pPr>
                    <w:framePr w:wrap="around" w:vAnchor="text" w:hAnchor="margin" w:y="1137"/>
                    <w:spacing w:after="0" w:line="259" w:lineRule="auto"/>
                    <w:ind w:left="79" w:firstLine="0"/>
                    <w:suppressOverlap/>
                    <w:jc w:val="left"/>
                  </w:pPr>
                  <w:r>
                    <w:rPr>
                      <w:sz w:val="16"/>
                    </w:rPr>
                    <w:t>1</w:t>
                  </w:r>
                </w:p>
              </w:tc>
              <w:tc>
                <w:tcPr>
                  <w:tcW w:w="1279" w:type="dxa"/>
                  <w:tcBorders>
                    <w:top w:val="nil"/>
                    <w:left w:val="nil"/>
                    <w:bottom w:val="nil"/>
                    <w:right w:val="nil"/>
                  </w:tcBorders>
                </w:tcPr>
                <w:p w14:paraId="456FBBFB" w14:textId="77777777" w:rsidR="00CF7124" w:rsidRDefault="001578E5">
                  <w:pPr>
                    <w:framePr w:wrap="around" w:vAnchor="text" w:hAnchor="margin" w:y="1137"/>
                    <w:spacing w:after="0" w:line="259" w:lineRule="auto"/>
                    <w:ind w:left="79" w:firstLine="0"/>
                    <w:suppressOverlap/>
                    <w:jc w:val="left"/>
                  </w:pPr>
                  <w:r>
                    <w:rPr>
                      <w:sz w:val="16"/>
                    </w:rPr>
                    <w:t>4</w:t>
                  </w:r>
                </w:p>
              </w:tc>
              <w:tc>
                <w:tcPr>
                  <w:tcW w:w="1246" w:type="dxa"/>
                  <w:tcBorders>
                    <w:top w:val="nil"/>
                    <w:left w:val="nil"/>
                    <w:bottom w:val="nil"/>
                    <w:right w:val="nil"/>
                  </w:tcBorders>
                </w:tcPr>
                <w:p w14:paraId="6A8B7169" w14:textId="77777777" w:rsidR="00CF7124" w:rsidRDefault="001578E5">
                  <w:pPr>
                    <w:framePr w:wrap="around" w:vAnchor="text" w:hAnchor="margin" w:y="1137"/>
                    <w:spacing w:after="0" w:line="259" w:lineRule="auto"/>
                    <w:ind w:firstLine="0"/>
                    <w:suppressOverlap/>
                    <w:jc w:val="left"/>
                  </w:pPr>
                  <w:r>
                    <w:rPr>
                      <w:sz w:val="16"/>
                    </w:rPr>
                    <w:t>18</w:t>
                  </w:r>
                </w:p>
              </w:tc>
              <w:tc>
                <w:tcPr>
                  <w:tcW w:w="1699" w:type="dxa"/>
                  <w:tcBorders>
                    <w:top w:val="nil"/>
                    <w:left w:val="nil"/>
                    <w:bottom w:val="nil"/>
                    <w:right w:val="nil"/>
                  </w:tcBorders>
                </w:tcPr>
                <w:p w14:paraId="028AB233" w14:textId="77777777" w:rsidR="00CF7124" w:rsidRDefault="001578E5">
                  <w:pPr>
                    <w:framePr w:wrap="around" w:vAnchor="text" w:hAnchor="margin" w:y="1137"/>
                    <w:spacing w:after="0" w:line="259" w:lineRule="auto"/>
                    <w:ind w:left="6" w:firstLine="0"/>
                    <w:suppressOverlap/>
                    <w:jc w:val="left"/>
                  </w:pPr>
                  <w:r>
                    <w:rPr>
                      <w:sz w:val="16"/>
                    </w:rPr>
                    <w:t>11.8</w:t>
                  </w:r>
                </w:p>
              </w:tc>
              <w:tc>
                <w:tcPr>
                  <w:tcW w:w="1057" w:type="dxa"/>
                  <w:tcBorders>
                    <w:top w:val="nil"/>
                    <w:left w:val="nil"/>
                    <w:bottom w:val="nil"/>
                    <w:right w:val="nil"/>
                  </w:tcBorders>
                </w:tcPr>
                <w:p w14:paraId="1DE2F4F8" w14:textId="77777777" w:rsidR="00CF7124" w:rsidRDefault="001578E5">
                  <w:pPr>
                    <w:framePr w:wrap="around" w:vAnchor="text" w:hAnchor="margin" w:y="1137"/>
                    <w:spacing w:after="0" w:line="259" w:lineRule="auto"/>
                    <w:ind w:left="79" w:firstLine="0"/>
                    <w:suppressOverlap/>
                    <w:jc w:val="left"/>
                  </w:pPr>
                  <w:r>
                    <w:rPr>
                      <w:sz w:val="16"/>
                    </w:rPr>
                    <w:t>8.4</w:t>
                  </w:r>
                </w:p>
              </w:tc>
            </w:tr>
            <w:tr w:rsidR="00CF7124" w14:paraId="2637F505" w14:textId="77777777">
              <w:trPr>
                <w:trHeight w:val="212"/>
              </w:trPr>
              <w:tc>
                <w:tcPr>
                  <w:tcW w:w="1530" w:type="dxa"/>
                  <w:tcBorders>
                    <w:top w:val="nil"/>
                    <w:left w:val="nil"/>
                    <w:bottom w:val="single" w:sz="4" w:space="0" w:color="221F1F"/>
                    <w:right w:val="nil"/>
                  </w:tcBorders>
                </w:tcPr>
                <w:p w14:paraId="756EFAAF" w14:textId="77777777" w:rsidR="00CF7124" w:rsidRDefault="00CF7124">
                  <w:pPr>
                    <w:framePr w:wrap="around" w:vAnchor="text" w:hAnchor="margin" w:y="1137"/>
                    <w:spacing w:after="160" w:line="259" w:lineRule="auto"/>
                    <w:ind w:firstLine="0"/>
                    <w:suppressOverlap/>
                    <w:jc w:val="left"/>
                  </w:pPr>
                </w:p>
              </w:tc>
              <w:tc>
                <w:tcPr>
                  <w:tcW w:w="2515" w:type="dxa"/>
                  <w:tcBorders>
                    <w:top w:val="nil"/>
                    <w:left w:val="nil"/>
                    <w:bottom w:val="single" w:sz="4" w:space="0" w:color="221F1F"/>
                    <w:right w:val="nil"/>
                  </w:tcBorders>
                </w:tcPr>
                <w:p w14:paraId="3D9402A3" w14:textId="77777777" w:rsidR="00CF7124" w:rsidRDefault="001578E5">
                  <w:pPr>
                    <w:framePr w:wrap="around" w:vAnchor="text" w:hAnchor="margin" w:y="1137"/>
                    <w:spacing w:after="0" w:line="259" w:lineRule="auto"/>
                    <w:ind w:firstLine="0"/>
                    <w:suppressOverlap/>
                    <w:jc w:val="left"/>
                  </w:pPr>
                  <w:r>
                    <w:rPr>
                      <w:sz w:val="16"/>
                    </w:rPr>
                    <w:t>Framework</w:t>
                  </w:r>
                </w:p>
              </w:tc>
              <w:tc>
                <w:tcPr>
                  <w:tcW w:w="1279" w:type="dxa"/>
                  <w:tcBorders>
                    <w:top w:val="nil"/>
                    <w:left w:val="nil"/>
                    <w:bottom w:val="single" w:sz="4" w:space="0" w:color="221F1F"/>
                    <w:right w:val="nil"/>
                  </w:tcBorders>
                </w:tcPr>
                <w:p w14:paraId="7235F2D1" w14:textId="77777777" w:rsidR="00CF7124" w:rsidRDefault="00CF7124">
                  <w:pPr>
                    <w:framePr w:wrap="around" w:vAnchor="text" w:hAnchor="margin" w:y="1137"/>
                    <w:spacing w:after="160" w:line="259" w:lineRule="auto"/>
                    <w:ind w:firstLine="0"/>
                    <w:suppressOverlap/>
                    <w:jc w:val="left"/>
                  </w:pPr>
                </w:p>
              </w:tc>
              <w:tc>
                <w:tcPr>
                  <w:tcW w:w="1246" w:type="dxa"/>
                  <w:tcBorders>
                    <w:top w:val="nil"/>
                    <w:left w:val="nil"/>
                    <w:bottom w:val="single" w:sz="4" w:space="0" w:color="221F1F"/>
                    <w:right w:val="nil"/>
                  </w:tcBorders>
                </w:tcPr>
                <w:p w14:paraId="1AB12055" w14:textId="77777777" w:rsidR="00CF7124" w:rsidRDefault="00CF7124">
                  <w:pPr>
                    <w:framePr w:wrap="around" w:vAnchor="text" w:hAnchor="margin" w:y="1137"/>
                    <w:spacing w:after="160" w:line="259" w:lineRule="auto"/>
                    <w:ind w:firstLine="0"/>
                    <w:suppressOverlap/>
                    <w:jc w:val="left"/>
                  </w:pPr>
                </w:p>
              </w:tc>
              <w:tc>
                <w:tcPr>
                  <w:tcW w:w="1699" w:type="dxa"/>
                  <w:tcBorders>
                    <w:top w:val="nil"/>
                    <w:left w:val="nil"/>
                    <w:bottom w:val="single" w:sz="4" w:space="0" w:color="221F1F"/>
                    <w:right w:val="nil"/>
                  </w:tcBorders>
                </w:tcPr>
                <w:p w14:paraId="18321FA5" w14:textId="77777777" w:rsidR="00CF7124" w:rsidRDefault="00CF7124">
                  <w:pPr>
                    <w:framePr w:wrap="around" w:vAnchor="text" w:hAnchor="margin" w:y="1137"/>
                    <w:spacing w:after="160" w:line="259" w:lineRule="auto"/>
                    <w:ind w:firstLine="0"/>
                    <w:suppressOverlap/>
                    <w:jc w:val="left"/>
                  </w:pPr>
                </w:p>
              </w:tc>
              <w:tc>
                <w:tcPr>
                  <w:tcW w:w="1057" w:type="dxa"/>
                  <w:tcBorders>
                    <w:top w:val="nil"/>
                    <w:left w:val="nil"/>
                    <w:bottom w:val="single" w:sz="4" w:space="0" w:color="221F1F"/>
                    <w:right w:val="nil"/>
                  </w:tcBorders>
                </w:tcPr>
                <w:p w14:paraId="55F4AA59" w14:textId="77777777" w:rsidR="00CF7124" w:rsidRDefault="001578E5">
                  <w:pPr>
                    <w:framePr w:wrap="around" w:vAnchor="text" w:hAnchor="margin" w:y="1137"/>
                    <w:spacing w:after="0" w:line="259" w:lineRule="auto"/>
                    <w:ind w:firstLine="0"/>
                    <w:suppressOverlap/>
                    <w:jc w:val="left"/>
                  </w:pPr>
                  <w:r>
                    <w:rPr>
                      <w:sz w:val="16"/>
                    </w:rPr>
                    <w:t>Sediment</w:t>
                  </w:r>
                </w:p>
              </w:tc>
            </w:tr>
          </w:tbl>
          <w:p w14:paraId="4BBF8EBE" w14:textId="77777777" w:rsidR="00CF7124" w:rsidRDefault="00CF7124">
            <w:pPr>
              <w:spacing w:after="160" w:line="259" w:lineRule="auto"/>
              <w:ind w:firstLine="0"/>
              <w:jc w:val="left"/>
            </w:pPr>
          </w:p>
        </w:tc>
      </w:tr>
    </w:tbl>
    <w:p w14:paraId="720F3E29" w14:textId="77777777" w:rsidR="00CF7124" w:rsidRDefault="001578E5">
      <w:pPr>
        <w:ind w:left="-15"/>
      </w:pPr>
      <w:r>
        <w:t>Most of the rudist have been preserved in situ (</w:t>
      </w:r>
      <w:proofErr w:type="gramStart"/>
      <w:r>
        <w:t>i.e.</w:t>
      </w:r>
      <w:proofErr w:type="gramEnd"/>
      <w:r>
        <w:t xml:space="preserve"> non-transported) whereas they are not preserved in life position, a feature expected from sediment dwellers suffering toppling effects. This mode of preservation is clearly expressed by the low average v</w:t>
      </w:r>
      <w:r>
        <w:t>alues of packingindex (mutually aggregated individuals are usually less than 17%) and appears unlikely to create any rigidity by interlocked biocalcified networks (</w:t>
      </w:r>
      <w:proofErr w:type="gramStart"/>
      <w:r>
        <w:t>e.g.</w:t>
      </w:r>
      <w:proofErr w:type="gramEnd"/>
      <w:r>
        <w:t xml:space="preserve"> </w:t>
      </w:r>
      <w:r>
        <w:rPr>
          <w:color w:val="2D3092"/>
        </w:rPr>
        <w:t>Fagerstrom, 1987; Hubbard et al., 2001</w:t>
      </w:r>
      <w:r>
        <w:t xml:space="preserve">). </w:t>
      </w:r>
      <w:r>
        <w:rPr>
          <w:color w:val="2D3092"/>
        </w:rPr>
        <w:t xml:space="preserve">Table 10 </w:t>
      </w:r>
      <w:r>
        <w:t>shows that values for packing density</w:t>
      </w:r>
      <w:r>
        <w:t xml:space="preserve"> and coverage and their corresponding macroskeletal content are equally unlikely to account for a significant framework potential. The overall layer-cake architecture of rudist beds (</w:t>
      </w:r>
      <w:r>
        <w:rPr>
          <w:color w:val="2D3092"/>
        </w:rPr>
        <w:t>FenerciMasse et al., 2005</w:t>
      </w:r>
      <w:r>
        <w:t>) clearly reflects this absence of bioconstructi</w:t>
      </w:r>
      <w:r>
        <w:t xml:space="preserve">onal power; ascribing the corresponding bodies to </w:t>
      </w:r>
      <w:r>
        <w:rPr>
          <w:rFonts w:ascii="Calibri" w:eastAsia="Calibri" w:hAnsi="Calibri" w:cs="Calibri"/>
        </w:rPr>
        <w:t>b</w:t>
      </w:r>
      <w:r>
        <w:t>rudist reefs</w:t>
      </w:r>
      <w:r>
        <w:rPr>
          <w:rFonts w:ascii="Calibri" w:eastAsia="Calibri" w:hAnsi="Calibri" w:cs="Calibri"/>
        </w:rPr>
        <w:t xml:space="preserve">Q </w:t>
      </w:r>
      <w:r>
        <w:t xml:space="preserve">sensu </w:t>
      </w:r>
      <w:r>
        <w:rPr>
          <w:color w:val="2D3092"/>
        </w:rPr>
        <w:t xml:space="preserve">Johnson and Kauffman (2001) </w:t>
      </w:r>
      <w:r>
        <w:t>appears therefore inappropriate.</w:t>
      </w:r>
    </w:p>
    <w:p w14:paraId="4DD0B0A4" w14:textId="77777777" w:rsidR="00CF7124" w:rsidRDefault="001578E5">
      <w:pPr>
        <w:ind w:left="-15"/>
      </w:pPr>
      <w:r>
        <w:t>The ability of Barremian rudists to produce sand size grains also looks limited, only 11% to 17% of the sandy fraction formi</w:t>
      </w:r>
      <w:r>
        <w:t>ng the substrate of communities derives explicitly from rudists. This potential for producing sediments appears very limited when compared to corals. In modern coral reefs carbonate sands associated with coral buildups (</w:t>
      </w:r>
      <w:proofErr w:type="gramStart"/>
      <w:r>
        <w:t>e.g.</w:t>
      </w:r>
      <w:proofErr w:type="gramEnd"/>
      <w:r>
        <w:t xml:space="preserve"> outer reef slopes, reef flats) </w:t>
      </w:r>
      <w:r>
        <w:t>usually contain 30–40% of coral fragments (</w:t>
      </w:r>
      <w:r>
        <w:rPr>
          <w:color w:val="2D3092"/>
        </w:rPr>
        <w:t>Ginsburg, 1956; Maiklem, 1970; Purdy, 1963; Gabrie´ and Montaggioni, 1982; Masse and Froget, 1984: Masse et al., 1989; Adjas et al., 1990</w:t>
      </w:r>
      <w:r>
        <w:t xml:space="preserve">) or even more when considering the gravels frequently mixed with the sandy </w:t>
      </w:r>
      <w:r>
        <w:t>fraction. Coral derived sandy components play also a significant role (10–20% even 45–48%) in lagoonal settings with coral patches or reticulate lagoon floors (</w:t>
      </w:r>
      <w:r>
        <w:rPr>
          <w:color w:val="2D3092"/>
        </w:rPr>
        <w:t>Adjas et al., 1990</w:t>
      </w:r>
      <w:r>
        <w:t>).</w:t>
      </w:r>
    </w:p>
    <w:p w14:paraId="5A156642" w14:textId="77777777" w:rsidR="00CF7124" w:rsidRDefault="001578E5">
      <w:pPr>
        <w:ind w:left="-15"/>
      </w:pPr>
      <w:r>
        <w:t xml:space="preserve">As emphasized by </w:t>
      </w:r>
      <w:r>
        <w:rPr>
          <w:color w:val="2D3092"/>
        </w:rPr>
        <w:t xml:space="preserve">Gili et al. (1995) </w:t>
      </w:r>
      <w:r>
        <w:t>not only the carbonate production of co</w:t>
      </w:r>
      <w:r>
        <w:t>rals (clonal organisms with an indefinite potential longevity) is expected to be higher than that of rudist bivalves (aclonal organisms with a limited life duration), but also the historical contingencies of rudist bodies and modern coral reefs are strongl</w:t>
      </w:r>
      <w:r>
        <w:t xml:space="preserve">y different. Modern coral reefs developed in an icehouse world, whereas rudist developed in a greenhouse world. This implies contrasting rates for accommodation, </w:t>
      </w:r>
      <w:r>
        <w:rPr>
          <w:rFonts w:ascii="Calibri" w:eastAsia="Calibri" w:hAnsi="Calibri" w:cs="Calibri"/>
        </w:rPr>
        <w:t>N</w:t>
      </w:r>
      <w:r>
        <w:t>100 m 10 ka</w:t>
      </w:r>
      <w:r>
        <w:rPr>
          <w:vertAlign w:val="superscript"/>
        </w:rPr>
        <w:t xml:space="preserve">1 </w:t>
      </w:r>
      <w:r>
        <w:t>for the former instead of 1–2 m 10 ka</w:t>
      </w:r>
      <w:r>
        <w:rPr>
          <w:vertAlign w:val="superscript"/>
        </w:rPr>
        <w:t xml:space="preserve">1 </w:t>
      </w:r>
      <w:r>
        <w:t>for the latter. The focus on the last 5 k</w:t>
      </w:r>
      <w:r>
        <w:t>a of coral reef growth nevertheless implies an accommodation rate (see Discussion above) of 1 m ka</w:t>
      </w:r>
      <w:r>
        <w:rPr>
          <w:vertAlign w:val="superscript"/>
        </w:rPr>
        <w:t xml:space="preserve">1 </w:t>
      </w:r>
      <w:r>
        <w:t>whereas the Barremian one was in the order of 0.01 to 0.1 m ka</w:t>
      </w:r>
      <w:r>
        <w:rPr>
          <w:vertAlign w:val="superscript"/>
        </w:rPr>
        <w:t>1</w:t>
      </w:r>
      <w:r>
        <w:t>.</w:t>
      </w:r>
    </w:p>
    <w:p w14:paraId="0200D449" w14:textId="77777777" w:rsidR="00CF7124" w:rsidRDefault="001578E5">
      <w:pPr>
        <w:spacing w:after="228"/>
        <w:ind w:left="-15"/>
      </w:pPr>
      <w:r>
        <w:t>We are aware that bioerosion may have been an important destructive process for rudist shel</w:t>
      </w:r>
      <w:r>
        <w:t>ls (</w:t>
      </w:r>
      <w:r>
        <w:rPr>
          <w:color w:val="2D3092"/>
        </w:rPr>
        <w:t>Masse, 1976; Grosheny and Philip, 1989; Sanders, 1999</w:t>
      </w:r>
      <w:r>
        <w:t>) as it is for corals since the Mesozoic (</w:t>
      </w:r>
      <w:r>
        <w:rPr>
          <w:color w:val="2D3092"/>
        </w:rPr>
        <w:t>Perry and Bertling, 2000</w:t>
      </w:r>
      <w:r>
        <w:t>), and consequently that our estimates for carbonate production s.l. represent only a fraction of the original bioprecipitated skelet</w:t>
      </w:r>
      <w:r>
        <w:t xml:space="preserve">al material. Two agents appear to have been important in bioerosion: microborers including: Cyanobacteria, Chlorophyta, Rhodophyta and Fungi, and macroborers, mainly clionid sponges. As shown by </w:t>
      </w:r>
      <w:r>
        <w:rPr>
          <w:color w:val="2D3092"/>
        </w:rPr>
        <w:t xml:space="preserve">Peyrot-Clausade and Chazottes (2000) </w:t>
      </w:r>
      <w:r>
        <w:t>data on recent corals in</w:t>
      </w:r>
      <w:r>
        <w:t>dicate that clionid sponges may account for 80–90% of the skeletal erosion to produce chips, whereas only 2–3% of the carbonate is dissolved. In situ experiments by the same workers show that on coral reef flats microborers may be responsible for the disso</w:t>
      </w:r>
      <w:r>
        <w:t>lution of 5–10% of the gross carbonate production. Extrapolation to rudists of the above results obtained for modern corals are speculative but support the idea of a significant carbonate loss of the living community and the taphonomic assemblage as well.</w:t>
      </w:r>
    </w:p>
    <w:p w14:paraId="74DCB3FB" w14:textId="77777777" w:rsidR="00CF7124" w:rsidRDefault="001578E5">
      <w:pPr>
        <w:spacing w:after="234" w:line="253" w:lineRule="auto"/>
        <w:ind w:left="-5" w:hanging="10"/>
        <w:jc w:val="left"/>
      </w:pPr>
      <w:r>
        <w:t>8. Conclusions</w:t>
      </w:r>
    </w:p>
    <w:p w14:paraId="51F19E9E" w14:textId="77777777" w:rsidR="00CF7124" w:rsidRDefault="001578E5">
      <w:pPr>
        <w:ind w:left="-15"/>
      </w:pPr>
      <w:r>
        <w:t xml:space="preserve">In order to quantify the role of rudists in platform sedimentation, rudist-bearing stratigraphic carbonate </w:t>
      </w:r>
      <w:r>
        <w:lastRenderedPageBreak/>
        <w:t>successions from the Late Barremian of Provence (SE France) have been investigated. A stratigraphic unit, the Boumandariel sequence, 2</w:t>
      </w:r>
      <w:r>
        <w:t>7 m thick on average, extending on a 46-km wide transect in the Marseille area, was analysed after 7 stratigraphic sections, with a spacing between 6.7 to 15 km. Four types of rudist communities (labelled 1 to 4) were defined quantitatively by using biolog</w:t>
      </w:r>
      <w:r>
        <w:t>ical and sedimentological parameters; Requieniidae are the dominant contributors, Monopleuridae being subordinate.</w:t>
      </w:r>
    </w:p>
    <w:p w14:paraId="3D5EFCAC" w14:textId="77777777" w:rsidR="00CF7124" w:rsidRDefault="001578E5">
      <w:pPr>
        <w:ind w:left="-15"/>
      </w:pPr>
      <w:r>
        <w:t xml:space="preserve">The stratigraphic contribution of rudists, </w:t>
      </w:r>
      <w:proofErr w:type="gramStart"/>
      <w:r>
        <w:t>i.e.</w:t>
      </w:r>
      <w:proofErr w:type="gramEnd"/>
      <w:r>
        <w:t xml:space="preserve"> the cumulative thickness of rudist beds (expressed in %), estimated on vertical successions a</w:t>
      </w:r>
      <w:r>
        <w:t>nd regional stratigraphic units, is relatively high (43.1%) at a regional scale but variable at a local scale. The skeletal contribution of rudists (% of skeletal material) was evaluated for each community type (standard values) then estimated for vertical</w:t>
      </w:r>
      <w:r>
        <w:t xml:space="preserve"> successions, for which the average value (13.2%) is low. For individual sections the skeletal contribution shows a linear relationship with the stratigraphic contribution of rudist beds. At the scale of stratigraphic regional units, calculations using spe</w:t>
      </w:r>
      <w:r>
        <w:t>cific modules (including laterally adjacent rudist rich and rudist free bodies), with horizontal dimensions depending on community types, the overall skeletal contribution is nearly the same (12.8%).</w:t>
      </w:r>
    </w:p>
    <w:p w14:paraId="00103432" w14:textId="77777777" w:rsidR="00CF7124" w:rsidRDefault="001578E5">
      <w:pPr>
        <w:ind w:left="-15"/>
      </w:pPr>
      <w:r>
        <w:t>The average regional stratigraphic contribution of rudis</w:t>
      </w:r>
      <w:r>
        <w:t>t community types is low for community 1 (3%) (small thin shelled forms in a wackestone matrix) and community 3 (7%) (mixed small and large forms in a packstone matrix). The highest values were obtained for community 4 (13.5%) (large forms in a grainy matr</w:t>
      </w:r>
      <w:r>
        <w:t>ix) and community 2 (24%) (small forms in a packstone matrix). Referring to rudist beds only, the corresponding values are: 7% for community 1, 15% for community 3, 28% for community 4 and 50% for community 2.</w:t>
      </w:r>
    </w:p>
    <w:p w14:paraId="08AF1040" w14:textId="77777777" w:rsidR="00CF7124" w:rsidRDefault="001578E5">
      <w:pPr>
        <w:ind w:left="-15"/>
      </w:pPr>
      <w:r>
        <w:t xml:space="preserve">Community types each have a standard skeletal </w:t>
      </w:r>
      <w:r>
        <w:t>contribution, the lowest (19.2%) is for community 4, then followed by community 1 (24.6%). The highest values were obtained for community 3 (26.8%) and community 2 (31.5%).</w:t>
      </w:r>
    </w:p>
    <w:p w14:paraId="3F0F0F90" w14:textId="77777777" w:rsidR="00CF7124" w:rsidRDefault="001578E5">
      <w:pPr>
        <w:ind w:left="-15"/>
      </w:pPr>
      <w:r>
        <w:t>Rudist net production was derived from accumulation rates deduced from bed duration</w:t>
      </w:r>
      <w:r>
        <w:t xml:space="preserve">s, based on Milankovitch cyclicity, mainly the eccentricity (100 ka) and the precession (20 ka) cycles, in the stratigraphic duration (2.27 ma) corresponding with the </w:t>
      </w:r>
      <w:r>
        <w:t>Vandenheckii</w:t>
      </w:r>
      <w:r>
        <w:t xml:space="preserve">– </w:t>
      </w:r>
      <w:r>
        <w:t xml:space="preserve">Feraudianus </w:t>
      </w:r>
      <w:r>
        <w:t>ammonite zones. Sedimentation rates evaluated for each communit</w:t>
      </w:r>
      <w:r>
        <w:t>y type, are contrasting: 0.03 m ka</w:t>
      </w:r>
      <w:r>
        <w:rPr>
          <w:vertAlign w:val="superscript"/>
        </w:rPr>
        <w:t xml:space="preserve">1 </w:t>
      </w:r>
      <w:r>
        <w:t>for community 1, 0.05 m ka</w:t>
      </w:r>
      <w:r>
        <w:rPr>
          <w:vertAlign w:val="superscript"/>
        </w:rPr>
        <w:t xml:space="preserve">1 </w:t>
      </w:r>
      <w:r>
        <w:t>for community 2, 0.07 m ka</w:t>
      </w:r>
      <w:r>
        <w:rPr>
          <w:vertAlign w:val="superscript"/>
        </w:rPr>
        <w:t xml:space="preserve">1 </w:t>
      </w:r>
      <w:r>
        <w:t>for community 3 and 0.10 m ka</w:t>
      </w:r>
      <w:r>
        <w:rPr>
          <w:vertAlign w:val="superscript"/>
        </w:rPr>
        <w:t xml:space="preserve">1 </w:t>
      </w:r>
      <w:r>
        <w:t>for community 4. These values represent the minimum ones, obtained when assuming a continuous sedimentary record and no compaction. C</w:t>
      </w:r>
      <w:r>
        <w:t>ombined with the standard skeletal contributions the above accumulation rates provide the amount of CaCO</w:t>
      </w:r>
      <w:r>
        <w:rPr>
          <w:vertAlign w:val="subscript"/>
        </w:rPr>
        <w:t xml:space="preserve">3 </w:t>
      </w:r>
      <w:r>
        <w:t>kg m</w:t>
      </w:r>
      <w:r>
        <w:rPr>
          <w:vertAlign w:val="superscript"/>
        </w:rPr>
        <w:t xml:space="preserve">2 </w:t>
      </w:r>
      <w:r>
        <w:t>ka</w:t>
      </w:r>
      <w:r>
        <w:rPr>
          <w:vertAlign w:val="superscript"/>
        </w:rPr>
        <w:t xml:space="preserve">1 </w:t>
      </w:r>
      <w:r>
        <w:t>produced at a community level. The highest production (50 kg m</w:t>
      </w:r>
      <w:r>
        <w:rPr>
          <w:vertAlign w:val="superscript"/>
        </w:rPr>
        <w:t xml:space="preserve">2 </w:t>
      </w:r>
      <w:r>
        <w:t>ka</w:t>
      </w:r>
      <w:r>
        <w:rPr>
          <w:vertAlign w:val="superscript"/>
        </w:rPr>
        <w:t>1</w:t>
      </w:r>
      <w:r>
        <w:t>) was obtained for community 4, then followed by community 3 (49 kg m</w:t>
      </w:r>
      <w:r>
        <w:rPr>
          <w:vertAlign w:val="superscript"/>
        </w:rPr>
        <w:t xml:space="preserve">2 </w:t>
      </w:r>
      <w:r>
        <w:t>ka</w:t>
      </w:r>
      <w:r>
        <w:rPr>
          <w:vertAlign w:val="superscript"/>
        </w:rPr>
        <w:t>1</w:t>
      </w:r>
      <w:r>
        <w:t>), and community 2 (41 kg m</w:t>
      </w:r>
      <w:r>
        <w:rPr>
          <w:vertAlign w:val="superscript"/>
        </w:rPr>
        <w:t xml:space="preserve">2 </w:t>
      </w:r>
      <w:r>
        <w:t>ka</w:t>
      </w:r>
      <w:r>
        <w:rPr>
          <w:vertAlign w:val="superscript"/>
        </w:rPr>
        <w:t>1</w:t>
      </w:r>
      <w:r>
        <w:t>), then production drops to 19 kg m</w:t>
      </w:r>
      <w:r>
        <w:rPr>
          <w:vertAlign w:val="superscript"/>
        </w:rPr>
        <w:t xml:space="preserve">2 </w:t>
      </w:r>
      <w:r>
        <w:t>ka</w:t>
      </w:r>
      <w:r>
        <w:rPr>
          <w:vertAlign w:val="superscript"/>
        </w:rPr>
        <w:t>1</w:t>
      </w:r>
      <w:r>
        <w:t>. Community 4 with a limited standard skeletal contribution and weak stratigraphical role possesses nevertheless the highest production rate.</w:t>
      </w:r>
    </w:p>
    <w:p w14:paraId="3FD4E42B" w14:textId="77777777" w:rsidR="00CF7124" w:rsidRDefault="001578E5">
      <w:pPr>
        <w:spacing w:after="266"/>
        <w:ind w:left="-15"/>
      </w:pPr>
      <w:r>
        <w:t>Comparisons of production rates deduced f</w:t>
      </w:r>
      <w:r>
        <w:t xml:space="preserve">rom present day living communities, </w:t>
      </w:r>
      <w:proofErr w:type="gramStart"/>
      <w:r>
        <w:t>e.g.</w:t>
      </w:r>
      <w:proofErr w:type="gramEnd"/>
      <w:r>
        <w:t xml:space="preserve"> lagoonal bivalves, and late Cretaceous rudists, estimated at a biological scale, are poorly relevant with those obtained at a geological scale, used in the present study. Comparisons with the production of modern co</w:t>
      </w:r>
      <w:r>
        <w:t xml:space="preserve">ral reefs, using the same geological scaling approach, show that requieniid communities were not only different from corals by their ecological, </w:t>
      </w:r>
      <w:proofErr w:type="gramStart"/>
      <w:r>
        <w:t>sedimentological</w:t>
      </w:r>
      <w:proofErr w:type="gramEnd"/>
      <w:r>
        <w:t xml:space="preserve"> and constructional power, but also by their low CaCO</w:t>
      </w:r>
      <w:r>
        <w:rPr>
          <w:vertAlign w:val="subscript"/>
        </w:rPr>
        <w:t xml:space="preserve">3 </w:t>
      </w:r>
      <w:r>
        <w:t xml:space="preserve">net production. </w:t>
      </w:r>
      <w:proofErr w:type="gramStart"/>
      <w:r>
        <w:t>Moreover</w:t>
      </w:r>
      <w:proofErr w:type="gramEnd"/>
      <w:r>
        <w:t xml:space="preserve"> the internal ar</w:t>
      </w:r>
      <w:r>
        <w:t xml:space="preserve">chitecture of rudist bodies, with a limited aggregation of individuals, suggests that requieniids were not frame-builders and the corresponding bodies were drastically distinct from </w:t>
      </w:r>
      <w:r>
        <w:rPr>
          <w:rFonts w:ascii="Calibri" w:eastAsia="Calibri" w:hAnsi="Calibri" w:cs="Calibri"/>
        </w:rPr>
        <w:t>b</w:t>
      </w:r>
      <w:r>
        <w:t>rudist reefs</w:t>
      </w:r>
      <w:r>
        <w:rPr>
          <w:rFonts w:ascii="Calibri" w:eastAsia="Calibri" w:hAnsi="Calibri" w:cs="Calibri"/>
        </w:rPr>
        <w:t>Q</w:t>
      </w:r>
      <w:r>
        <w:t>. Their ability to produce sand grains was also weak, compar</w:t>
      </w:r>
      <w:r>
        <w:t xml:space="preserve">ed to coral buildups. This modest sedimentogenetic potential may derive in part from bioerosion (microborers and clionid sponges), more prone to generate muddy fractions than sands. </w:t>
      </w:r>
      <w:proofErr w:type="gramStart"/>
      <w:r>
        <w:t>Nevertheless</w:t>
      </w:r>
      <w:proofErr w:type="gramEnd"/>
      <w:r>
        <w:t xml:space="preserve"> we regard the contrasting values of coral and rudist producti</w:t>
      </w:r>
      <w:r>
        <w:t>on as the result of contrasting accommodation rates, low in the Cretaceous greenhouse world and high in the Holocene icehouse world.</w:t>
      </w:r>
    </w:p>
    <w:p w14:paraId="6542199D" w14:textId="77777777" w:rsidR="00CF7124" w:rsidRDefault="001578E5">
      <w:pPr>
        <w:spacing w:after="234" w:line="253" w:lineRule="auto"/>
        <w:ind w:left="-5" w:hanging="10"/>
        <w:jc w:val="left"/>
      </w:pPr>
      <w:r>
        <w:t>Acknowledgements</w:t>
      </w:r>
    </w:p>
    <w:p w14:paraId="33DD8DA1" w14:textId="77777777" w:rsidR="00CF7124" w:rsidRDefault="001578E5">
      <w:pPr>
        <w:spacing w:after="305"/>
        <w:ind w:left="-15"/>
      </w:pPr>
      <w:r>
        <w:t>We are most grateful to J. Borgomano, L. Montaggioni, J. Reijmer and L. Villiers (Universite´ de Provence,</w:t>
      </w:r>
      <w:r>
        <w:t xml:space="preserve"> Marseille) for fruitful discussions, </w:t>
      </w:r>
      <w:proofErr w:type="gramStart"/>
      <w:r>
        <w:t>comments</w:t>
      </w:r>
      <w:proofErr w:type="gramEnd"/>
      <w:r>
        <w:t xml:space="preserve"> and advice on the present manuscript. We thank the editors F. Surlyk, P.W. Skelton and an anonymous reviewer for their valuable constructive criticisms on our initial submission.</w:t>
      </w:r>
    </w:p>
    <w:p w14:paraId="558F1B0D" w14:textId="77777777" w:rsidR="00CF7124" w:rsidRDefault="001578E5">
      <w:pPr>
        <w:spacing w:after="194" w:line="253" w:lineRule="auto"/>
        <w:ind w:left="-5" w:hanging="10"/>
        <w:jc w:val="left"/>
      </w:pPr>
      <w:r>
        <w:t>References</w:t>
      </w:r>
    </w:p>
    <w:p w14:paraId="6E0D9916" w14:textId="77777777" w:rsidR="00CF7124" w:rsidRDefault="001578E5">
      <w:pPr>
        <w:spacing w:after="4" w:line="269" w:lineRule="auto"/>
        <w:ind w:left="234" w:hanging="249"/>
      </w:pPr>
      <w:r>
        <w:rPr>
          <w:sz w:val="16"/>
        </w:rPr>
        <w:lastRenderedPageBreak/>
        <w:t>Adjas, A., Masse, J.P., Montaggioni, L., 1990. Fine-grained carbonates in nearly closed reef environments: Mataiva and Takapoto atolls. Central Pacific Ocean. Sediment. Geol. 67 (1/2), 115–132.</w:t>
      </w:r>
    </w:p>
    <w:p w14:paraId="1AB6D941" w14:textId="77777777" w:rsidR="00CF7124" w:rsidRDefault="001578E5">
      <w:pPr>
        <w:spacing w:after="27" w:line="263" w:lineRule="auto"/>
        <w:ind w:left="234" w:right="-14" w:hanging="249"/>
        <w:jc w:val="left"/>
      </w:pPr>
      <w:r>
        <w:rPr>
          <w:sz w:val="16"/>
        </w:rPr>
        <w:t>Amico, S., 1977. Etude de la structure du test des rudistes. A</w:t>
      </w:r>
      <w:r>
        <w:rPr>
          <w:sz w:val="16"/>
        </w:rPr>
        <w:t>pplications a` la syste´matique a` la pale´obiologie et a` la pale´oe´cologie de ce groupe. Unpublished thesis, University of Marseille-Provence. 90 pp.</w:t>
      </w:r>
    </w:p>
    <w:p w14:paraId="73B95A9E" w14:textId="77777777" w:rsidR="00CF7124" w:rsidRDefault="001578E5">
      <w:pPr>
        <w:spacing w:after="4" w:line="269" w:lineRule="auto"/>
        <w:ind w:left="234" w:hanging="249"/>
      </w:pPr>
      <w:r>
        <w:rPr>
          <w:sz w:val="16"/>
        </w:rPr>
        <w:t xml:space="preserve">Anderson, E.J., 2004. The cycle hierarchy of the </w:t>
      </w:r>
      <w:r>
        <w:rPr>
          <w:rFonts w:ascii="Calibri" w:eastAsia="Calibri" w:hAnsi="Calibri" w:cs="Calibri"/>
          <w:sz w:val="16"/>
        </w:rPr>
        <w:t>b</w:t>
      </w:r>
      <w:r>
        <w:rPr>
          <w:sz w:val="16"/>
        </w:rPr>
        <w:t>Purbeckian</w:t>
      </w:r>
      <w:r>
        <w:rPr>
          <w:rFonts w:ascii="Calibri" w:eastAsia="Calibri" w:hAnsi="Calibri" w:cs="Calibri"/>
          <w:sz w:val="16"/>
        </w:rPr>
        <w:t xml:space="preserve">Q </w:t>
      </w:r>
      <w:r>
        <w:rPr>
          <w:sz w:val="16"/>
        </w:rPr>
        <w:t>Sierra del Pozo section, Lower Cretaceous</w:t>
      </w:r>
      <w:r>
        <w:rPr>
          <w:sz w:val="16"/>
        </w:rPr>
        <w:t xml:space="preserve"> (Berriasian), southern Spain. Sedimentology 51, 455–477.</w:t>
      </w:r>
    </w:p>
    <w:p w14:paraId="28D64E98" w14:textId="77777777" w:rsidR="00CF7124" w:rsidRDefault="001578E5">
      <w:pPr>
        <w:spacing w:after="4" w:line="269" w:lineRule="auto"/>
        <w:ind w:left="234" w:hanging="249"/>
      </w:pPr>
      <w:r>
        <w:rPr>
          <w:sz w:val="16"/>
        </w:rPr>
        <w:t xml:space="preserve">Arnaud, H., Arnaud-Vanneau, A., Blanc-Aletru, M.C., Adatte, Th., Argot, M., Delanoy, G., Thieuloy, J.P., Vermeulen, J., Virgone, A., Virlouvet, B., Wermeille, S., 1998. Re´partition stratigraphique </w:t>
      </w:r>
      <w:r>
        <w:rPr>
          <w:sz w:val="16"/>
        </w:rPr>
        <w:t>des Orbitolinide´s de la plate-forme urgonienne subalpine et jurassienne (SE de la France). Ge´ol. Alpine 74, 3–89.</w:t>
      </w:r>
    </w:p>
    <w:p w14:paraId="4091E5F9" w14:textId="77777777" w:rsidR="00CF7124" w:rsidRDefault="001578E5">
      <w:pPr>
        <w:spacing w:after="4" w:line="269" w:lineRule="auto"/>
        <w:ind w:left="234" w:hanging="249"/>
      </w:pPr>
      <w:r>
        <w:rPr>
          <w:sz w:val="16"/>
        </w:rPr>
        <w:t>Berger, A., Loutre, M.F., 1994. Astronomical forcing through geological time. In: De Boer, P.L., Smith, D.G. (Eds.), Orbital Forcing and Cyc</w:t>
      </w:r>
      <w:r>
        <w:rPr>
          <w:sz w:val="16"/>
        </w:rPr>
        <w:t>lic Sequences, Int. Assoc. Sediment., Spec. Pub., vol. 19, pp. 15–24.</w:t>
      </w:r>
    </w:p>
    <w:p w14:paraId="3830699C" w14:textId="77777777" w:rsidR="00CF7124" w:rsidRDefault="001578E5">
      <w:pPr>
        <w:spacing w:after="4" w:line="269" w:lineRule="auto"/>
        <w:ind w:left="234" w:hanging="249"/>
      </w:pPr>
      <w:r>
        <w:rPr>
          <w:sz w:val="16"/>
        </w:rPr>
        <w:t>Birkeland, C., 1977. The importance of rate of biomass accumulation in early successional stages of benthic communities to the survival of coral recruits. Proc. 3th Int. Coral reef Sympo</w:t>
      </w:r>
      <w:r>
        <w:rPr>
          <w:sz w:val="16"/>
        </w:rPr>
        <w:t>s., 1, Rosenstiel School of Marine and Atmospheric Sciences, Univ. Miami, pp. 16–21.</w:t>
      </w:r>
    </w:p>
    <w:p w14:paraId="34504B95" w14:textId="77777777" w:rsidR="00CF7124" w:rsidRDefault="001578E5">
      <w:pPr>
        <w:spacing w:after="4" w:line="269" w:lineRule="auto"/>
        <w:ind w:left="234" w:hanging="249"/>
      </w:pPr>
      <w:r>
        <w:rPr>
          <w:sz w:val="16"/>
        </w:rPr>
        <w:t>Birkeland, C., 1988. Geographic comparison of coral-reef community processes. Proc. 6th Int. Coral reef Sympos., Townsville 1, 211–220.</w:t>
      </w:r>
    </w:p>
    <w:p w14:paraId="077058AB" w14:textId="77777777" w:rsidR="00CF7124" w:rsidRDefault="001578E5">
      <w:pPr>
        <w:spacing w:after="4" w:line="269" w:lineRule="auto"/>
        <w:ind w:left="234" w:hanging="249"/>
      </w:pPr>
      <w:r>
        <w:rPr>
          <w:sz w:val="16"/>
        </w:rPr>
        <w:t>Buonocunto, F.P., D’Argenio, B., Fe</w:t>
      </w:r>
      <w:r>
        <w:rPr>
          <w:sz w:val="16"/>
        </w:rPr>
        <w:t>rreri, V., Sandulli, R., 1999. Orbital cyclostratigraphy and sequence stratigraphy of Upper Cretaceous platform carbonates at Monte Sant’ Erasmo, southern Apennines, Italy. Cretac. Res. 20, 81–95.</w:t>
      </w:r>
    </w:p>
    <w:p w14:paraId="7C063ACF" w14:textId="77777777" w:rsidR="00CF7124" w:rsidRDefault="001578E5">
      <w:pPr>
        <w:spacing w:after="4" w:line="269" w:lineRule="auto"/>
        <w:ind w:left="234" w:hanging="249"/>
      </w:pPr>
      <w:r>
        <w:rPr>
          <w:sz w:val="16"/>
        </w:rPr>
        <w:t xml:space="preserve">Carannante, G., Ruberti, D., Simone, L., 1993. Rudists and </w:t>
      </w:r>
      <w:r>
        <w:rPr>
          <w:sz w:val="16"/>
        </w:rPr>
        <w:t>related sediments in Late Cretaceous open shelf settings. A case history from Matese area (central Apennines, Italy). G. Geol. 55, 21–36.</w:t>
      </w:r>
    </w:p>
    <w:p w14:paraId="160B1B3A" w14:textId="77777777" w:rsidR="00CF7124" w:rsidRDefault="001578E5">
      <w:pPr>
        <w:spacing w:after="4" w:line="269" w:lineRule="auto"/>
        <w:ind w:left="234" w:hanging="249"/>
      </w:pPr>
      <w:r>
        <w:rPr>
          <w:sz w:val="16"/>
        </w:rPr>
        <w:t>Carannante, G., Graziano, R., Ruberti, D., Simone, L., 1997. Upper Cretaceous temperate-type open shelves from norther</w:t>
      </w:r>
      <w:r>
        <w:rPr>
          <w:sz w:val="16"/>
        </w:rPr>
        <w:t>n (Sardinia) and southern (Apennines–Apulia) Mesozoic Tethyan margins. In: James, N.P., Clarke, J.A.D. (Eds.), Cool-Water Carbonates, SEPM Spec. Pub., vol. 56, pp. 309–325.</w:t>
      </w:r>
    </w:p>
    <w:p w14:paraId="432035A5" w14:textId="77777777" w:rsidR="00CF7124" w:rsidRDefault="001578E5">
      <w:pPr>
        <w:spacing w:after="4" w:line="269" w:lineRule="auto"/>
        <w:ind w:left="234" w:hanging="249"/>
      </w:pPr>
      <w:r>
        <w:rPr>
          <w:sz w:val="16"/>
        </w:rPr>
        <w:t>Carannante, G., Ruberti, D., Sirna, M., 2000. Upper Cretaceous ramp limestones from</w:t>
      </w:r>
      <w:r>
        <w:rPr>
          <w:sz w:val="16"/>
        </w:rPr>
        <w:t xml:space="preserve"> the Sorrento Peninsula (southern Apennines, Italy): micro- and macrofossil associations and their significance in the depositional sequences. Sediment. Geol. 132, 89–123.</w:t>
      </w:r>
    </w:p>
    <w:p w14:paraId="45B6CFE9" w14:textId="77777777" w:rsidR="00CF7124" w:rsidRDefault="001578E5">
      <w:pPr>
        <w:spacing w:after="4" w:line="269" w:lineRule="auto"/>
        <w:ind w:left="234" w:hanging="249"/>
      </w:pPr>
      <w:r>
        <w:rPr>
          <w:sz w:val="16"/>
        </w:rPr>
        <w:t>D’Argenio, B., Amodio, S., Ferreri, F., Pelosi, N., 1997. Hierarchy of high-frequency orbital cycles in Cretaceous carbonate platform strata. Sediment. Geol. 113, 169–193.</w:t>
      </w:r>
    </w:p>
    <w:p w14:paraId="1152F6BD" w14:textId="77777777" w:rsidR="00CF7124" w:rsidRDefault="001578E5">
      <w:pPr>
        <w:spacing w:after="4" w:line="269" w:lineRule="auto"/>
        <w:ind w:left="-15" w:firstLine="0"/>
      </w:pPr>
      <w:r>
        <w:rPr>
          <w:sz w:val="16"/>
        </w:rPr>
        <w:t>Drummond, C.N., Wilkinson, B.H., 1993. Carbonate cycle stacking patterns and hierarc</w:t>
      </w:r>
      <w:r>
        <w:rPr>
          <w:sz w:val="16"/>
        </w:rPr>
        <w:t>hies of orbitally forced eustatic sealevel change. J. Sediment. Petrol. 63 (3), 369–377. Fagerstrom, J.A., 1987. The Evolution of Reef Communities. John Wiley and Sons, New York.</w:t>
      </w:r>
    </w:p>
    <w:p w14:paraId="36D06303" w14:textId="77777777" w:rsidR="00CF7124" w:rsidRDefault="001578E5">
      <w:pPr>
        <w:spacing w:after="4" w:line="269" w:lineRule="auto"/>
        <w:ind w:left="234" w:hanging="249"/>
      </w:pPr>
      <w:r>
        <w:rPr>
          <w:sz w:val="16"/>
        </w:rPr>
        <w:t>Fenerci-Masse, M., Masse, J.P., Chazottes, V., 2004. Quantitative analysis of</w:t>
      </w:r>
      <w:r>
        <w:rPr>
          <w:sz w:val="16"/>
        </w:rPr>
        <w:t xml:space="preserve"> rudist assemblages: a key for palaeocommunity reconstructions. The Late Barremian record from SE France. Palaeogeogr. Palaeoclim. Palaeoecol. 206, 133–147.</w:t>
      </w:r>
    </w:p>
    <w:p w14:paraId="73734653" w14:textId="77777777" w:rsidR="00CF7124" w:rsidRDefault="001578E5">
      <w:pPr>
        <w:spacing w:after="4" w:line="269" w:lineRule="auto"/>
        <w:ind w:left="234" w:hanging="249"/>
      </w:pPr>
      <w:r>
        <w:rPr>
          <w:sz w:val="16"/>
        </w:rPr>
        <w:t>Fenerci-Masse, M., Masse, J.P., Pernarcic, E., 2005. Quantitative stratigraphy of rudist limestones</w:t>
      </w:r>
      <w:r>
        <w:rPr>
          <w:sz w:val="16"/>
        </w:rPr>
        <w:t xml:space="preserve"> and its bearing on spatial organisation of rudist communities: The Late Barremian, Urgonian, sequences of Provence (S. E. France). Palaeogeogr. Palaeoclim. Palaeoecol. 215, 265–284.</w:t>
      </w:r>
    </w:p>
    <w:p w14:paraId="285DCEFF" w14:textId="77777777" w:rsidR="00CF7124" w:rsidRDefault="001578E5">
      <w:pPr>
        <w:spacing w:after="4" w:line="269" w:lineRule="auto"/>
        <w:ind w:left="234" w:hanging="249"/>
      </w:pPr>
      <w:r>
        <w:rPr>
          <w:sz w:val="16"/>
        </w:rPr>
        <w:t>Gabrie´, C., Montaggioni, L., 1982. Sedimentary facies from the modern co</w:t>
      </w:r>
      <w:r>
        <w:rPr>
          <w:sz w:val="16"/>
        </w:rPr>
        <w:t>ral reefs, Jordan Gulf of Aqaba. Red Sea. Coral Reefs 1, 115–124.</w:t>
      </w:r>
    </w:p>
    <w:p w14:paraId="31DAD565" w14:textId="77777777" w:rsidR="00CF7124" w:rsidRDefault="001578E5">
      <w:pPr>
        <w:spacing w:after="4" w:line="269" w:lineRule="auto"/>
        <w:ind w:left="234" w:hanging="249"/>
      </w:pPr>
      <w:r>
        <w:rPr>
          <w:sz w:val="16"/>
        </w:rPr>
        <w:t>Gili, E., 1992. Palaeoecological significance of rudist constructions: a case study from Les Collades de Basturs (Upper Cretaceous, South-Central pyrenees). Geol. Rom. 28, 319–325.</w:t>
      </w:r>
    </w:p>
    <w:p w14:paraId="3339457B" w14:textId="77777777" w:rsidR="00CF7124" w:rsidRDefault="001578E5">
      <w:pPr>
        <w:spacing w:after="4" w:line="269" w:lineRule="auto"/>
        <w:ind w:left="234" w:hanging="249"/>
      </w:pPr>
      <w:r>
        <w:rPr>
          <w:sz w:val="16"/>
        </w:rPr>
        <w:t>Gili, E.,</w:t>
      </w:r>
      <w:r>
        <w:rPr>
          <w:sz w:val="16"/>
        </w:rPr>
        <w:t xml:space="preserve"> Skelton, P.W., 2000. Factors regulating the development of elevator rudist congregations. In: Insalaco, E., Skelton, P.W., Palmer, T.J. (Eds.), Carbonate Platform Systems: Components and Interactions, Geol. Soc. London Spec. </w:t>
      </w:r>
      <w:proofErr w:type="gramStart"/>
      <w:r>
        <w:rPr>
          <w:sz w:val="16"/>
        </w:rPr>
        <w:t>Pub.,vol.</w:t>
      </w:r>
      <w:proofErr w:type="gramEnd"/>
      <w:r>
        <w:rPr>
          <w:sz w:val="16"/>
        </w:rPr>
        <w:t xml:space="preserve"> 178, pp. 109–116.</w:t>
      </w:r>
    </w:p>
    <w:p w14:paraId="372B4598" w14:textId="77777777" w:rsidR="00CF7124" w:rsidRDefault="001578E5">
      <w:pPr>
        <w:spacing w:after="4" w:line="269" w:lineRule="auto"/>
        <w:ind w:left="234" w:hanging="249"/>
      </w:pPr>
      <w:r>
        <w:rPr>
          <w:sz w:val="16"/>
        </w:rPr>
        <w:t>Gi</w:t>
      </w:r>
      <w:r>
        <w:rPr>
          <w:sz w:val="16"/>
        </w:rPr>
        <w:t>li, E., Masse, J.P., Skelton, P.W., 1995. Rudists as gregarious sediment dwellers, not reef-builders. Palaeogeogr. Palaeoclim. Palaeoecol. 118, 245–267.</w:t>
      </w:r>
    </w:p>
    <w:p w14:paraId="12199DC1" w14:textId="77777777" w:rsidR="00CF7124" w:rsidRDefault="001578E5">
      <w:pPr>
        <w:spacing w:after="4" w:line="269" w:lineRule="auto"/>
        <w:ind w:left="234" w:hanging="249"/>
      </w:pPr>
      <w:r>
        <w:rPr>
          <w:sz w:val="16"/>
        </w:rPr>
        <w:t>Ginsburg, R.N., 1956. Environmental relationships of grain size and constituent particles in some south</w:t>
      </w:r>
      <w:r>
        <w:rPr>
          <w:sz w:val="16"/>
        </w:rPr>
        <w:t xml:space="preserve"> Florida carbonate sediments. Am. Assoc. Pet. Geol. bull. 40 (10), 2384–2427.</w:t>
      </w:r>
    </w:p>
    <w:p w14:paraId="7BC5BE2A" w14:textId="77777777" w:rsidR="00CF7124" w:rsidRDefault="001578E5">
      <w:pPr>
        <w:spacing w:after="4" w:line="269" w:lineRule="auto"/>
        <w:ind w:left="234" w:hanging="249"/>
      </w:pPr>
      <w:r>
        <w:rPr>
          <w:sz w:val="16"/>
        </w:rPr>
        <w:t>Goldhammer, R.K., Dunn, P.A., Hardie, L.A., 1987. High frequency glacio-eustatic sealevel oscillations with Milankovitch characteristics recorded in Middle Triassic platform carb</w:t>
      </w:r>
      <w:r>
        <w:rPr>
          <w:sz w:val="16"/>
        </w:rPr>
        <w:t>onates in Northern Italy. Am. J. Sci. 287, 853–892.</w:t>
      </w:r>
    </w:p>
    <w:p w14:paraId="6C1D5547" w14:textId="77777777" w:rsidR="00CF7124" w:rsidRDefault="001578E5">
      <w:pPr>
        <w:spacing w:after="4" w:line="269" w:lineRule="auto"/>
        <w:ind w:left="234" w:hanging="249"/>
      </w:pPr>
      <w:r>
        <w:rPr>
          <w:sz w:val="16"/>
        </w:rPr>
        <w:t>Goldhammer, R.K., Dunn, P.A., Hardie, L.A., 1990. Depositional cycles, composite sealevel changes, cycle stacking patterns, and the hierarchy of stratigraphic forcing: examples from Alpine Triassic platfo</w:t>
      </w:r>
      <w:r>
        <w:rPr>
          <w:sz w:val="16"/>
        </w:rPr>
        <w:t>rm carbonates. Geol. Soc. Am. Bull. 102, 535–562.</w:t>
      </w:r>
    </w:p>
    <w:p w14:paraId="3C5D8718" w14:textId="77777777" w:rsidR="00CF7124" w:rsidRDefault="001578E5">
      <w:pPr>
        <w:spacing w:after="4" w:line="269" w:lineRule="auto"/>
        <w:ind w:left="234" w:hanging="249"/>
      </w:pPr>
      <w:r>
        <w:rPr>
          <w:sz w:val="16"/>
        </w:rPr>
        <w:t>Go¨tz, S., 2003. Larval settlement and ontogenetic development of Hippuritella vasseuri (Douville´) (Hippuritoidea, Bivalvia). Geol. Croat. 56/2, 123–131.</w:t>
      </w:r>
    </w:p>
    <w:p w14:paraId="6B1478C3" w14:textId="77777777" w:rsidR="00CF7124" w:rsidRDefault="001578E5">
      <w:pPr>
        <w:spacing w:after="4" w:line="269" w:lineRule="auto"/>
        <w:ind w:left="234" w:hanging="249"/>
      </w:pPr>
      <w:r>
        <w:rPr>
          <w:sz w:val="16"/>
        </w:rPr>
        <w:t>Grosheny, D., Philip, J., 1989. Dynamique biose´dimentaire de bancs a` rudistes dans un environnement pe´ridelta¨</w:t>
      </w:r>
      <w:proofErr w:type="gramStart"/>
      <w:r>
        <w:rPr>
          <w:sz w:val="16"/>
        </w:rPr>
        <w:t>ıque :</w:t>
      </w:r>
      <w:proofErr w:type="gramEnd"/>
      <w:r>
        <w:rPr>
          <w:sz w:val="16"/>
        </w:rPr>
        <w:t xml:space="preserve"> la Formation de La Cadie`re d’Azur (Santonien, SE France). Bull. Soc. Geol. Fr. 8 (6), 1253–1269.</w:t>
      </w:r>
    </w:p>
    <w:p w14:paraId="0B69B0E7" w14:textId="77777777" w:rsidR="00CF7124" w:rsidRDefault="001578E5">
      <w:pPr>
        <w:spacing w:after="4" w:line="269" w:lineRule="auto"/>
        <w:ind w:left="234" w:hanging="249"/>
      </w:pPr>
      <w:r>
        <w:rPr>
          <w:sz w:val="16"/>
        </w:rPr>
        <w:t>Haas, J., 1994. Lofer cycles of the Up</w:t>
      </w:r>
      <w:r>
        <w:rPr>
          <w:sz w:val="16"/>
        </w:rPr>
        <w:t>per Triassic Dachstein platform in the Transdanubian Mid-Mountains, Hungary. In: De Boer, P.L., Smith, D.G. (Eds.), Orbital Forcing and Cyclic Sequences, Int. Assoc. Sedimentol., Spec. Pub., vol. 19, pp. 303–322.</w:t>
      </w:r>
    </w:p>
    <w:p w14:paraId="70B43C4C" w14:textId="77777777" w:rsidR="00CF7124" w:rsidRDefault="001578E5">
      <w:pPr>
        <w:spacing w:after="4" w:line="269" w:lineRule="auto"/>
        <w:ind w:left="234" w:hanging="249"/>
      </w:pPr>
      <w:r>
        <w:rPr>
          <w:sz w:val="16"/>
        </w:rPr>
        <w:t>Hardenbol, J., Thierry, J., Farley, M.B., J</w:t>
      </w:r>
      <w:r>
        <w:rPr>
          <w:sz w:val="16"/>
        </w:rPr>
        <w:t>acquin, Th., de Graciansky, P.C., Vail, P.V., 1998. Mesozoic and Cenozoic sequence chronostratigraphic framework of European Basins. Charts. In: De Graciansky, P.C., Hardenbol, J., Jacquin, Th., Vail, P.V. (Eds.), Mesozoic and Cenozoic Sequence Stratigraph</w:t>
      </w:r>
      <w:r>
        <w:rPr>
          <w:sz w:val="16"/>
        </w:rPr>
        <w:t>y of European Basins, SEPM, Spec. Pub., vol. 60, pp. 3–15.</w:t>
      </w:r>
    </w:p>
    <w:p w14:paraId="4D7A1A28" w14:textId="77777777" w:rsidR="00CF7124" w:rsidRDefault="001578E5">
      <w:pPr>
        <w:spacing w:after="4" w:line="269" w:lineRule="auto"/>
        <w:ind w:left="234" w:hanging="249"/>
      </w:pPr>
      <w:r>
        <w:rPr>
          <w:sz w:val="16"/>
        </w:rPr>
        <w:t>Hubbard, D.K., Gill, J.P., Burke, R.B., 2001. The role of framework in modern reefs and its application to ancient systems. In: Stanley, G.D. (Ed.), The History and Sedimentology of Ancient Reef Sy</w:t>
      </w:r>
      <w:r>
        <w:rPr>
          <w:sz w:val="16"/>
        </w:rPr>
        <w:t>stems, Topics in Geobiology, vol. 17, pp. 351–386.</w:t>
      </w:r>
    </w:p>
    <w:p w14:paraId="604A55C2" w14:textId="77777777" w:rsidR="00CF7124" w:rsidRDefault="001578E5">
      <w:pPr>
        <w:spacing w:after="4" w:line="269" w:lineRule="auto"/>
        <w:ind w:left="234" w:hanging="249"/>
      </w:pPr>
      <w:r>
        <w:rPr>
          <w:sz w:val="16"/>
        </w:rPr>
        <w:t xml:space="preserve">Hunt, D., Allsop, T., Swarbrick, R., 1995. Compaction as a primary control on the architecture and development of depositional sequences: conceptual framework, </w:t>
      </w:r>
      <w:proofErr w:type="gramStart"/>
      <w:r>
        <w:rPr>
          <w:sz w:val="16"/>
        </w:rPr>
        <w:t>applications</w:t>
      </w:r>
      <w:proofErr w:type="gramEnd"/>
      <w:r>
        <w:rPr>
          <w:sz w:val="16"/>
        </w:rPr>
        <w:t xml:space="preserve"> and implications. In: Howell, J.</w:t>
      </w:r>
      <w:r>
        <w:rPr>
          <w:sz w:val="16"/>
        </w:rPr>
        <w:t>, Aitken, J.F. (Eds.), High Resolution Sequence Stratigraphy: Innovations and Applications, Geol. Soc. London Spec. Publ., vol. 104, pp. 321–345.</w:t>
      </w:r>
    </w:p>
    <w:p w14:paraId="1EC8DC87" w14:textId="77777777" w:rsidR="00CF7124" w:rsidRDefault="001578E5">
      <w:pPr>
        <w:spacing w:after="4" w:line="269" w:lineRule="auto"/>
        <w:ind w:left="234" w:hanging="249"/>
      </w:pPr>
      <w:r>
        <w:rPr>
          <w:sz w:val="16"/>
        </w:rPr>
        <w:t>Johnson, C.C., Kauffman, E.G., 2001. Cretaceous evolution of reef ecosystems; a regional synthesis of the cari</w:t>
      </w:r>
      <w:r>
        <w:rPr>
          <w:sz w:val="16"/>
        </w:rPr>
        <w:t>bbean tropics. In: Stanley, G.D. (Ed.), The History and Sedimentology of Ancient Reef Systems, Topics in Geobiology, vol. 17, pp. 311–349.</w:t>
      </w:r>
    </w:p>
    <w:p w14:paraId="1AC0F3D9" w14:textId="77777777" w:rsidR="00CF7124" w:rsidRDefault="001578E5">
      <w:pPr>
        <w:spacing w:after="4" w:line="269" w:lineRule="auto"/>
        <w:ind w:left="234" w:hanging="249"/>
      </w:pPr>
      <w:r>
        <w:rPr>
          <w:sz w:val="16"/>
        </w:rPr>
        <w:t>Kauffman, E.G., Johnson, C.C., 1988. The morphological and ecological evolution of middle and Upper Cretaceous reef-b</w:t>
      </w:r>
      <w:r>
        <w:rPr>
          <w:sz w:val="16"/>
        </w:rPr>
        <w:t>uilding rudists. Palaios 3, 194–216.</w:t>
      </w:r>
    </w:p>
    <w:p w14:paraId="77578646" w14:textId="77777777" w:rsidR="00CF7124" w:rsidRDefault="001578E5">
      <w:pPr>
        <w:spacing w:after="4" w:line="269" w:lineRule="auto"/>
        <w:ind w:left="234" w:hanging="249"/>
      </w:pPr>
      <w:r>
        <w:rPr>
          <w:sz w:val="16"/>
        </w:rPr>
        <w:lastRenderedPageBreak/>
        <w:t>Kidwell, S.M., Behrensmeyer, A.K., 1993. Taphonomic approaches to time resolution of fossil assemblages. Short Courses in Palaeontology vol. 6. The Palaeontological Soc., Knoxville, Tenn. 302 pp.</w:t>
      </w:r>
    </w:p>
    <w:p w14:paraId="73C71F57" w14:textId="77777777" w:rsidR="00CF7124" w:rsidRDefault="001578E5">
      <w:pPr>
        <w:spacing w:after="4" w:line="269" w:lineRule="auto"/>
        <w:ind w:left="234" w:hanging="249"/>
      </w:pPr>
      <w:r>
        <w:rPr>
          <w:sz w:val="16"/>
        </w:rPr>
        <w:t>Kinsey, D.W., 1983. Sta</w:t>
      </w:r>
      <w:r>
        <w:rPr>
          <w:sz w:val="16"/>
        </w:rPr>
        <w:t>ndards of performance in coral reef primary production and carbon turnover. In: Barnes, D.J. (Ed.), Perspectives on Coral Reefs, Australian Inst. Mar. Sci., pp. 209–220.</w:t>
      </w:r>
    </w:p>
    <w:p w14:paraId="390A4CCF" w14:textId="77777777" w:rsidR="00CF7124" w:rsidRDefault="001578E5">
      <w:pPr>
        <w:spacing w:after="4" w:line="269" w:lineRule="auto"/>
        <w:ind w:left="234" w:hanging="249"/>
      </w:pPr>
      <w:r>
        <w:rPr>
          <w:sz w:val="16"/>
        </w:rPr>
        <w:t xml:space="preserve">Maiklem, W.R., 1970. Carbonate sediments in the Capricorn reef complex, Great barrier </w:t>
      </w:r>
      <w:r>
        <w:rPr>
          <w:sz w:val="16"/>
        </w:rPr>
        <w:t>reef, Autralia. J. Sediment. Petrol. 40 (1), 55–80.</w:t>
      </w:r>
    </w:p>
    <w:p w14:paraId="5B3172F2" w14:textId="77777777" w:rsidR="00CF7124" w:rsidRDefault="001578E5">
      <w:pPr>
        <w:spacing w:after="4" w:line="269" w:lineRule="auto"/>
        <w:ind w:left="-15" w:firstLine="0"/>
      </w:pPr>
      <w:r>
        <w:rPr>
          <w:sz w:val="16"/>
        </w:rPr>
        <w:t>Masse, J.P., 1966. Sur la pre´sence en Basse Provence d’un niveau a`</w:t>
      </w:r>
    </w:p>
    <w:p w14:paraId="13138E46" w14:textId="77777777" w:rsidR="00CF7124" w:rsidRDefault="001578E5">
      <w:pPr>
        <w:spacing w:after="4" w:line="269" w:lineRule="auto"/>
        <w:ind w:left="239" w:firstLine="0"/>
      </w:pPr>
      <w:r>
        <w:rPr>
          <w:sz w:val="16"/>
        </w:rPr>
        <w:t>Favreina aff. salevensis (Parejas) a` la limite Barremien–Aptien. C. R. Somm. Seances Soc. Geol. Fr., 298–300.</w:t>
      </w:r>
    </w:p>
    <w:p w14:paraId="7045DD88" w14:textId="77777777" w:rsidR="00CF7124" w:rsidRDefault="001578E5">
      <w:pPr>
        <w:spacing w:after="4" w:line="269" w:lineRule="auto"/>
        <w:ind w:left="234" w:hanging="249"/>
      </w:pPr>
      <w:r>
        <w:rPr>
          <w:sz w:val="16"/>
        </w:rPr>
        <w:t>Masse, J.P., 1976. Les c</w:t>
      </w:r>
      <w:r>
        <w:rPr>
          <w:sz w:val="16"/>
        </w:rPr>
        <w:t>alcaires urgoniens de Provence. Stratigraphie, Pale´ontologie, les pale´oenvironnements et leur e´volution. The`se, univ. Aix Marseille II. 445 pp.</w:t>
      </w:r>
    </w:p>
    <w:p w14:paraId="43509CE6" w14:textId="77777777" w:rsidR="00CF7124" w:rsidRDefault="001578E5">
      <w:pPr>
        <w:spacing w:after="4" w:line="269" w:lineRule="auto"/>
        <w:ind w:left="234" w:hanging="249"/>
      </w:pPr>
      <w:r>
        <w:rPr>
          <w:sz w:val="16"/>
        </w:rPr>
        <w:t>Masse, J.P., 1993. Early Cretaceous Dasycladales biostratigraphy from Provence and adjacent regions (South o</w:t>
      </w:r>
      <w:r>
        <w:rPr>
          <w:sz w:val="16"/>
        </w:rPr>
        <w:t>f France, Switzerland, Spain). A reference for Mesogean correlations. Boll. Soc. Paleontol. Ital., Spec., vol. 1, 311–324.</w:t>
      </w:r>
    </w:p>
    <w:p w14:paraId="069FEC04" w14:textId="77777777" w:rsidR="00CF7124" w:rsidRDefault="001578E5">
      <w:pPr>
        <w:spacing w:after="4" w:line="269" w:lineRule="auto"/>
        <w:ind w:left="234" w:hanging="249"/>
      </w:pPr>
      <w:r>
        <w:rPr>
          <w:sz w:val="16"/>
        </w:rPr>
        <w:t xml:space="preserve">Masse, J.P., Philip, J., 1981. Cretaceous coral-rudist buildups of France. In: Toomey, D.F. (Ed.), European Fossil Reef Models, SEPM </w:t>
      </w:r>
      <w:r>
        <w:rPr>
          <w:sz w:val="16"/>
        </w:rPr>
        <w:t>Spec. Pub., vol. 30, pp. 399–426.</w:t>
      </w:r>
    </w:p>
    <w:p w14:paraId="402DFB5E" w14:textId="77777777" w:rsidR="00CF7124" w:rsidRDefault="001578E5">
      <w:pPr>
        <w:spacing w:after="4" w:line="269" w:lineRule="auto"/>
        <w:ind w:left="234" w:hanging="249"/>
      </w:pPr>
      <w:r>
        <w:rPr>
          <w:sz w:val="16"/>
        </w:rPr>
        <w:t>Masse, J.P., Froget, C.H., 1984. Les environnements se´dimentaires bioclastiques du Grand-re´cif de Tule´ar (S.O. de Madagascar, Oce´an Indien). 5th European regional Meeting of Sedimentologists, 270–271.</w:t>
      </w:r>
    </w:p>
    <w:p w14:paraId="3F111B8B" w14:textId="77777777" w:rsidR="00CF7124" w:rsidRDefault="001578E5">
      <w:pPr>
        <w:spacing w:after="4" w:line="269" w:lineRule="auto"/>
        <w:ind w:left="234" w:hanging="249"/>
      </w:pPr>
      <w:r>
        <w:rPr>
          <w:sz w:val="16"/>
        </w:rPr>
        <w:t>Masse, J.P., Mont</w:t>
      </w:r>
      <w:r>
        <w:rPr>
          <w:sz w:val="16"/>
        </w:rPr>
        <w:t>aggioni, L., 2000. Growth history of shallow-water carbonates: control of accommodation on ecological and depositional processes. Int. J. Earth Sci. 90, 452–469.</w:t>
      </w:r>
    </w:p>
    <w:p w14:paraId="0E5A6789" w14:textId="77777777" w:rsidR="00CF7124" w:rsidRDefault="001578E5">
      <w:pPr>
        <w:spacing w:after="4" w:line="269" w:lineRule="auto"/>
        <w:ind w:left="234" w:hanging="249"/>
      </w:pPr>
      <w:r>
        <w:rPr>
          <w:sz w:val="16"/>
        </w:rPr>
        <w:t>Masse, J.P., Thomassin, B.A, Acquaviva, M., 1989. Bioclastic sedimentary environments of coral</w:t>
      </w:r>
      <w:r>
        <w:rPr>
          <w:sz w:val="16"/>
        </w:rPr>
        <w:t xml:space="preserve"> reefs and lagoon around Mayotte Island (Comoro Archipelago, Mozambique Channel, SW Indian Ocean). J. Coast. Res. 5 (3), 419–432.</w:t>
      </w:r>
    </w:p>
    <w:p w14:paraId="3D42A38C" w14:textId="77777777" w:rsidR="00CF7124" w:rsidRDefault="001578E5">
      <w:pPr>
        <w:spacing w:after="4" w:line="269" w:lineRule="auto"/>
        <w:ind w:left="234" w:hanging="249"/>
      </w:pPr>
      <w:r>
        <w:rPr>
          <w:sz w:val="16"/>
        </w:rPr>
        <w:t>Masse, J.P., Fenerci, M., Borgomano, J., 2001. Levelling patterns in peritidal carbonates, Late Barremian from Cassis (Marseil</w:t>
      </w:r>
      <w:r>
        <w:rPr>
          <w:sz w:val="16"/>
        </w:rPr>
        <w:t>le region, SE France), Anatomic implications. Ge´ol. Me´diterr. 28 (1– 2), 117–120.</w:t>
      </w:r>
    </w:p>
    <w:p w14:paraId="40891537" w14:textId="77777777" w:rsidR="00CF7124" w:rsidRDefault="001578E5">
      <w:pPr>
        <w:spacing w:after="4" w:line="269" w:lineRule="auto"/>
        <w:ind w:left="234" w:hanging="249"/>
      </w:pPr>
      <w:r>
        <w:rPr>
          <w:sz w:val="16"/>
        </w:rPr>
        <w:t>Masse, J.P., Fenerci, M., Pernarcic, E., 2003. Palaeobathymetric reconstruction of peritidal carbonates. The Late Barremian, Urgonian sequences of Provence (SE France). Pal</w:t>
      </w:r>
      <w:r>
        <w:rPr>
          <w:sz w:val="16"/>
        </w:rPr>
        <w:t>aeogeogr. Palaeoclim. Palaeoecol. 200, 65–81.</w:t>
      </w:r>
    </w:p>
    <w:p w14:paraId="65FFB346" w14:textId="77777777" w:rsidR="00CF7124" w:rsidRDefault="001578E5">
      <w:pPr>
        <w:spacing w:after="4" w:line="269" w:lineRule="auto"/>
        <w:ind w:left="234" w:hanging="249"/>
      </w:pPr>
      <w:r>
        <w:rPr>
          <w:sz w:val="16"/>
        </w:rPr>
        <w:t>Odum, E.P., 1971. Fundamentals of ecology. Saunders, Philadelphy and London, 3rd ed. 573 pp.</w:t>
      </w:r>
    </w:p>
    <w:p w14:paraId="1D8D6B89" w14:textId="77777777" w:rsidR="00CF7124" w:rsidRDefault="001578E5">
      <w:pPr>
        <w:spacing w:after="4" w:line="269" w:lineRule="auto"/>
        <w:ind w:left="234" w:hanging="249"/>
      </w:pPr>
      <w:r>
        <w:rPr>
          <w:sz w:val="16"/>
        </w:rPr>
        <w:t>Opdyke, N.B., Walker, J.C.G., 1992. Return to the coral-reef hypothesis: basin to shelf partitioning of CaCO</w:t>
      </w:r>
      <w:r>
        <w:rPr>
          <w:sz w:val="16"/>
          <w:vertAlign w:val="subscript"/>
        </w:rPr>
        <w:t xml:space="preserve">3 </w:t>
      </w:r>
      <w:r>
        <w:rPr>
          <w:sz w:val="16"/>
        </w:rPr>
        <w:t>and eff</w:t>
      </w:r>
      <w:r>
        <w:rPr>
          <w:sz w:val="16"/>
        </w:rPr>
        <w:t>ect on Holocene atmospheric CO</w:t>
      </w:r>
      <w:r>
        <w:rPr>
          <w:sz w:val="16"/>
          <w:vertAlign w:val="superscript"/>
        </w:rPr>
        <w:t>2</w:t>
      </w:r>
      <w:r>
        <w:rPr>
          <w:sz w:val="16"/>
        </w:rPr>
        <w:t>. Geology 20, 733–736.</w:t>
      </w:r>
    </w:p>
    <w:p w14:paraId="556317D9" w14:textId="77777777" w:rsidR="00CF7124" w:rsidRDefault="001578E5">
      <w:pPr>
        <w:spacing w:after="4" w:line="269" w:lineRule="auto"/>
        <w:ind w:left="234" w:hanging="249"/>
      </w:pPr>
      <w:r>
        <w:rPr>
          <w:sz w:val="16"/>
        </w:rPr>
        <w:t>Perry, C., Bertling, M., 2000. Spatial and temporal patterns of macroboring within Mesozoic and Cenozoic coral reef systems. In: Insalaco, E., Skelton, P.W., Palmer, T.J. (Eds.), Carbonate Platform Syst</w:t>
      </w:r>
      <w:r>
        <w:rPr>
          <w:sz w:val="16"/>
        </w:rPr>
        <w:t>ems: Components and Interactions, Geol. Soc. London, Spec. Pub., vol. 178, pp. 33–50.</w:t>
      </w:r>
    </w:p>
    <w:p w14:paraId="5596B8B2" w14:textId="77777777" w:rsidR="00CF7124" w:rsidRDefault="001578E5">
      <w:pPr>
        <w:spacing w:after="0" w:line="263" w:lineRule="auto"/>
        <w:ind w:left="234" w:right="-14" w:hanging="249"/>
        <w:jc w:val="left"/>
      </w:pPr>
      <w:r>
        <w:rPr>
          <w:sz w:val="16"/>
        </w:rPr>
        <w:t>Petta, T.J., 1977. Diagenesis and geochemistry of a Glen Rose patch reef complex, Bandera County, Texas. Cretaceous Carbonates of Texas and Mexico, Report on Investigations, vol. 89. Bureau of Economic Geology, Austin, Texas, pp. 138–167.</w:t>
      </w:r>
    </w:p>
    <w:p w14:paraId="12386ED7" w14:textId="77777777" w:rsidR="00CF7124" w:rsidRDefault="001578E5">
      <w:pPr>
        <w:spacing w:after="4" w:line="269" w:lineRule="auto"/>
        <w:ind w:left="-15" w:firstLine="0"/>
      </w:pPr>
      <w:r>
        <w:rPr>
          <w:sz w:val="16"/>
        </w:rPr>
        <w:t xml:space="preserve">Peyrot-Clausade, </w:t>
      </w:r>
      <w:r>
        <w:rPr>
          <w:sz w:val="16"/>
        </w:rPr>
        <w:t xml:space="preserve">M., Chazottes, V., 2000. La bioe´rosion re´cifale et son roˆle dans la se´dimentogene`se a` Moore´a (Polyne´sie franc¸aise) </w:t>
      </w:r>
      <w:r>
        <w:rPr>
          <w:sz w:val="16"/>
        </w:rPr>
        <w:t>et a` La Re´union. Oce´anis 26 (3), 275–309. Purdy, E.G., 1963. Recent calcium carbonate facies of the Great Bahama Bank: Part 2. J.</w:t>
      </w:r>
      <w:r>
        <w:rPr>
          <w:sz w:val="16"/>
        </w:rPr>
        <w:t xml:space="preserve"> Geol. 71, 472–497.</w:t>
      </w:r>
    </w:p>
    <w:p w14:paraId="1A00F058" w14:textId="77777777" w:rsidR="00CF7124" w:rsidRDefault="001578E5">
      <w:pPr>
        <w:spacing w:after="4" w:line="269" w:lineRule="auto"/>
        <w:ind w:left="234" w:hanging="249"/>
      </w:pPr>
      <w:r>
        <w:rPr>
          <w:sz w:val="16"/>
        </w:rPr>
        <w:t>Rauch, M., Steuber, T., 2002. Stable isotope sclerochronology of early Cretaceous requieniid rudists. 6th Int. Congr. Rudists, Rovinj 2002. Abstracts and Excursion Guidebook, p. 56.</w:t>
      </w:r>
    </w:p>
    <w:p w14:paraId="31112953" w14:textId="77777777" w:rsidR="00CF7124" w:rsidRDefault="001578E5">
      <w:pPr>
        <w:spacing w:after="4" w:line="269" w:lineRule="auto"/>
        <w:ind w:left="234" w:hanging="249"/>
      </w:pPr>
      <w:r>
        <w:rPr>
          <w:sz w:val="16"/>
        </w:rPr>
        <w:t>Rees, S.A., Opdyke, B.N., Wilson, P.A., Fifield, K., 2</w:t>
      </w:r>
      <w:r>
        <w:rPr>
          <w:sz w:val="16"/>
        </w:rPr>
        <w:t>005. Coral reef sedimentation on Rodrigues and Indian Ocean and its impact on the carbon cycle. Philos. Trans. R. Soc. London 363, 101–120.</w:t>
      </w:r>
    </w:p>
    <w:p w14:paraId="7A6B2852" w14:textId="77777777" w:rsidR="00CF7124" w:rsidRDefault="001578E5">
      <w:pPr>
        <w:spacing w:after="4" w:line="269" w:lineRule="auto"/>
        <w:ind w:left="234" w:hanging="249"/>
      </w:pPr>
      <w:r>
        <w:rPr>
          <w:sz w:val="16"/>
        </w:rPr>
        <w:t>Richard, G., 1982. Mollusques lagunaires et re´cifaux de Polyne´sie franc¸aise. Inventaire faunistique, bionomie, bi</w:t>
      </w:r>
      <w:r>
        <w:rPr>
          <w:sz w:val="16"/>
        </w:rPr>
        <w:t>lan quantitatif, croissance, production. The`se, Univ. P. et M. Curie, Paris VI. 312 pp.</w:t>
      </w:r>
    </w:p>
    <w:p w14:paraId="7BF6C374" w14:textId="77777777" w:rsidR="00CF7124" w:rsidRDefault="001578E5">
      <w:pPr>
        <w:spacing w:after="4" w:line="269" w:lineRule="auto"/>
        <w:ind w:left="234" w:hanging="249"/>
      </w:pPr>
      <w:r>
        <w:rPr>
          <w:sz w:val="16"/>
        </w:rPr>
        <w:t xml:space="preserve">Richard, G., 1985. Richness of the great sessile Bivalves in Takapoto lagoon. In: Salvat, B., Richard, G. (Eds.), Atoll de Takapoto, Archipel des Tuamotu. Field Trip, </w:t>
      </w:r>
      <w:r>
        <w:rPr>
          <w:sz w:val="16"/>
        </w:rPr>
        <w:t>5</w:t>
      </w:r>
      <w:r>
        <w:rPr>
          <w:sz w:val="16"/>
          <w:vertAlign w:val="superscript"/>
        </w:rPr>
        <w:t xml:space="preserve">eme </w:t>
      </w:r>
      <w:r>
        <w:rPr>
          <w:sz w:val="16"/>
        </w:rPr>
        <w:t>Congre`s Int. Re´cifs coralliens, Tahiti, Polyne´sie Franc¸aise, vol. 1, pp. 368–371.</w:t>
      </w:r>
    </w:p>
    <w:p w14:paraId="44B5281C" w14:textId="77777777" w:rsidR="00CF7124" w:rsidRDefault="001578E5">
      <w:pPr>
        <w:spacing w:after="4" w:line="269" w:lineRule="auto"/>
        <w:ind w:left="234" w:hanging="249"/>
      </w:pPr>
      <w:r>
        <w:rPr>
          <w:sz w:val="16"/>
        </w:rPr>
        <w:t>Ropolo, P., Conte, G., Gonnet, R., Masse, J.P., Moullade, M., 1998. Les faunes d’ammonites du Barre´mien supe´rieur/Aptien infe´rieur (Be´doulien) dans la re´gion st</w:t>
      </w:r>
      <w:r>
        <w:rPr>
          <w:sz w:val="16"/>
        </w:rPr>
        <w:t>ratotypique de Cassis-La Be´doule (S.E. France): e´tat des connaissances et propositions pour une zonation par ammonites du Be´doulien type. Ge´ol. Me´diterr. 25 (3–4), 167–175.</w:t>
      </w:r>
    </w:p>
    <w:p w14:paraId="74D09475" w14:textId="77777777" w:rsidR="00CF7124" w:rsidRDefault="001578E5">
      <w:pPr>
        <w:spacing w:after="4" w:line="269" w:lineRule="auto"/>
        <w:ind w:left="234" w:hanging="249"/>
      </w:pPr>
      <w:r>
        <w:rPr>
          <w:sz w:val="16"/>
        </w:rPr>
        <w:t>Ross, D.J., Skelton, P.W., 1993. Rudist formations of the Cretaceous: a palaeo</w:t>
      </w:r>
      <w:r>
        <w:rPr>
          <w:sz w:val="16"/>
        </w:rPr>
        <w:t xml:space="preserve">ecological, </w:t>
      </w:r>
      <w:proofErr w:type="gramStart"/>
      <w:r>
        <w:rPr>
          <w:sz w:val="16"/>
        </w:rPr>
        <w:t>sedimentological</w:t>
      </w:r>
      <w:proofErr w:type="gramEnd"/>
      <w:r>
        <w:rPr>
          <w:sz w:val="16"/>
        </w:rPr>
        <w:t xml:space="preserve"> and stratigraphical review. In: Wright, V.P. (Ed.), Sedimentology Review/1. Blackwell, Oxford, pp. 73–91.</w:t>
      </w:r>
    </w:p>
    <w:p w14:paraId="00DC47FD" w14:textId="77777777" w:rsidR="00CF7124" w:rsidRDefault="001578E5">
      <w:pPr>
        <w:spacing w:after="4" w:line="269" w:lineRule="auto"/>
        <w:ind w:left="234" w:hanging="249"/>
      </w:pPr>
      <w:r>
        <w:rPr>
          <w:sz w:val="16"/>
        </w:rPr>
        <w:t>Ruberti, D., 1997. Facies analysis of an Upper Cretaceous highenergy rudist dominated carbonate ramp (Matese Mountains, c</w:t>
      </w:r>
      <w:r>
        <w:rPr>
          <w:sz w:val="16"/>
        </w:rPr>
        <w:t>entral-southern Italy): subtidal and peritidal cycles. Sediment. Geol. 113, 81–110.</w:t>
      </w:r>
    </w:p>
    <w:p w14:paraId="1DC27593" w14:textId="77777777" w:rsidR="00CF7124" w:rsidRDefault="001578E5">
      <w:pPr>
        <w:spacing w:after="4" w:line="269" w:lineRule="auto"/>
        <w:ind w:left="234" w:hanging="249"/>
      </w:pPr>
      <w:r>
        <w:rPr>
          <w:sz w:val="16"/>
        </w:rPr>
        <w:t>Sanders, D., 1999. Shell disintegration and taphonomic loss in rudist biostromes. Lethaia 32, 101–112.</w:t>
      </w:r>
    </w:p>
    <w:p w14:paraId="482558E0" w14:textId="77777777" w:rsidR="00CF7124" w:rsidRDefault="001578E5">
      <w:pPr>
        <w:spacing w:after="4" w:line="269" w:lineRule="auto"/>
        <w:ind w:left="234" w:hanging="249"/>
      </w:pPr>
      <w:r>
        <w:rPr>
          <w:sz w:val="16"/>
        </w:rPr>
        <w:t>Sandulli, R., 2004. The Barremian carbonate platform strata of the Montenegro Dinarids near Podgorica: a cyclostratigraphic study. Cretac. Res. 25, 951–967.</w:t>
      </w:r>
    </w:p>
    <w:p w14:paraId="5BCF71DC" w14:textId="77777777" w:rsidR="00CF7124" w:rsidRDefault="001578E5">
      <w:pPr>
        <w:spacing w:after="4" w:line="269" w:lineRule="auto"/>
        <w:ind w:left="234" w:hanging="249"/>
      </w:pPr>
      <w:r>
        <w:rPr>
          <w:sz w:val="16"/>
        </w:rPr>
        <w:t>Schulz, M., Scha¨fer-Neth, C., 1997. Translating Milankovitch climate forcing into eustatic fluctua</w:t>
      </w:r>
      <w:r>
        <w:rPr>
          <w:sz w:val="16"/>
        </w:rPr>
        <w:t xml:space="preserve">tions via thermal </w:t>
      </w:r>
      <w:proofErr w:type="gramStart"/>
      <w:r>
        <w:rPr>
          <w:sz w:val="16"/>
        </w:rPr>
        <w:t>deep water</w:t>
      </w:r>
      <w:proofErr w:type="gramEnd"/>
      <w:r>
        <w:rPr>
          <w:sz w:val="16"/>
        </w:rPr>
        <w:t xml:space="preserve"> expansion: a conceptual link. Terra Nova 9, 228–231.</w:t>
      </w:r>
    </w:p>
    <w:p w14:paraId="404FFD68" w14:textId="77777777" w:rsidR="00CF7124" w:rsidRDefault="001578E5">
      <w:pPr>
        <w:spacing w:after="4" w:line="269" w:lineRule="auto"/>
        <w:ind w:left="234" w:hanging="249"/>
      </w:pPr>
      <w:r>
        <w:rPr>
          <w:sz w:val="16"/>
        </w:rPr>
        <w:t>Scott, R.W., 1990. Models and stratigraphy of Mid-Cretaceous reef communities, Gulf of Mexico. Soc. sediment. Petrol. Concepts in Sedimentology and Palaeontology 2, 1–102.</w:t>
      </w:r>
    </w:p>
    <w:p w14:paraId="57B95B9E" w14:textId="77777777" w:rsidR="00CF7124" w:rsidRDefault="001578E5">
      <w:pPr>
        <w:spacing w:after="4" w:line="269" w:lineRule="auto"/>
        <w:ind w:left="234" w:hanging="249"/>
      </w:pPr>
      <w:r>
        <w:rPr>
          <w:sz w:val="16"/>
        </w:rPr>
        <w:t>Sc</w:t>
      </w:r>
      <w:r>
        <w:rPr>
          <w:sz w:val="16"/>
        </w:rPr>
        <w:t>ott, R.W., 1995. Global environmental controls on Cretaceous reefal ecosystems. In: Philip, J., Skelton, P.W. (Eds.), Palaeoenvironmental Models for the Benthic Associations of Cretaceous Carbonate Platforms in the Tethyan Realm, Palaeogeogr. Palaeoclimat.</w:t>
      </w:r>
      <w:r>
        <w:rPr>
          <w:sz w:val="16"/>
        </w:rPr>
        <w:t xml:space="preserve"> Palaeoecol., vol. 119, pp. 187–199.</w:t>
      </w:r>
    </w:p>
    <w:p w14:paraId="7CFC9842" w14:textId="77777777" w:rsidR="00CF7124" w:rsidRDefault="001578E5">
      <w:pPr>
        <w:spacing w:after="4" w:line="269" w:lineRule="auto"/>
        <w:ind w:left="234" w:hanging="249"/>
      </w:pPr>
      <w:r>
        <w:rPr>
          <w:sz w:val="16"/>
        </w:rPr>
        <w:t>Skelton, P.W., Masse, J.P., 2000. Synoptic guide to Lower Cretaceous rudist Bivalves of Arabia. Middle East Models of Jurassic/Cretaceous Carbonate systems. Soc. Econ. Palaeont. Mineral. Spec. Pub. 69, 89–99.</w:t>
      </w:r>
    </w:p>
    <w:p w14:paraId="016A1058" w14:textId="77777777" w:rsidR="00CF7124" w:rsidRDefault="001578E5">
      <w:pPr>
        <w:spacing w:after="4" w:line="269" w:lineRule="auto"/>
        <w:ind w:left="234" w:hanging="249"/>
      </w:pPr>
      <w:r>
        <w:rPr>
          <w:sz w:val="16"/>
        </w:rPr>
        <w:t>Skelton, P</w:t>
      </w:r>
      <w:r>
        <w:rPr>
          <w:sz w:val="16"/>
        </w:rPr>
        <w:t>.W., Gili, E., 2002. Palaeoecological classification of rudist morphotypes. Proc. 1st Int. Conf. rudists (Beograd, 1988</w:t>
      </w:r>
      <w:proofErr w:type="gramStart"/>
      <w:r>
        <w:rPr>
          <w:sz w:val="16"/>
        </w:rPr>
        <w:t>).</w:t>
      </w:r>
      <w:r>
        <w:rPr>
          <w:rFonts w:ascii="Calibri" w:eastAsia="Calibri" w:hAnsi="Calibri" w:cs="Calibri"/>
          <w:sz w:val="16"/>
        </w:rPr>
        <w:t>b</w:t>
      </w:r>
      <w:r>
        <w:rPr>
          <w:sz w:val="16"/>
        </w:rPr>
        <w:t>Rudists</w:t>
      </w:r>
      <w:r>
        <w:rPr>
          <w:rFonts w:ascii="Calibri" w:eastAsia="Calibri" w:hAnsi="Calibri" w:cs="Calibri"/>
          <w:sz w:val="16"/>
        </w:rPr>
        <w:t>Q</w:t>
      </w:r>
      <w:proofErr w:type="gramEnd"/>
      <w:r>
        <w:rPr>
          <w:sz w:val="16"/>
        </w:rPr>
        <w:t>, UGSY, Me´m. Pub., pp. 71–86.</w:t>
      </w:r>
    </w:p>
    <w:p w14:paraId="5D01B6E4" w14:textId="77777777" w:rsidR="00CF7124" w:rsidRDefault="001578E5">
      <w:pPr>
        <w:spacing w:after="4" w:line="269" w:lineRule="auto"/>
        <w:ind w:left="234" w:hanging="249"/>
      </w:pPr>
      <w:r>
        <w:rPr>
          <w:sz w:val="16"/>
        </w:rPr>
        <w:t>Smith, S.V., 1983. Coral reef calcification. In: Barnes, D.J. (Ed.), Perspectives on Coral Reef</w:t>
      </w:r>
      <w:r>
        <w:rPr>
          <w:sz w:val="16"/>
        </w:rPr>
        <w:t>s, Australian Inst. Mar. Sci., Brian Clouston, pp. 240–247.</w:t>
      </w:r>
    </w:p>
    <w:p w14:paraId="25D22824" w14:textId="77777777" w:rsidR="00CF7124" w:rsidRDefault="001578E5">
      <w:pPr>
        <w:spacing w:after="4" w:line="269" w:lineRule="auto"/>
        <w:ind w:left="234" w:hanging="249"/>
      </w:pPr>
      <w:r>
        <w:rPr>
          <w:sz w:val="16"/>
        </w:rPr>
        <w:t>Steuber, T., 1996. Stable isotope sclerochronology of rudist bivalves: growth rates and late Cretaceous seasonality. Geology 24, 315–318.</w:t>
      </w:r>
    </w:p>
    <w:p w14:paraId="0A5AADD2" w14:textId="77777777" w:rsidR="00CF7124" w:rsidRDefault="001578E5">
      <w:pPr>
        <w:spacing w:after="4" w:line="269" w:lineRule="auto"/>
        <w:ind w:left="234" w:hanging="249"/>
      </w:pPr>
      <w:r>
        <w:rPr>
          <w:sz w:val="16"/>
        </w:rPr>
        <w:lastRenderedPageBreak/>
        <w:t>Steuber, T., 1997. Hippuritid rudist bivalves in silicicla</w:t>
      </w:r>
      <w:r>
        <w:rPr>
          <w:sz w:val="16"/>
        </w:rPr>
        <w:t>stic settings— functional adaptations, growth rates and strategies. Proc. 8th Int. Coral Reef Sympos., 1761–1766.</w:t>
      </w:r>
    </w:p>
    <w:p w14:paraId="53CB025E" w14:textId="77777777" w:rsidR="00CF7124" w:rsidRDefault="001578E5">
      <w:pPr>
        <w:spacing w:after="4" w:line="269" w:lineRule="auto"/>
        <w:ind w:left="234" w:hanging="249"/>
      </w:pPr>
      <w:r>
        <w:rPr>
          <w:sz w:val="16"/>
        </w:rPr>
        <w:t>Steuber, T., 2000. Skeletal growth rates of Upper Cretaceous rudist bivalves: implications for carbonate production and organismenvironment fe</w:t>
      </w:r>
      <w:r>
        <w:rPr>
          <w:sz w:val="16"/>
        </w:rPr>
        <w:t>dbacks. In: Insalaco, E., Skelton, P.W., Palmer, T.J. (Eds.), Carbonate Platform Systems: Components and Interactions, Geol. Soc. London, Spec. Pub., vol. 178, pp. 21–32.</w:t>
      </w:r>
    </w:p>
    <w:p w14:paraId="2E26A904" w14:textId="77777777" w:rsidR="00CF7124" w:rsidRDefault="001578E5">
      <w:pPr>
        <w:spacing w:after="4" w:line="269" w:lineRule="auto"/>
        <w:ind w:left="234" w:hanging="249"/>
      </w:pPr>
      <w:r>
        <w:rPr>
          <w:sz w:val="16"/>
        </w:rPr>
        <w:t>Steuber, T., Lo¨ser, H., 2000. Species richness and abundance patterns of Tethyan Cre</w:t>
      </w:r>
      <w:r>
        <w:rPr>
          <w:sz w:val="16"/>
        </w:rPr>
        <w:t>taceous rudist bivalves (Mollusca: Hippuritacea) in the central-eastern Mediterranean and Middle East, analysed from a palaeontological data base. Palaeogeogr. Palaeoclimatol. Palaeoecol. 162, 75–104.</w:t>
      </w:r>
    </w:p>
    <w:p w14:paraId="1C2EC244" w14:textId="77777777" w:rsidR="00CF7124" w:rsidRDefault="001578E5">
      <w:pPr>
        <w:spacing w:after="4" w:line="269" w:lineRule="auto"/>
        <w:ind w:left="234" w:hanging="249"/>
      </w:pPr>
      <w:r>
        <w:rPr>
          <w:sz w:val="16"/>
        </w:rPr>
        <w:t xml:space="preserve">Steuber, T., Yilmaz, C., Lo¨ser, H., 1998. Growth rate </w:t>
      </w:r>
      <w:r>
        <w:rPr>
          <w:sz w:val="16"/>
        </w:rPr>
        <w:t>of early Campanian rudists in a siliciclastic-calcareous setting (Pontides Mounts, North-central Turkey). Geobios, Me´m. Spec. 22, 385–401.</w:t>
      </w:r>
    </w:p>
    <w:p w14:paraId="48DF6CF1" w14:textId="77777777" w:rsidR="00CF7124" w:rsidRDefault="001578E5">
      <w:pPr>
        <w:spacing w:after="4" w:line="269" w:lineRule="auto"/>
        <w:ind w:left="234" w:hanging="249"/>
      </w:pPr>
      <w:r>
        <w:rPr>
          <w:sz w:val="16"/>
        </w:rPr>
        <w:t>Sto¨ssel, I., Bernoulli, D., 2000. Rudist lithosome development on the Maiella carbonate platform margin. In: Insala</w:t>
      </w:r>
      <w:r>
        <w:rPr>
          <w:sz w:val="16"/>
        </w:rPr>
        <w:t>co, E., Skelton, P.W., Palmer, T.J. (Eds.), Carbonate Platform Systems: Components and Interactions, Geol. Soc. Spec. Pub., London, vol. 178, pp. 177–190.</w:t>
      </w:r>
    </w:p>
    <w:p w14:paraId="3E6322E8" w14:textId="77777777" w:rsidR="00CF7124" w:rsidRDefault="001578E5">
      <w:pPr>
        <w:spacing w:after="4" w:line="269" w:lineRule="auto"/>
        <w:ind w:left="234" w:hanging="249"/>
      </w:pPr>
      <w:r>
        <w:rPr>
          <w:sz w:val="16"/>
        </w:rPr>
        <w:t>Strasser, A., 1994. Milankovitch cyclicity and high-resolution sequence stratigraphy in lagoonal– peritidal carbonates (Upper Tithonian–Lower Berriasian, Swiss and French Jura Mountains). In: De Boer, P.L., Smith, D.G. (Eds.), Orbital Forcing and Cyclic Se</w:t>
      </w:r>
      <w:r>
        <w:rPr>
          <w:sz w:val="16"/>
        </w:rPr>
        <w:t>quences, Int. Assoc. Sedimentol., Spec. Pub., vol. 19, pp. 285–301.</w:t>
      </w:r>
    </w:p>
    <w:p w14:paraId="7C3EF173" w14:textId="77777777" w:rsidR="00CF7124" w:rsidRDefault="001578E5">
      <w:pPr>
        <w:spacing w:after="0" w:line="263" w:lineRule="auto"/>
        <w:ind w:left="234" w:right="-14" w:hanging="249"/>
        <w:jc w:val="left"/>
      </w:pPr>
      <w:r>
        <w:rPr>
          <w:sz w:val="16"/>
        </w:rPr>
        <w:t xml:space="preserve">Strasser, A., Samankassou, E., 2003. Carbonate sedimentation rates today and in the past: Holocene of Florida Bay, Bahamas, and Bermuda vs. Upper Jurassic and Lower Cretaceous of the Jura </w:t>
      </w:r>
      <w:r>
        <w:rPr>
          <w:sz w:val="16"/>
        </w:rPr>
        <w:t>Mountains (Switzerland and France). Geol. Croat. 56/1, 1–18.</w:t>
      </w:r>
    </w:p>
    <w:p w14:paraId="15C1BA72" w14:textId="77777777" w:rsidR="00CF7124" w:rsidRDefault="001578E5">
      <w:pPr>
        <w:spacing w:after="4" w:line="269" w:lineRule="auto"/>
        <w:ind w:left="234" w:hanging="249"/>
      </w:pPr>
      <w:r>
        <w:rPr>
          <w:sz w:val="16"/>
        </w:rPr>
        <w:t>Strasser, A., Hillgartner, H., Hug, W., Pittet, B., 2000. Third-order depositional sequences reflecting Milankovitch cyclicity. Terra Nova 12, 303–311.</w:t>
      </w:r>
    </w:p>
    <w:p w14:paraId="441A7005" w14:textId="77777777" w:rsidR="00CF7124" w:rsidRDefault="001578E5">
      <w:pPr>
        <w:spacing w:after="4" w:line="269" w:lineRule="auto"/>
        <w:ind w:left="234" w:hanging="249"/>
      </w:pPr>
      <w:r>
        <w:rPr>
          <w:sz w:val="16"/>
        </w:rPr>
        <w:t>Vilardell, O., Gili, E., 2003. Quantitative</w:t>
      </w:r>
      <w:r>
        <w:rPr>
          <w:sz w:val="16"/>
        </w:rPr>
        <w:t xml:space="preserve"> study of a hippuritid rudist lithosome in a Santonian carbonate platform in the southern Central Pyrenees. Palaeogeogr. Palaeoclimatol. Palaeoecol. 200, 31–41.</w:t>
      </w:r>
    </w:p>
    <w:sectPr w:rsidR="00CF7124">
      <w:type w:val="continuous"/>
      <w:pgSz w:w="10885" w:h="14854"/>
      <w:pgMar w:top="1434" w:right="735" w:bottom="1031" w:left="737" w:header="720" w:footer="720" w:gutter="0"/>
      <w:cols w:num="2" w:space="48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FDE63F" w14:textId="77777777" w:rsidR="00000000" w:rsidRDefault="001578E5">
      <w:pPr>
        <w:spacing w:after="0" w:line="240" w:lineRule="auto"/>
      </w:pPr>
      <w:r>
        <w:separator/>
      </w:r>
    </w:p>
  </w:endnote>
  <w:endnote w:type="continuationSeparator" w:id="0">
    <w:p w14:paraId="425135A8" w14:textId="77777777" w:rsidR="00000000" w:rsidRDefault="001578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BA616A" w14:textId="77777777" w:rsidR="00000000" w:rsidRDefault="001578E5">
      <w:pPr>
        <w:spacing w:after="0" w:line="240" w:lineRule="auto"/>
      </w:pPr>
      <w:r>
        <w:separator/>
      </w:r>
    </w:p>
  </w:footnote>
  <w:footnote w:type="continuationSeparator" w:id="0">
    <w:p w14:paraId="5E866C26" w14:textId="77777777" w:rsidR="00000000" w:rsidRDefault="001578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80B3C5" w14:textId="77777777" w:rsidR="00CF7124" w:rsidRDefault="001578E5">
    <w:pPr>
      <w:tabs>
        <w:tab w:val="center" w:pos="4749"/>
      </w:tabs>
      <w:spacing w:after="0" w:line="259" w:lineRule="auto"/>
      <w:ind w:firstLine="0"/>
      <w:jc w:val="left"/>
    </w:pPr>
    <w:r>
      <w:fldChar w:fldCharType="begin"/>
    </w:r>
    <w:r>
      <w:instrText xml:space="preserve"> PAGE   \* MERG</w:instrText>
    </w:r>
    <w:r>
      <w:instrText xml:space="preserve">EFORMAT </w:instrText>
    </w:r>
    <w:r>
      <w:fldChar w:fldCharType="separate"/>
    </w:r>
    <w:r>
      <w:rPr>
        <w:sz w:val="16"/>
      </w:rPr>
      <w:t>240</w:t>
    </w:r>
    <w:r>
      <w:rPr>
        <w:sz w:val="16"/>
      </w:rPr>
      <w:fldChar w:fldCharType="end"/>
    </w:r>
    <w:r>
      <w:rPr>
        <w:sz w:val="16"/>
      </w:rPr>
      <w:tab/>
    </w:r>
    <w:r>
      <w:rPr>
        <w:sz w:val="16"/>
      </w:rPr>
      <w:t>J.-P. Masse, M. Fenerci-Masse / Palaeogeography, Palaeoclimatology, Palaeoecology 234 (2006) 239–257</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9E1A2F" w14:textId="77777777" w:rsidR="00CF7124" w:rsidRDefault="001578E5">
    <w:pPr>
      <w:tabs>
        <w:tab w:val="center" w:pos="4663"/>
        <w:tab w:val="right" w:pos="9326"/>
      </w:tabs>
      <w:spacing w:after="0" w:line="259" w:lineRule="auto"/>
      <w:ind w:firstLine="0"/>
      <w:jc w:val="left"/>
    </w:pPr>
    <w:r>
      <w:rPr>
        <w:rFonts w:ascii="Calibri" w:eastAsia="Calibri" w:hAnsi="Calibri" w:cs="Calibri"/>
        <w:color w:val="000000"/>
        <w:sz w:val="22"/>
      </w:rPr>
      <w:tab/>
    </w:r>
    <w:r>
      <w:rPr>
        <w:sz w:val="16"/>
      </w:rPr>
      <w:t>J.-P. Masse, M. Fenerci-Masse / Palaeogeography, Palaeoclimatology, Palaeoecology 234 (2006) 239–257</w:t>
    </w:r>
    <w:r>
      <w:rPr>
        <w:sz w:val="16"/>
      </w:rPr>
      <w:tab/>
    </w:r>
    <w:r>
      <w:fldChar w:fldCharType="begin"/>
    </w:r>
    <w:r>
      <w:instrText xml:space="preserve"> PAGE   \* MERGEFORMAT </w:instrText>
    </w:r>
    <w:r>
      <w:fldChar w:fldCharType="separate"/>
    </w:r>
    <w:r>
      <w:rPr>
        <w:sz w:val="16"/>
      </w:rPr>
      <w:t>241</w:t>
    </w:r>
    <w:r>
      <w:rPr>
        <w:sz w:val="16"/>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B641CA" w14:textId="77777777" w:rsidR="00CF7124" w:rsidRDefault="00CF7124">
    <w:pPr>
      <w:spacing w:after="160" w:line="259" w:lineRule="auto"/>
      <w:ind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3080950"/>
    <w:multiLevelType w:val="hybridMultilevel"/>
    <w:tmpl w:val="DABE2392"/>
    <w:lvl w:ilvl="0" w:tplc="000E5AB4">
      <w:start w:val="3"/>
      <w:numFmt w:val="decimal"/>
      <w:lvlText w:val="%1."/>
      <w:lvlJc w:val="left"/>
      <w:pPr>
        <w:ind w:left="10"/>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1" w:tplc="18B417BA">
      <w:start w:val="1"/>
      <w:numFmt w:val="lowerLetter"/>
      <w:lvlText w:val="%2"/>
      <w:lvlJc w:val="left"/>
      <w:pPr>
        <w:ind w:left="1080"/>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2" w:tplc="94E46848">
      <w:start w:val="1"/>
      <w:numFmt w:val="lowerRoman"/>
      <w:lvlText w:val="%3"/>
      <w:lvlJc w:val="left"/>
      <w:pPr>
        <w:ind w:left="1800"/>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3" w:tplc="0C08E446">
      <w:start w:val="1"/>
      <w:numFmt w:val="decimal"/>
      <w:lvlText w:val="%4"/>
      <w:lvlJc w:val="left"/>
      <w:pPr>
        <w:ind w:left="2520"/>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4" w:tplc="DFC29DA6">
      <w:start w:val="1"/>
      <w:numFmt w:val="lowerLetter"/>
      <w:lvlText w:val="%5"/>
      <w:lvlJc w:val="left"/>
      <w:pPr>
        <w:ind w:left="3240"/>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5" w:tplc="73EED7F6">
      <w:start w:val="1"/>
      <w:numFmt w:val="lowerRoman"/>
      <w:lvlText w:val="%6"/>
      <w:lvlJc w:val="left"/>
      <w:pPr>
        <w:ind w:left="3960"/>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6" w:tplc="79B4718A">
      <w:start w:val="1"/>
      <w:numFmt w:val="decimal"/>
      <w:lvlText w:val="%7"/>
      <w:lvlJc w:val="left"/>
      <w:pPr>
        <w:ind w:left="4680"/>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7" w:tplc="54942A04">
      <w:start w:val="1"/>
      <w:numFmt w:val="lowerLetter"/>
      <w:lvlText w:val="%8"/>
      <w:lvlJc w:val="left"/>
      <w:pPr>
        <w:ind w:left="5400"/>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8" w:tplc="243A09C8">
      <w:start w:val="1"/>
      <w:numFmt w:val="lowerRoman"/>
      <w:lvlText w:val="%9"/>
      <w:lvlJc w:val="left"/>
      <w:pPr>
        <w:ind w:left="6120"/>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120"/>
  <w:mirrorMargins/>
  <w:bordersDoNotSurroundHeader/>
  <w:bordersDoNotSurroundFooter/>
  <w:proofState w:grammar="clean"/>
  <w:defaultTabStop w:val="4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7124"/>
    <w:rsid w:val="001578E5"/>
    <w:rsid w:val="00CF71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A1CD7"/>
  <w15:docId w15:val="{F7180AE5-2EDA-45D7-BEC8-3DDC08B07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3" w:line="260" w:lineRule="auto"/>
      <w:ind w:firstLine="229"/>
      <w:jc w:val="both"/>
    </w:pPr>
    <w:rPr>
      <w:rFonts w:ascii="Times New Roman" w:eastAsia="Times New Roman" w:hAnsi="Times New Roman" w:cs="Times New Roman"/>
      <w:color w:val="221F1F"/>
      <w:sz w:val="20"/>
    </w:rPr>
  </w:style>
  <w:style w:type="paragraph" w:styleId="1">
    <w:name w:val="heading 1"/>
    <w:next w:val="a"/>
    <w:link w:val="10"/>
    <w:uiPriority w:val="9"/>
    <w:qFormat/>
    <w:pPr>
      <w:keepNext/>
      <w:keepLines/>
      <w:spacing w:after="12" w:line="259" w:lineRule="auto"/>
      <w:ind w:right="1"/>
      <w:jc w:val="right"/>
      <w:outlineLvl w:val="0"/>
    </w:pPr>
    <w:rPr>
      <w:rFonts w:ascii="Calibri" w:eastAsia="Calibri" w:hAnsi="Calibri" w:cs="Calibri"/>
      <w:color w:val="221F1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rFonts w:ascii="Calibri" w:eastAsia="Calibri" w:hAnsi="Calibri" w:cs="Calibri"/>
      <w:color w:val="221F1F"/>
      <w:sz w:val="21"/>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jpg"/><Relationship Id="rId7" Type="http://schemas.openxmlformats.org/officeDocument/2006/relationships/image" Target="media/image1.png"/><Relationship Id="rId12" Type="http://schemas.openxmlformats.org/officeDocument/2006/relationships/header" Target="header3.xml"/><Relationship Id="rId17" Type="http://schemas.openxmlformats.org/officeDocument/2006/relationships/image" Target="media/image8.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9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14.jpg"/><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3.jpg"/><Relationship Id="rId10" Type="http://schemas.openxmlformats.org/officeDocument/2006/relationships/header" Target="header1.xml"/><Relationship Id="rId19" Type="http://schemas.openxmlformats.org/officeDocument/2006/relationships/image" Target="media/image10.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image" Target="media/image12.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10014</Words>
  <Characters>57080</Characters>
  <Application>Microsoft Office Word</Application>
  <DocSecurity>0</DocSecurity>
  <Lines>475</Lines>
  <Paragraphs>133</Paragraphs>
  <ScaleCrop>false</ScaleCrop>
  <Company/>
  <LinksUpToDate>false</LinksUpToDate>
  <CharactersWithSpaces>66961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doi:10.1016/j.palaeo.2005.10.010</dc:title>
  <dc:subject/>
  <dc:creator>wang dachui</dc:creator>
  <cp:keywords/>
  <cp:lastModifiedBy>wang dachui</cp:lastModifiedBy>
  <cp:revision>2</cp:revision>
  <dcterms:created xsi:type="dcterms:W3CDTF">2021-04-04T07:00:00Z</dcterms:created>
  <dcterms:modified xsi:type="dcterms:W3CDTF">2021-04-04T07:00:00Z</dcterms:modified>
</cp:coreProperties>
</file>