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3C0392" w14:textId="77777777" w:rsidR="00A978F6" w:rsidRDefault="001A5B1A">
      <w:pPr>
        <w:spacing w:after="0" w:line="254" w:lineRule="auto"/>
        <w:ind w:right="1" w:firstLine="0"/>
        <w:jc w:val="left"/>
      </w:pPr>
      <w:r>
        <w:rPr>
          <w:i/>
          <w:sz w:val="44"/>
        </w:rPr>
        <w:t>Upper Permian as a new play model on the mid-Norwegian continental shelf: Investigated by shallow stratigraphic drilling</w:t>
      </w:r>
    </w:p>
    <w:p w14:paraId="5661D3AD" w14:textId="77777777" w:rsidR="00A978F6" w:rsidRDefault="001A5B1A">
      <w:pPr>
        <w:spacing w:after="0" w:line="265" w:lineRule="auto"/>
        <w:ind w:left="186" w:right="0" w:hanging="10"/>
        <w:jc w:val="left"/>
      </w:pPr>
      <w:r>
        <w:rPr>
          <w:rFonts w:ascii="Calibri" w:eastAsia="Calibri" w:hAnsi="Calibri" w:cs="Calibri"/>
          <w:sz w:val="22"/>
        </w:rPr>
        <w:t xml:space="preserve">T. </w:t>
      </w:r>
      <w:proofErr w:type="spellStart"/>
      <w:r>
        <w:rPr>
          <w:rFonts w:ascii="Calibri" w:eastAsia="Calibri" w:hAnsi="Calibri" w:cs="Calibri"/>
          <w:sz w:val="22"/>
        </w:rPr>
        <w:t>Bugge</w:t>
      </w:r>
      <w:proofErr w:type="spellEnd"/>
      <w:r>
        <w:rPr>
          <w:rFonts w:ascii="Calibri" w:eastAsia="Calibri" w:hAnsi="Calibri" w:cs="Calibri"/>
          <w:sz w:val="22"/>
        </w:rPr>
        <w:t xml:space="preserve">, J. E. </w:t>
      </w:r>
      <w:proofErr w:type="spellStart"/>
      <w:r>
        <w:rPr>
          <w:rFonts w:ascii="Calibri" w:eastAsia="Calibri" w:hAnsi="Calibri" w:cs="Calibri"/>
          <w:sz w:val="22"/>
        </w:rPr>
        <w:t>Ringa˚s</w:t>
      </w:r>
      <w:proofErr w:type="spellEnd"/>
      <w:r>
        <w:rPr>
          <w:rFonts w:ascii="Calibri" w:eastAsia="Calibri" w:hAnsi="Calibri" w:cs="Calibri"/>
          <w:sz w:val="22"/>
        </w:rPr>
        <w:t xml:space="preserve">, D. A. Leith, G. </w:t>
      </w:r>
      <w:proofErr w:type="spellStart"/>
      <w:r>
        <w:rPr>
          <w:rFonts w:ascii="Calibri" w:eastAsia="Calibri" w:hAnsi="Calibri" w:cs="Calibri"/>
          <w:sz w:val="22"/>
        </w:rPr>
        <w:t>Mangerud</w:t>
      </w:r>
      <w:proofErr w:type="spellEnd"/>
      <w:r>
        <w:rPr>
          <w:rFonts w:ascii="Calibri" w:eastAsia="Calibri" w:hAnsi="Calibri" w:cs="Calibri"/>
          <w:sz w:val="22"/>
        </w:rPr>
        <w:t>,</w:t>
      </w:r>
    </w:p>
    <w:p w14:paraId="0202734F" w14:textId="77777777" w:rsidR="00A978F6" w:rsidRDefault="001A5B1A">
      <w:pPr>
        <w:spacing w:after="682" w:line="265" w:lineRule="auto"/>
        <w:ind w:left="186" w:right="0" w:hanging="10"/>
        <w:jc w:val="left"/>
      </w:pPr>
      <w:r>
        <w:rPr>
          <w:rFonts w:ascii="Calibri" w:eastAsia="Calibri" w:hAnsi="Calibri" w:cs="Calibri"/>
          <w:sz w:val="22"/>
        </w:rPr>
        <w:t>H. M. Weiss, and T. L. Leith</w:t>
      </w:r>
    </w:p>
    <w:p w14:paraId="330E60E9" w14:textId="77777777" w:rsidR="00A978F6" w:rsidRDefault="001A5B1A">
      <w:pPr>
        <w:pStyle w:val="1"/>
        <w:spacing w:after="101"/>
        <w:ind w:right="46"/>
      </w:pPr>
      <w:r>
        <w:t>ABSTRACT</w:t>
      </w:r>
    </w:p>
    <w:p w14:paraId="49A8A1DD" w14:textId="77777777" w:rsidR="00A978F6" w:rsidRDefault="001A5B1A">
      <w:pPr>
        <w:ind w:right="11" w:firstLine="0"/>
      </w:pPr>
      <w:r>
        <w:t xml:space="preserve">A 750 m–thick, fully marine succession of sandstones, </w:t>
      </w:r>
      <w:proofErr w:type="spellStart"/>
      <w:r>
        <w:t>coarsegrained</w:t>
      </w:r>
      <w:proofErr w:type="spellEnd"/>
      <w:r>
        <w:t xml:space="preserve"> turbidites, shales, and reworked sabkha sediments has been cored on the eastern margin of the mid-Norwegian shelf. The succession has been dated as Upper Permian–Lower Triassic and is comp</w:t>
      </w:r>
      <w:r>
        <w:t>arable to rocks of the same age exposed onshore East Greenland. These data demonstrate that the marine depositional basin between Greenland and Norway extended much farther east than previously thought.</w:t>
      </w:r>
    </w:p>
    <w:p w14:paraId="6556763F" w14:textId="77777777" w:rsidR="00A978F6" w:rsidRDefault="001A5B1A">
      <w:pPr>
        <w:ind w:right="11"/>
      </w:pPr>
      <w:r>
        <w:t>Reddish, shallow-marine sandstones in the lower 170 m</w:t>
      </w:r>
      <w:r>
        <w:t xml:space="preserve"> of the cored succession probably represent </w:t>
      </w:r>
      <w:proofErr w:type="spellStart"/>
      <w:r>
        <w:t>reworkingofoldersedimentary</w:t>
      </w:r>
      <w:proofErr w:type="spellEnd"/>
      <w:r>
        <w:t xml:space="preserve"> rocks present to the east of the drill sites. This suggests that Upper Devonian–Lower Permian sediments were deposited on Caledonian basement east of the present-day limits of the basi</w:t>
      </w:r>
      <w:r>
        <w:t>n.</w:t>
      </w:r>
    </w:p>
    <w:p w14:paraId="41033C5B" w14:textId="77777777" w:rsidR="00A978F6" w:rsidRDefault="001A5B1A">
      <w:pPr>
        <w:ind w:right="11"/>
      </w:pPr>
      <w:r>
        <w:t xml:space="preserve">The cored succession also contains source rocks that can be stratigraphically correlated with the oil-prone source rocks of the Upper Permian </w:t>
      </w:r>
      <w:proofErr w:type="spellStart"/>
      <w:r>
        <w:t>Ravnefjeld</w:t>
      </w:r>
      <w:proofErr w:type="spellEnd"/>
      <w:r>
        <w:t xml:space="preserve"> Formation onshore East Greenland. Some of the cored sandstone intervals were stained with light, </w:t>
      </w:r>
      <w:proofErr w:type="spellStart"/>
      <w:r>
        <w:t>non</w:t>
      </w:r>
      <w:r>
        <w:t>biodegraded</w:t>
      </w:r>
      <w:proofErr w:type="spellEnd"/>
      <w:r>
        <w:t xml:space="preserve"> oil that most likely was sourced from Upper Permian or, alternatively, Lower Triassic mudstones.</w:t>
      </w:r>
    </w:p>
    <w:p w14:paraId="342F575C" w14:textId="77777777" w:rsidR="00A978F6" w:rsidRDefault="001A5B1A">
      <w:pPr>
        <w:spacing w:after="946"/>
        <w:ind w:right="11"/>
      </w:pPr>
      <w:r>
        <w:rPr>
          <w:rFonts w:ascii="Calibri" w:eastAsia="Calibri" w:hAnsi="Calibri" w:cs="Calibri"/>
          <w:noProof/>
          <w:color w:val="000000"/>
          <w:sz w:val="22"/>
        </w:rPr>
        <mc:AlternateContent>
          <mc:Choice Requires="wpg">
            <w:drawing>
              <wp:anchor distT="0" distB="0" distL="114300" distR="114300" simplePos="0" relativeHeight="251658240" behindDoc="1" locked="0" layoutInCell="1" allowOverlap="1" wp14:anchorId="0069BBB0" wp14:editId="7351F2E6">
                <wp:simplePos x="0" y="0"/>
                <wp:positionH relativeFrom="column">
                  <wp:posOffset>121469</wp:posOffset>
                </wp:positionH>
                <wp:positionV relativeFrom="paragraph">
                  <wp:posOffset>-5694168</wp:posOffset>
                </wp:positionV>
                <wp:extent cx="6225045" cy="8312722"/>
                <wp:effectExtent l="0" t="0" r="0" b="0"/>
                <wp:wrapNone/>
                <wp:docPr id="35024" name="Group 35024"/>
                <wp:cNvGraphicFramePr/>
                <a:graphic xmlns:a="http://schemas.openxmlformats.org/drawingml/2006/main">
                  <a:graphicData uri="http://schemas.microsoft.com/office/word/2010/wordprocessingGroup">
                    <wpg:wgp>
                      <wpg:cNvGrpSpPr/>
                      <wpg:grpSpPr>
                        <a:xfrm>
                          <a:off x="0" y="0"/>
                          <a:ext cx="6225045" cy="8312722"/>
                          <a:chOff x="0" y="0"/>
                          <a:chExt cx="6225045" cy="8312722"/>
                        </a:xfrm>
                      </wpg:grpSpPr>
                      <wps:wsp>
                        <wps:cNvPr id="54" name="Shape 54"/>
                        <wps:cNvSpPr/>
                        <wps:spPr>
                          <a:xfrm>
                            <a:off x="0" y="7822438"/>
                            <a:ext cx="3643935" cy="0"/>
                          </a:xfrm>
                          <a:custGeom>
                            <a:avLst/>
                            <a:gdLst/>
                            <a:ahLst/>
                            <a:cxnLst/>
                            <a:rect l="0" t="0" r="0" b="0"/>
                            <a:pathLst>
                              <a:path w="3643935">
                                <a:moveTo>
                                  <a:pt x="0" y="0"/>
                                </a:moveTo>
                                <a:lnTo>
                                  <a:pt x="3643935" y="0"/>
                                </a:lnTo>
                              </a:path>
                            </a:pathLst>
                          </a:custGeom>
                          <a:ln w="6325" cap="flat">
                            <a:miter lim="127000"/>
                          </a:ln>
                        </wps:spPr>
                        <wps:style>
                          <a:lnRef idx="1">
                            <a:srgbClr val="181717"/>
                          </a:lnRef>
                          <a:fillRef idx="0">
                            <a:srgbClr val="000000">
                              <a:alpha val="0"/>
                            </a:srgbClr>
                          </a:fillRef>
                          <a:effectRef idx="0">
                            <a:scrgbClr r="0" g="0" b="0"/>
                          </a:effectRef>
                          <a:fontRef idx="none"/>
                        </wps:style>
                        <wps:bodyPr/>
                      </wps:wsp>
                      <wps:wsp>
                        <wps:cNvPr id="55" name="Shape 55"/>
                        <wps:cNvSpPr/>
                        <wps:spPr>
                          <a:xfrm>
                            <a:off x="3640772" y="7819276"/>
                            <a:ext cx="0" cy="6324"/>
                          </a:xfrm>
                          <a:custGeom>
                            <a:avLst/>
                            <a:gdLst/>
                            <a:ahLst/>
                            <a:cxnLst/>
                            <a:rect l="0" t="0" r="0" b="0"/>
                            <a:pathLst>
                              <a:path h="6324">
                                <a:moveTo>
                                  <a:pt x="0" y="0"/>
                                </a:moveTo>
                                <a:lnTo>
                                  <a:pt x="0" y="6324"/>
                                </a:lnTo>
                              </a:path>
                            </a:pathLst>
                          </a:custGeom>
                          <a:ln w="6325" cap="flat">
                            <a:miter lim="127000"/>
                          </a:ln>
                        </wps:spPr>
                        <wps:style>
                          <a:lnRef idx="1">
                            <a:srgbClr val="181717"/>
                          </a:lnRef>
                          <a:fillRef idx="0">
                            <a:srgbClr val="000000">
                              <a:alpha val="0"/>
                            </a:srgbClr>
                          </a:fillRef>
                          <a:effectRef idx="0">
                            <a:scrgbClr r="0" g="0" b="0"/>
                          </a:effectRef>
                          <a:fontRef idx="none"/>
                        </wps:style>
                        <wps:bodyPr/>
                      </wps:wsp>
                      <wps:wsp>
                        <wps:cNvPr id="56" name="Shape 56"/>
                        <wps:cNvSpPr/>
                        <wps:spPr>
                          <a:xfrm>
                            <a:off x="0" y="7822438"/>
                            <a:ext cx="3643935" cy="0"/>
                          </a:xfrm>
                          <a:custGeom>
                            <a:avLst/>
                            <a:gdLst/>
                            <a:ahLst/>
                            <a:cxnLst/>
                            <a:rect l="0" t="0" r="0" b="0"/>
                            <a:pathLst>
                              <a:path w="3643935">
                                <a:moveTo>
                                  <a:pt x="0" y="0"/>
                                </a:moveTo>
                                <a:lnTo>
                                  <a:pt x="3643935" y="0"/>
                                </a:lnTo>
                              </a:path>
                            </a:pathLst>
                          </a:custGeom>
                          <a:ln w="6325" cap="flat">
                            <a:miter lim="127000"/>
                          </a:ln>
                        </wps:spPr>
                        <wps:style>
                          <a:lnRef idx="1">
                            <a:srgbClr val="181717"/>
                          </a:lnRef>
                          <a:fillRef idx="0">
                            <a:srgbClr val="000000">
                              <a:alpha val="0"/>
                            </a:srgbClr>
                          </a:fillRef>
                          <a:effectRef idx="0">
                            <a:scrgbClr r="0" g="0" b="0"/>
                          </a:effectRef>
                          <a:fontRef idx="none"/>
                        </wps:style>
                        <wps:bodyPr/>
                      </wps:wsp>
                      <wps:wsp>
                        <wps:cNvPr id="57" name="Shape 57"/>
                        <wps:cNvSpPr/>
                        <wps:spPr>
                          <a:xfrm>
                            <a:off x="3162" y="7819276"/>
                            <a:ext cx="0" cy="6324"/>
                          </a:xfrm>
                          <a:custGeom>
                            <a:avLst/>
                            <a:gdLst/>
                            <a:ahLst/>
                            <a:cxnLst/>
                            <a:rect l="0" t="0" r="0" b="0"/>
                            <a:pathLst>
                              <a:path h="6324">
                                <a:moveTo>
                                  <a:pt x="0" y="0"/>
                                </a:moveTo>
                                <a:lnTo>
                                  <a:pt x="0" y="6324"/>
                                </a:lnTo>
                              </a:path>
                            </a:pathLst>
                          </a:custGeom>
                          <a:ln w="6325" cap="flat">
                            <a:miter lim="127000"/>
                          </a:ln>
                        </wps:spPr>
                        <wps:style>
                          <a:lnRef idx="1">
                            <a:srgbClr val="181717"/>
                          </a:lnRef>
                          <a:fillRef idx="0">
                            <a:srgbClr val="000000">
                              <a:alpha val="0"/>
                            </a:srgbClr>
                          </a:fillRef>
                          <a:effectRef idx="0">
                            <a:scrgbClr r="0" g="0" b="0"/>
                          </a:effectRef>
                          <a:fontRef idx="none"/>
                        </wps:style>
                        <wps:bodyPr/>
                      </wps:wsp>
                      <wps:wsp>
                        <wps:cNvPr id="37133" name="Shape 37133"/>
                        <wps:cNvSpPr/>
                        <wps:spPr>
                          <a:xfrm>
                            <a:off x="3871672"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DEDDDC"/>
                          </a:fillRef>
                          <a:effectRef idx="0">
                            <a:scrgbClr r="0" g="0" b="0"/>
                          </a:effectRef>
                          <a:fontRef idx="none"/>
                        </wps:style>
                        <wps:bodyPr/>
                      </wps:wsp>
                      <wps:wsp>
                        <wps:cNvPr id="37134" name="Shape 37134"/>
                        <wps:cNvSpPr/>
                        <wps:spPr>
                          <a:xfrm>
                            <a:off x="3937051"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DEDDDD"/>
                          </a:fillRef>
                          <a:effectRef idx="0">
                            <a:scrgbClr r="0" g="0" b="0"/>
                          </a:effectRef>
                          <a:fontRef idx="none"/>
                        </wps:style>
                        <wps:bodyPr/>
                      </wps:wsp>
                      <wps:wsp>
                        <wps:cNvPr id="37135" name="Shape 37135"/>
                        <wps:cNvSpPr/>
                        <wps:spPr>
                          <a:xfrm>
                            <a:off x="4002418"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DFDEDE"/>
                          </a:fillRef>
                          <a:effectRef idx="0">
                            <a:scrgbClr r="0" g="0" b="0"/>
                          </a:effectRef>
                          <a:fontRef idx="none"/>
                        </wps:style>
                        <wps:bodyPr/>
                      </wps:wsp>
                      <wps:wsp>
                        <wps:cNvPr id="37136" name="Shape 37136"/>
                        <wps:cNvSpPr/>
                        <wps:spPr>
                          <a:xfrm>
                            <a:off x="4067798"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E0DFDE"/>
                          </a:fillRef>
                          <a:effectRef idx="0">
                            <a:scrgbClr r="0" g="0" b="0"/>
                          </a:effectRef>
                          <a:fontRef idx="none"/>
                        </wps:style>
                        <wps:bodyPr/>
                      </wps:wsp>
                      <wps:wsp>
                        <wps:cNvPr id="37137" name="Shape 37137"/>
                        <wps:cNvSpPr/>
                        <wps:spPr>
                          <a:xfrm>
                            <a:off x="4133164"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E1E0DF"/>
                          </a:fillRef>
                          <a:effectRef idx="0">
                            <a:scrgbClr r="0" g="0" b="0"/>
                          </a:effectRef>
                          <a:fontRef idx="none"/>
                        </wps:style>
                        <wps:bodyPr/>
                      </wps:wsp>
                      <wps:wsp>
                        <wps:cNvPr id="37138" name="Shape 37138"/>
                        <wps:cNvSpPr/>
                        <wps:spPr>
                          <a:xfrm>
                            <a:off x="4198532"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E2E1E0"/>
                          </a:fillRef>
                          <a:effectRef idx="0">
                            <a:scrgbClr r="0" g="0" b="0"/>
                          </a:effectRef>
                          <a:fontRef idx="none"/>
                        </wps:style>
                        <wps:bodyPr/>
                      </wps:wsp>
                      <wps:wsp>
                        <wps:cNvPr id="37139" name="Shape 37139"/>
                        <wps:cNvSpPr/>
                        <wps:spPr>
                          <a:xfrm>
                            <a:off x="4263911"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E3E2E1"/>
                          </a:fillRef>
                          <a:effectRef idx="0">
                            <a:scrgbClr r="0" g="0" b="0"/>
                          </a:effectRef>
                          <a:fontRef idx="none"/>
                        </wps:style>
                        <wps:bodyPr/>
                      </wps:wsp>
                      <wps:wsp>
                        <wps:cNvPr id="37140" name="Shape 37140"/>
                        <wps:cNvSpPr/>
                        <wps:spPr>
                          <a:xfrm>
                            <a:off x="4329278"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E4E2E2"/>
                          </a:fillRef>
                          <a:effectRef idx="0">
                            <a:scrgbClr r="0" g="0" b="0"/>
                          </a:effectRef>
                          <a:fontRef idx="none"/>
                        </wps:style>
                        <wps:bodyPr/>
                      </wps:wsp>
                      <wps:wsp>
                        <wps:cNvPr id="37141" name="Shape 37141"/>
                        <wps:cNvSpPr/>
                        <wps:spPr>
                          <a:xfrm>
                            <a:off x="4394644"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E5E3E3"/>
                          </a:fillRef>
                          <a:effectRef idx="0">
                            <a:scrgbClr r="0" g="0" b="0"/>
                          </a:effectRef>
                          <a:fontRef idx="none"/>
                        </wps:style>
                        <wps:bodyPr/>
                      </wps:wsp>
                      <wps:wsp>
                        <wps:cNvPr id="37142" name="Shape 37142"/>
                        <wps:cNvSpPr/>
                        <wps:spPr>
                          <a:xfrm>
                            <a:off x="4460024"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E6E4E3"/>
                          </a:fillRef>
                          <a:effectRef idx="0">
                            <a:scrgbClr r="0" g="0" b="0"/>
                          </a:effectRef>
                          <a:fontRef idx="none"/>
                        </wps:style>
                        <wps:bodyPr/>
                      </wps:wsp>
                      <wps:wsp>
                        <wps:cNvPr id="37143" name="Shape 37143"/>
                        <wps:cNvSpPr/>
                        <wps:spPr>
                          <a:xfrm>
                            <a:off x="4525391"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E6E5E4"/>
                          </a:fillRef>
                          <a:effectRef idx="0">
                            <a:scrgbClr r="0" g="0" b="0"/>
                          </a:effectRef>
                          <a:fontRef idx="none"/>
                        </wps:style>
                        <wps:bodyPr/>
                      </wps:wsp>
                      <wps:wsp>
                        <wps:cNvPr id="37144" name="Shape 37144"/>
                        <wps:cNvSpPr/>
                        <wps:spPr>
                          <a:xfrm>
                            <a:off x="4590758"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E7E6E5"/>
                          </a:fillRef>
                          <a:effectRef idx="0">
                            <a:scrgbClr r="0" g="0" b="0"/>
                          </a:effectRef>
                          <a:fontRef idx="none"/>
                        </wps:style>
                        <wps:bodyPr/>
                      </wps:wsp>
                      <wps:wsp>
                        <wps:cNvPr id="37145" name="Shape 37145"/>
                        <wps:cNvSpPr/>
                        <wps:spPr>
                          <a:xfrm>
                            <a:off x="4656138"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E8E7E6"/>
                          </a:fillRef>
                          <a:effectRef idx="0">
                            <a:scrgbClr r="0" g="0" b="0"/>
                          </a:effectRef>
                          <a:fontRef idx="none"/>
                        </wps:style>
                        <wps:bodyPr/>
                      </wps:wsp>
                      <wps:wsp>
                        <wps:cNvPr id="37146" name="Shape 37146"/>
                        <wps:cNvSpPr/>
                        <wps:spPr>
                          <a:xfrm>
                            <a:off x="4721504"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EAE9E8"/>
                          </a:fillRef>
                          <a:effectRef idx="0">
                            <a:scrgbClr r="0" g="0" b="0"/>
                          </a:effectRef>
                          <a:fontRef idx="none"/>
                        </wps:style>
                        <wps:bodyPr/>
                      </wps:wsp>
                      <wps:wsp>
                        <wps:cNvPr id="37147" name="Shape 37147"/>
                        <wps:cNvSpPr/>
                        <wps:spPr>
                          <a:xfrm>
                            <a:off x="4786884"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EBE9E9"/>
                          </a:fillRef>
                          <a:effectRef idx="0">
                            <a:scrgbClr r="0" g="0" b="0"/>
                          </a:effectRef>
                          <a:fontRef idx="none"/>
                        </wps:style>
                        <wps:bodyPr/>
                      </wps:wsp>
                      <wps:wsp>
                        <wps:cNvPr id="37148" name="Shape 37148"/>
                        <wps:cNvSpPr/>
                        <wps:spPr>
                          <a:xfrm>
                            <a:off x="4852251"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ECEAE9"/>
                          </a:fillRef>
                          <a:effectRef idx="0">
                            <a:scrgbClr r="0" g="0" b="0"/>
                          </a:effectRef>
                          <a:fontRef idx="none"/>
                        </wps:style>
                        <wps:bodyPr/>
                      </wps:wsp>
                      <wps:wsp>
                        <wps:cNvPr id="37149" name="Shape 37149"/>
                        <wps:cNvSpPr/>
                        <wps:spPr>
                          <a:xfrm>
                            <a:off x="4917618"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EDEBEA"/>
                          </a:fillRef>
                          <a:effectRef idx="0">
                            <a:scrgbClr r="0" g="0" b="0"/>
                          </a:effectRef>
                          <a:fontRef idx="none"/>
                        </wps:style>
                        <wps:bodyPr/>
                      </wps:wsp>
                      <wps:wsp>
                        <wps:cNvPr id="37150" name="Shape 37150"/>
                        <wps:cNvSpPr/>
                        <wps:spPr>
                          <a:xfrm>
                            <a:off x="4982998"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EEECEB"/>
                          </a:fillRef>
                          <a:effectRef idx="0">
                            <a:scrgbClr r="0" g="0" b="0"/>
                          </a:effectRef>
                          <a:fontRef idx="none"/>
                        </wps:style>
                        <wps:bodyPr/>
                      </wps:wsp>
                      <wps:wsp>
                        <wps:cNvPr id="37151" name="Shape 37151"/>
                        <wps:cNvSpPr/>
                        <wps:spPr>
                          <a:xfrm>
                            <a:off x="5048364"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EFEDEC"/>
                          </a:fillRef>
                          <a:effectRef idx="0">
                            <a:scrgbClr r="0" g="0" b="0"/>
                          </a:effectRef>
                          <a:fontRef idx="none"/>
                        </wps:style>
                        <wps:bodyPr/>
                      </wps:wsp>
                      <wps:wsp>
                        <wps:cNvPr id="37152" name="Shape 37152"/>
                        <wps:cNvSpPr/>
                        <wps:spPr>
                          <a:xfrm>
                            <a:off x="5113732"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F0EEED"/>
                          </a:fillRef>
                          <a:effectRef idx="0">
                            <a:scrgbClr r="0" g="0" b="0"/>
                          </a:effectRef>
                          <a:fontRef idx="none"/>
                        </wps:style>
                        <wps:bodyPr/>
                      </wps:wsp>
                      <wps:wsp>
                        <wps:cNvPr id="37153" name="Shape 37153"/>
                        <wps:cNvSpPr/>
                        <wps:spPr>
                          <a:xfrm>
                            <a:off x="5179111"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F1EFEE"/>
                          </a:fillRef>
                          <a:effectRef idx="0">
                            <a:scrgbClr r="0" g="0" b="0"/>
                          </a:effectRef>
                          <a:fontRef idx="none"/>
                        </wps:style>
                        <wps:bodyPr/>
                      </wps:wsp>
                      <wps:wsp>
                        <wps:cNvPr id="37154" name="Shape 37154"/>
                        <wps:cNvSpPr/>
                        <wps:spPr>
                          <a:xfrm>
                            <a:off x="5244478"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F2F0EF"/>
                          </a:fillRef>
                          <a:effectRef idx="0">
                            <a:scrgbClr r="0" g="0" b="0"/>
                          </a:effectRef>
                          <a:fontRef idx="none"/>
                        </wps:style>
                        <wps:bodyPr/>
                      </wps:wsp>
                      <wps:wsp>
                        <wps:cNvPr id="37155" name="Shape 37155"/>
                        <wps:cNvSpPr/>
                        <wps:spPr>
                          <a:xfrm>
                            <a:off x="5309845"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F2F0EF"/>
                          </a:fillRef>
                          <a:effectRef idx="0">
                            <a:scrgbClr r="0" g="0" b="0"/>
                          </a:effectRef>
                          <a:fontRef idx="none"/>
                        </wps:style>
                        <wps:bodyPr/>
                      </wps:wsp>
                      <wps:wsp>
                        <wps:cNvPr id="37156" name="Shape 37156"/>
                        <wps:cNvSpPr/>
                        <wps:spPr>
                          <a:xfrm>
                            <a:off x="5375224"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F3F1F0"/>
                          </a:fillRef>
                          <a:effectRef idx="0">
                            <a:scrgbClr r="0" g="0" b="0"/>
                          </a:effectRef>
                          <a:fontRef idx="none"/>
                        </wps:style>
                        <wps:bodyPr/>
                      </wps:wsp>
                      <wps:wsp>
                        <wps:cNvPr id="37157" name="Shape 37157"/>
                        <wps:cNvSpPr/>
                        <wps:spPr>
                          <a:xfrm>
                            <a:off x="5440591"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F4F2F1"/>
                          </a:fillRef>
                          <a:effectRef idx="0">
                            <a:scrgbClr r="0" g="0" b="0"/>
                          </a:effectRef>
                          <a:fontRef idx="none"/>
                        </wps:style>
                        <wps:bodyPr/>
                      </wps:wsp>
                      <wps:wsp>
                        <wps:cNvPr id="37158" name="Shape 37158"/>
                        <wps:cNvSpPr/>
                        <wps:spPr>
                          <a:xfrm>
                            <a:off x="5505971"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F5F3F2"/>
                          </a:fillRef>
                          <a:effectRef idx="0">
                            <a:scrgbClr r="0" g="0" b="0"/>
                          </a:effectRef>
                          <a:fontRef idx="none"/>
                        </wps:style>
                        <wps:bodyPr/>
                      </wps:wsp>
                      <wps:wsp>
                        <wps:cNvPr id="37159" name="Shape 37159"/>
                        <wps:cNvSpPr/>
                        <wps:spPr>
                          <a:xfrm>
                            <a:off x="5571338"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F6F4F3"/>
                          </a:fillRef>
                          <a:effectRef idx="0">
                            <a:scrgbClr r="0" g="0" b="0"/>
                          </a:effectRef>
                          <a:fontRef idx="none"/>
                        </wps:style>
                        <wps:bodyPr/>
                      </wps:wsp>
                      <wps:wsp>
                        <wps:cNvPr id="37160" name="Shape 37160"/>
                        <wps:cNvSpPr/>
                        <wps:spPr>
                          <a:xfrm>
                            <a:off x="5636705"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F6F5F4"/>
                          </a:fillRef>
                          <a:effectRef idx="0">
                            <a:scrgbClr r="0" g="0" b="0"/>
                          </a:effectRef>
                          <a:fontRef idx="none"/>
                        </wps:style>
                        <wps:bodyPr/>
                      </wps:wsp>
                      <wps:wsp>
                        <wps:cNvPr id="37161" name="Shape 37161"/>
                        <wps:cNvSpPr/>
                        <wps:spPr>
                          <a:xfrm>
                            <a:off x="5702085"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F7F6F5"/>
                          </a:fillRef>
                          <a:effectRef idx="0">
                            <a:scrgbClr r="0" g="0" b="0"/>
                          </a:effectRef>
                          <a:fontRef idx="none"/>
                        </wps:style>
                        <wps:bodyPr/>
                      </wps:wsp>
                      <wps:wsp>
                        <wps:cNvPr id="37162" name="Shape 37162"/>
                        <wps:cNvSpPr/>
                        <wps:spPr>
                          <a:xfrm>
                            <a:off x="5767451"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F8F7F6"/>
                          </a:fillRef>
                          <a:effectRef idx="0">
                            <a:scrgbClr r="0" g="0" b="0"/>
                          </a:effectRef>
                          <a:fontRef idx="none"/>
                        </wps:style>
                        <wps:bodyPr/>
                      </wps:wsp>
                      <wps:wsp>
                        <wps:cNvPr id="37163" name="Shape 37163"/>
                        <wps:cNvSpPr/>
                        <wps:spPr>
                          <a:xfrm>
                            <a:off x="5832819"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F9F8F6"/>
                          </a:fillRef>
                          <a:effectRef idx="0">
                            <a:scrgbClr r="0" g="0" b="0"/>
                          </a:effectRef>
                          <a:fontRef idx="none"/>
                        </wps:style>
                        <wps:bodyPr/>
                      </wps:wsp>
                      <wps:wsp>
                        <wps:cNvPr id="37164" name="Shape 37164"/>
                        <wps:cNvSpPr/>
                        <wps:spPr>
                          <a:xfrm>
                            <a:off x="5898198"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FAF8F7"/>
                          </a:fillRef>
                          <a:effectRef idx="0">
                            <a:scrgbClr r="0" g="0" b="0"/>
                          </a:effectRef>
                          <a:fontRef idx="none"/>
                        </wps:style>
                        <wps:bodyPr/>
                      </wps:wsp>
                      <wps:wsp>
                        <wps:cNvPr id="37165" name="Shape 37165"/>
                        <wps:cNvSpPr/>
                        <wps:spPr>
                          <a:xfrm>
                            <a:off x="5963565"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FAF9F8"/>
                          </a:fillRef>
                          <a:effectRef idx="0">
                            <a:scrgbClr r="0" g="0" b="0"/>
                          </a:effectRef>
                          <a:fontRef idx="none"/>
                        </wps:style>
                        <wps:bodyPr/>
                      </wps:wsp>
                      <wps:wsp>
                        <wps:cNvPr id="37166" name="Shape 37166"/>
                        <wps:cNvSpPr/>
                        <wps:spPr>
                          <a:xfrm>
                            <a:off x="6028931"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FBFAF9"/>
                          </a:fillRef>
                          <a:effectRef idx="0">
                            <a:scrgbClr r="0" g="0" b="0"/>
                          </a:effectRef>
                          <a:fontRef idx="none"/>
                        </wps:style>
                        <wps:bodyPr/>
                      </wps:wsp>
                      <wps:wsp>
                        <wps:cNvPr id="37167" name="Shape 37167"/>
                        <wps:cNvSpPr/>
                        <wps:spPr>
                          <a:xfrm>
                            <a:off x="6094311"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FCFBFA"/>
                          </a:fillRef>
                          <a:effectRef idx="0">
                            <a:scrgbClr r="0" g="0" b="0"/>
                          </a:effectRef>
                          <a:fontRef idx="none"/>
                        </wps:style>
                        <wps:bodyPr/>
                      </wps:wsp>
                      <wps:wsp>
                        <wps:cNvPr id="37168" name="Shape 37168"/>
                        <wps:cNvSpPr/>
                        <wps:spPr>
                          <a:xfrm>
                            <a:off x="6159679"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FDFCFB"/>
                          </a:fillRef>
                          <a:effectRef idx="0">
                            <a:scrgbClr r="0" g="0" b="0"/>
                          </a:effectRef>
                          <a:fontRef idx="none"/>
                        </wps:style>
                        <wps:bodyPr/>
                      </wps:wsp>
                    </wpg:wgp>
                  </a:graphicData>
                </a:graphic>
              </wp:anchor>
            </w:drawing>
          </mc:Choice>
          <mc:Fallback xmlns:a="http://schemas.openxmlformats.org/drawingml/2006/main">
            <w:pict>
              <v:group id="Group 35024" style="width:490.161pt;height:654.545pt;position:absolute;z-index:-2147483581;mso-position-horizontal-relative:text;mso-position-horizontal:absolute;margin-left:9.5645pt;mso-position-vertical-relative:text;margin-top:-448.36pt;" coordsize="62250,83127">
                <v:shape id="Shape 54" style="position:absolute;width:36439;height:0;left:0;top:78224;" coordsize="3643935,0" path="m0,0l3643935,0">
                  <v:stroke weight="0.498pt" endcap="flat" joinstyle="miter" miterlimit="10" on="true" color="#181717"/>
                  <v:fill on="false" color="#000000" opacity="0"/>
                </v:shape>
                <v:shape id="Shape 55" style="position:absolute;width:0;height:63;left:36407;top:78192;" coordsize="0,6324" path="m0,0l0,6324">
                  <v:stroke weight="0.498pt" endcap="flat" joinstyle="miter" miterlimit="10" on="true" color="#181717"/>
                  <v:fill on="false" color="#000000" opacity="0"/>
                </v:shape>
                <v:shape id="Shape 56" style="position:absolute;width:36439;height:0;left:0;top:78224;" coordsize="3643935,0" path="m0,0l3643935,0">
                  <v:stroke weight="0.498pt" endcap="flat" joinstyle="miter" miterlimit="10" on="true" color="#181717"/>
                  <v:fill on="false" color="#000000" opacity="0"/>
                </v:shape>
                <v:shape id="Shape 57" style="position:absolute;width:0;height:63;left:31;top:78192;" coordsize="0,6324" path="m0,0l0,6324">
                  <v:stroke weight="0.498pt" endcap="flat" joinstyle="miter" miterlimit="10" on="true" color="#181717"/>
                  <v:fill on="false" color="#000000" opacity="0"/>
                </v:shape>
                <v:shape id="Shape 37169" style="position:absolute;width:653;height:83127;left:38716;top:0;" coordsize="65367,8312722" path="m0,0l65367,0l65367,8312722l0,8312722l0,0">
                  <v:stroke weight="0pt" endcap="flat" joinstyle="miter" miterlimit="10" on="false" color="#000000" opacity="0"/>
                  <v:fill on="true" color="#dedddc"/>
                </v:shape>
                <v:shape id="Shape 37170" style="position:absolute;width:653;height:83127;left:39370;top:0;" coordsize="65367,8312722" path="m0,0l65367,0l65367,8312722l0,8312722l0,0">
                  <v:stroke weight="0pt" endcap="flat" joinstyle="miter" miterlimit="10" on="false" color="#000000" opacity="0"/>
                  <v:fill on="true" color="#dedddd"/>
                </v:shape>
                <v:shape id="Shape 37171" style="position:absolute;width:653;height:83127;left:40024;top:0;" coordsize="65367,8312722" path="m0,0l65367,0l65367,8312722l0,8312722l0,0">
                  <v:stroke weight="0pt" endcap="flat" joinstyle="miter" miterlimit="10" on="false" color="#000000" opacity="0"/>
                  <v:fill on="true" color="#dfdede"/>
                </v:shape>
                <v:shape id="Shape 37172" style="position:absolute;width:653;height:83127;left:40677;top:0;" coordsize="65367,8312722" path="m0,0l65367,0l65367,8312722l0,8312722l0,0">
                  <v:stroke weight="0pt" endcap="flat" joinstyle="miter" miterlimit="10" on="false" color="#000000" opacity="0"/>
                  <v:fill on="true" color="#e0dfde"/>
                </v:shape>
                <v:shape id="Shape 37173" style="position:absolute;width:653;height:83127;left:41331;top:0;" coordsize="65367,8312722" path="m0,0l65367,0l65367,8312722l0,8312722l0,0">
                  <v:stroke weight="0pt" endcap="flat" joinstyle="miter" miterlimit="10" on="false" color="#000000" opacity="0"/>
                  <v:fill on="true" color="#e1e0df"/>
                </v:shape>
                <v:shape id="Shape 37174" style="position:absolute;width:653;height:83127;left:41985;top:0;" coordsize="65367,8312722" path="m0,0l65367,0l65367,8312722l0,8312722l0,0">
                  <v:stroke weight="0pt" endcap="flat" joinstyle="miter" miterlimit="10" on="false" color="#000000" opacity="0"/>
                  <v:fill on="true" color="#e2e1e0"/>
                </v:shape>
                <v:shape id="Shape 37175" style="position:absolute;width:653;height:83127;left:42639;top:0;" coordsize="65367,8312722" path="m0,0l65367,0l65367,8312722l0,8312722l0,0">
                  <v:stroke weight="0pt" endcap="flat" joinstyle="miter" miterlimit="10" on="false" color="#000000" opacity="0"/>
                  <v:fill on="true" color="#e3e2e1"/>
                </v:shape>
                <v:shape id="Shape 37176" style="position:absolute;width:653;height:83127;left:43292;top:0;" coordsize="65367,8312722" path="m0,0l65367,0l65367,8312722l0,8312722l0,0">
                  <v:stroke weight="0pt" endcap="flat" joinstyle="miter" miterlimit="10" on="false" color="#000000" opacity="0"/>
                  <v:fill on="true" color="#e4e2e2"/>
                </v:shape>
                <v:shape id="Shape 37177" style="position:absolute;width:653;height:83127;left:43946;top:0;" coordsize="65367,8312722" path="m0,0l65367,0l65367,8312722l0,8312722l0,0">
                  <v:stroke weight="0pt" endcap="flat" joinstyle="miter" miterlimit="10" on="false" color="#000000" opacity="0"/>
                  <v:fill on="true" color="#e5e3e3"/>
                </v:shape>
                <v:shape id="Shape 37178" style="position:absolute;width:653;height:83127;left:44600;top:0;" coordsize="65367,8312722" path="m0,0l65367,0l65367,8312722l0,8312722l0,0">
                  <v:stroke weight="0pt" endcap="flat" joinstyle="miter" miterlimit="10" on="false" color="#000000" opacity="0"/>
                  <v:fill on="true" color="#e6e4e3"/>
                </v:shape>
                <v:shape id="Shape 37179" style="position:absolute;width:653;height:83127;left:45253;top:0;" coordsize="65367,8312722" path="m0,0l65367,0l65367,8312722l0,8312722l0,0">
                  <v:stroke weight="0pt" endcap="flat" joinstyle="miter" miterlimit="10" on="false" color="#000000" opacity="0"/>
                  <v:fill on="true" color="#e6e5e4"/>
                </v:shape>
                <v:shape id="Shape 37180" style="position:absolute;width:653;height:83127;left:45907;top:0;" coordsize="65367,8312722" path="m0,0l65367,0l65367,8312722l0,8312722l0,0">
                  <v:stroke weight="0pt" endcap="flat" joinstyle="miter" miterlimit="10" on="false" color="#000000" opacity="0"/>
                  <v:fill on="true" color="#e7e6e5"/>
                </v:shape>
                <v:shape id="Shape 37181" style="position:absolute;width:653;height:83127;left:46561;top:0;" coordsize="65367,8312722" path="m0,0l65367,0l65367,8312722l0,8312722l0,0">
                  <v:stroke weight="0pt" endcap="flat" joinstyle="miter" miterlimit="10" on="false" color="#000000" opacity="0"/>
                  <v:fill on="true" color="#e8e7e6"/>
                </v:shape>
                <v:shape id="Shape 37182" style="position:absolute;width:653;height:83127;left:47215;top:0;" coordsize="65367,8312722" path="m0,0l65367,0l65367,8312722l0,8312722l0,0">
                  <v:stroke weight="0pt" endcap="flat" joinstyle="miter" miterlimit="10" on="false" color="#000000" opacity="0"/>
                  <v:fill on="true" color="#eae9e8"/>
                </v:shape>
                <v:shape id="Shape 37183" style="position:absolute;width:653;height:83127;left:47868;top:0;" coordsize="65367,8312722" path="m0,0l65367,0l65367,8312722l0,8312722l0,0">
                  <v:stroke weight="0pt" endcap="flat" joinstyle="miter" miterlimit="10" on="false" color="#000000" opacity="0"/>
                  <v:fill on="true" color="#ebe9e9"/>
                </v:shape>
                <v:shape id="Shape 37184" style="position:absolute;width:653;height:83127;left:48522;top:0;" coordsize="65367,8312722" path="m0,0l65367,0l65367,8312722l0,8312722l0,0">
                  <v:stroke weight="0pt" endcap="flat" joinstyle="miter" miterlimit="10" on="false" color="#000000" opacity="0"/>
                  <v:fill on="true" color="#eceae9"/>
                </v:shape>
                <v:shape id="Shape 37185" style="position:absolute;width:653;height:83127;left:49176;top:0;" coordsize="65367,8312722" path="m0,0l65367,0l65367,8312722l0,8312722l0,0">
                  <v:stroke weight="0pt" endcap="flat" joinstyle="miter" miterlimit="10" on="false" color="#000000" opacity="0"/>
                  <v:fill on="true" color="#edebea"/>
                </v:shape>
                <v:shape id="Shape 37186" style="position:absolute;width:653;height:83127;left:49829;top:0;" coordsize="65367,8312722" path="m0,0l65367,0l65367,8312722l0,8312722l0,0">
                  <v:stroke weight="0pt" endcap="flat" joinstyle="miter" miterlimit="10" on="false" color="#000000" opacity="0"/>
                  <v:fill on="true" color="#eeeceb"/>
                </v:shape>
                <v:shape id="Shape 37187" style="position:absolute;width:653;height:83127;left:50483;top:0;" coordsize="65367,8312722" path="m0,0l65367,0l65367,8312722l0,8312722l0,0">
                  <v:stroke weight="0pt" endcap="flat" joinstyle="miter" miterlimit="10" on="false" color="#000000" opacity="0"/>
                  <v:fill on="true" color="#efedec"/>
                </v:shape>
                <v:shape id="Shape 37188" style="position:absolute;width:653;height:83127;left:51137;top:0;" coordsize="65367,8312722" path="m0,0l65367,0l65367,8312722l0,8312722l0,0">
                  <v:stroke weight="0pt" endcap="flat" joinstyle="miter" miterlimit="10" on="false" color="#000000" opacity="0"/>
                  <v:fill on="true" color="#f0eeed"/>
                </v:shape>
                <v:shape id="Shape 37189" style="position:absolute;width:653;height:83127;left:51791;top:0;" coordsize="65367,8312722" path="m0,0l65367,0l65367,8312722l0,8312722l0,0">
                  <v:stroke weight="0pt" endcap="flat" joinstyle="miter" miterlimit="10" on="false" color="#000000" opacity="0"/>
                  <v:fill on="true" color="#f1efee"/>
                </v:shape>
                <v:shape id="Shape 37190" style="position:absolute;width:653;height:83127;left:52444;top:0;" coordsize="65367,8312722" path="m0,0l65367,0l65367,8312722l0,8312722l0,0">
                  <v:stroke weight="0pt" endcap="flat" joinstyle="miter" miterlimit="10" on="false" color="#000000" opacity="0"/>
                  <v:fill on="true" color="#f2f0ef"/>
                </v:shape>
                <v:shape id="Shape 37191" style="position:absolute;width:653;height:83127;left:53098;top:0;" coordsize="65367,8312722" path="m0,0l65367,0l65367,8312722l0,8312722l0,0">
                  <v:stroke weight="0pt" endcap="flat" joinstyle="miter" miterlimit="10" on="false" color="#000000" opacity="0"/>
                  <v:fill on="true" color="#f2f0ef"/>
                </v:shape>
                <v:shape id="Shape 37192" style="position:absolute;width:653;height:83127;left:53752;top:0;" coordsize="65367,8312722" path="m0,0l65367,0l65367,8312722l0,8312722l0,0">
                  <v:stroke weight="0pt" endcap="flat" joinstyle="miter" miterlimit="10" on="false" color="#000000" opacity="0"/>
                  <v:fill on="true" color="#f3f1f0"/>
                </v:shape>
                <v:shape id="Shape 37193" style="position:absolute;width:653;height:83127;left:54405;top:0;" coordsize="65367,8312722" path="m0,0l65367,0l65367,8312722l0,8312722l0,0">
                  <v:stroke weight="0pt" endcap="flat" joinstyle="miter" miterlimit="10" on="false" color="#000000" opacity="0"/>
                  <v:fill on="true" color="#f4f2f1"/>
                </v:shape>
                <v:shape id="Shape 37194" style="position:absolute;width:653;height:83127;left:55059;top:0;" coordsize="65367,8312722" path="m0,0l65367,0l65367,8312722l0,8312722l0,0">
                  <v:stroke weight="0pt" endcap="flat" joinstyle="miter" miterlimit="10" on="false" color="#000000" opacity="0"/>
                  <v:fill on="true" color="#f5f3f2"/>
                </v:shape>
                <v:shape id="Shape 37195" style="position:absolute;width:653;height:83127;left:55713;top:0;" coordsize="65367,8312722" path="m0,0l65367,0l65367,8312722l0,8312722l0,0">
                  <v:stroke weight="0pt" endcap="flat" joinstyle="miter" miterlimit="10" on="false" color="#000000" opacity="0"/>
                  <v:fill on="true" color="#f6f4f3"/>
                </v:shape>
                <v:shape id="Shape 37196" style="position:absolute;width:653;height:83127;left:56367;top:0;" coordsize="65367,8312722" path="m0,0l65367,0l65367,8312722l0,8312722l0,0">
                  <v:stroke weight="0pt" endcap="flat" joinstyle="miter" miterlimit="10" on="false" color="#000000" opacity="0"/>
                  <v:fill on="true" color="#f6f5f4"/>
                </v:shape>
                <v:shape id="Shape 37197" style="position:absolute;width:653;height:83127;left:57020;top:0;" coordsize="65367,8312722" path="m0,0l65367,0l65367,8312722l0,8312722l0,0">
                  <v:stroke weight="0pt" endcap="flat" joinstyle="miter" miterlimit="10" on="false" color="#000000" opacity="0"/>
                  <v:fill on="true" color="#f7f6f5"/>
                </v:shape>
                <v:shape id="Shape 37198" style="position:absolute;width:653;height:83127;left:57674;top:0;" coordsize="65367,8312722" path="m0,0l65367,0l65367,8312722l0,8312722l0,0">
                  <v:stroke weight="0pt" endcap="flat" joinstyle="miter" miterlimit="10" on="false" color="#000000" opacity="0"/>
                  <v:fill on="true" color="#f8f7f6"/>
                </v:shape>
                <v:shape id="Shape 37199" style="position:absolute;width:653;height:83127;left:58328;top:0;" coordsize="65367,8312722" path="m0,0l65367,0l65367,8312722l0,8312722l0,0">
                  <v:stroke weight="0pt" endcap="flat" joinstyle="miter" miterlimit="10" on="false" color="#000000" opacity="0"/>
                  <v:fill on="true" color="#f9f8f6"/>
                </v:shape>
                <v:shape id="Shape 37200" style="position:absolute;width:653;height:83127;left:58981;top:0;" coordsize="65367,8312722" path="m0,0l65367,0l65367,8312722l0,8312722l0,0">
                  <v:stroke weight="0pt" endcap="flat" joinstyle="miter" miterlimit="10" on="false" color="#000000" opacity="0"/>
                  <v:fill on="true" color="#faf8f7"/>
                </v:shape>
                <v:shape id="Shape 37201" style="position:absolute;width:653;height:83127;left:59635;top:0;" coordsize="65367,8312722" path="m0,0l65367,0l65367,8312722l0,8312722l0,0">
                  <v:stroke weight="0pt" endcap="flat" joinstyle="miter" miterlimit="10" on="false" color="#000000" opacity="0"/>
                  <v:fill on="true" color="#faf9f8"/>
                </v:shape>
                <v:shape id="Shape 37202" style="position:absolute;width:653;height:83127;left:60289;top:0;" coordsize="65367,8312722" path="m0,0l65367,0l65367,8312722l0,8312722l0,0">
                  <v:stroke weight="0pt" endcap="flat" joinstyle="miter" miterlimit="10" on="false" color="#000000" opacity="0"/>
                  <v:fill on="true" color="#fbfaf9"/>
                </v:shape>
                <v:shape id="Shape 37203" style="position:absolute;width:653;height:83127;left:60943;top:0;" coordsize="65367,8312722" path="m0,0l65367,0l65367,8312722l0,8312722l0,0">
                  <v:stroke weight="0pt" endcap="flat" joinstyle="miter" miterlimit="10" on="false" color="#000000" opacity="0"/>
                  <v:fill on="true" color="#fcfbfa"/>
                </v:shape>
                <v:shape id="Shape 37204" style="position:absolute;width:653;height:83127;left:61596;top:0;" coordsize="65367,8312722" path="m0,0l65367,0l65367,8312722l0,8312722l0,0">
                  <v:stroke weight="0pt" endcap="flat" joinstyle="miter" miterlimit="10" on="false" color="#000000" opacity="0"/>
                  <v:fill on="true" color="#fdfcfb"/>
                </v:shape>
              </v:group>
            </w:pict>
          </mc:Fallback>
        </mc:AlternateContent>
      </w:r>
      <w:r>
        <w:t xml:space="preserve">Reworked fragments of reef-building organisms in Upper Permian turbidites and Upper Permian carbonates encountered in an exploration well on the </w:t>
      </w:r>
      <w:proofErr w:type="spellStart"/>
      <w:r>
        <w:t>N</w:t>
      </w:r>
      <w:r>
        <w:t>ordland</w:t>
      </w:r>
      <w:proofErr w:type="spellEnd"/>
      <w:r>
        <w:t xml:space="preserve"> Ridge indicate that carbonate deposition and reef building occurred on structural highs on the </w:t>
      </w:r>
      <w:proofErr w:type="spellStart"/>
      <w:r>
        <w:t>Trøndelag</w:t>
      </w:r>
      <w:proofErr w:type="spellEnd"/>
      <w:r>
        <w:t xml:space="preserve"> Platform. The observations from the cored successions are key elements in a new Paleozoic play model on the </w:t>
      </w:r>
      <w:proofErr w:type="spellStart"/>
      <w:r>
        <w:t>midNorwegian</w:t>
      </w:r>
      <w:proofErr w:type="spellEnd"/>
      <w:r>
        <w:t xml:space="preserve"> continental shelf and </w:t>
      </w:r>
      <w:r>
        <w:t>include the first evidence for the existence of an Upper Permian source rock in the area, with Upper Permian carbonates or sandstones or Triassic–Jurassic sandstones as reservoir.</w:t>
      </w:r>
    </w:p>
    <w:p w14:paraId="17373845" w14:textId="77777777" w:rsidR="00A978F6" w:rsidRDefault="001A5B1A">
      <w:pPr>
        <w:spacing w:after="39" w:line="252" w:lineRule="auto"/>
        <w:ind w:left="186" w:right="0" w:hanging="10"/>
        <w:jc w:val="left"/>
      </w:pPr>
      <w:r>
        <w:rPr>
          <w:rFonts w:ascii="Calibri" w:eastAsia="Calibri" w:hAnsi="Calibri" w:cs="Calibri"/>
          <w:sz w:val="16"/>
        </w:rPr>
        <w:t>Copyright 2002. The American Association of Petroleum Geologists. All rights</w:t>
      </w:r>
      <w:r>
        <w:rPr>
          <w:rFonts w:ascii="Calibri" w:eastAsia="Calibri" w:hAnsi="Calibri" w:cs="Calibri"/>
          <w:sz w:val="16"/>
        </w:rPr>
        <w:t xml:space="preserve"> reserved.</w:t>
      </w:r>
    </w:p>
    <w:p w14:paraId="3C766C5C" w14:textId="77777777" w:rsidR="00A978F6" w:rsidRDefault="001A5B1A">
      <w:pPr>
        <w:spacing w:after="278" w:line="252" w:lineRule="auto"/>
        <w:ind w:left="186" w:right="0" w:hanging="10"/>
        <w:jc w:val="left"/>
      </w:pPr>
      <w:r>
        <w:rPr>
          <w:rFonts w:ascii="Calibri" w:eastAsia="Calibri" w:hAnsi="Calibri" w:cs="Calibri"/>
          <w:sz w:val="16"/>
        </w:rPr>
        <w:t>Manuscript received December 15, 1999; revised manuscript received January 4, 2001; final acceptance March 13, 2001.</w:t>
      </w:r>
    </w:p>
    <w:p w14:paraId="2627CF3A" w14:textId="77777777" w:rsidR="00A978F6" w:rsidRDefault="001A5B1A">
      <w:pPr>
        <w:spacing w:after="115" w:line="259" w:lineRule="auto"/>
        <w:ind w:left="0" w:right="120" w:firstLine="0"/>
        <w:jc w:val="right"/>
      </w:pPr>
      <w:r>
        <w:rPr>
          <w:rFonts w:ascii="Calibri" w:eastAsia="Calibri" w:hAnsi="Calibri" w:cs="Calibri"/>
        </w:rPr>
        <w:t>AAPG Bulletin, v. 86, no. 1 (January 2002), pp. 107–127</w:t>
      </w:r>
      <w:r>
        <w:rPr>
          <w:rFonts w:ascii="Calibri" w:eastAsia="Calibri" w:hAnsi="Calibri" w:cs="Calibri"/>
        </w:rPr>
        <w:tab/>
        <w:t>107 AUTHORS</w:t>
      </w:r>
    </w:p>
    <w:p w14:paraId="6045BAB0" w14:textId="77777777" w:rsidR="00A978F6" w:rsidRDefault="001A5B1A">
      <w:pPr>
        <w:spacing w:after="6" w:line="252" w:lineRule="auto"/>
        <w:ind w:left="-5" w:right="0" w:hanging="10"/>
      </w:pPr>
      <w:r>
        <w:rPr>
          <w:rFonts w:ascii="Calibri" w:eastAsia="Calibri" w:hAnsi="Calibri" w:cs="Calibri"/>
        </w:rPr>
        <w:t xml:space="preserve">T. </w:t>
      </w:r>
      <w:proofErr w:type="spellStart"/>
      <w:proofErr w:type="gramStart"/>
      <w:r>
        <w:rPr>
          <w:rFonts w:ascii="Calibri" w:eastAsia="Calibri" w:hAnsi="Calibri" w:cs="Calibri"/>
        </w:rPr>
        <w:t>Bugge</w:t>
      </w:r>
      <w:proofErr w:type="spellEnd"/>
      <w:r>
        <w:rPr>
          <w:rFonts w:ascii="Calibri" w:eastAsia="Calibri" w:hAnsi="Calibri" w:cs="Calibri"/>
        </w:rPr>
        <w:t xml:space="preserve">  </w:t>
      </w:r>
      <w:proofErr w:type="spellStart"/>
      <w:r>
        <w:rPr>
          <w:rFonts w:ascii="Calibri" w:eastAsia="Calibri" w:hAnsi="Calibri" w:cs="Calibri"/>
          <w:i/>
          <w:sz w:val="18"/>
        </w:rPr>
        <w:t>Norsk</w:t>
      </w:r>
      <w:proofErr w:type="spellEnd"/>
      <w:proofErr w:type="gramEnd"/>
      <w:r>
        <w:rPr>
          <w:rFonts w:ascii="Calibri" w:eastAsia="Calibri" w:hAnsi="Calibri" w:cs="Calibri"/>
          <w:i/>
          <w:sz w:val="18"/>
        </w:rPr>
        <w:t xml:space="preserve"> Hydro ASA, N-9480 </w:t>
      </w:r>
      <w:proofErr w:type="spellStart"/>
      <w:r>
        <w:rPr>
          <w:rFonts w:ascii="Calibri" w:eastAsia="Calibri" w:hAnsi="Calibri" w:cs="Calibri"/>
          <w:i/>
          <w:sz w:val="18"/>
        </w:rPr>
        <w:t>Harstad</w:t>
      </w:r>
      <w:proofErr w:type="spellEnd"/>
      <w:r>
        <w:rPr>
          <w:rFonts w:ascii="Calibri" w:eastAsia="Calibri" w:hAnsi="Calibri" w:cs="Calibri"/>
          <w:i/>
          <w:sz w:val="18"/>
        </w:rPr>
        <w:t>,</w:t>
      </w:r>
    </w:p>
    <w:p w14:paraId="6E17CAE0" w14:textId="77777777" w:rsidR="00A978F6" w:rsidRDefault="001A5B1A">
      <w:pPr>
        <w:spacing w:after="68" w:line="252" w:lineRule="auto"/>
        <w:ind w:left="-5" w:right="0" w:hanging="10"/>
      </w:pPr>
      <w:r>
        <w:rPr>
          <w:rFonts w:ascii="Calibri" w:eastAsia="Calibri" w:hAnsi="Calibri" w:cs="Calibri"/>
          <w:i/>
          <w:sz w:val="18"/>
        </w:rPr>
        <w:t>Norway; tom.bugge@hydro.com</w:t>
      </w:r>
    </w:p>
    <w:p w14:paraId="21CEE485" w14:textId="77777777" w:rsidR="00A978F6" w:rsidRDefault="001A5B1A">
      <w:pPr>
        <w:spacing w:line="250" w:lineRule="auto"/>
        <w:ind w:left="-5" w:right="37" w:hanging="10"/>
        <w:jc w:val="left"/>
      </w:pPr>
      <w:r>
        <w:rPr>
          <w:rFonts w:ascii="Calibri" w:eastAsia="Calibri" w:hAnsi="Calibri" w:cs="Calibri"/>
          <w:sz w:val="18"/>
        </w:rPr>
        <w:t xml:space="preserve">Tom </w:t>
      </w:r>
      <w:proofErr w:type="spellStart"/>
      <w:r>
        <w:rPr>
          <w:rFonts w:ascii="Calibri" w:eastAsia="Calibri" w:hAnsi="Calibri" w:cs="Calibri"/>
          <w:sz w:val="18"/>
        </w:rPr>
        <w:t>Bugge</w:t>
      </w:r>
      <w:proofErr w:type="spellEnd"/>
      <w:r>
        <w:rPr>
          <w:rFonts w:ascii="Calibri" w:eastAsia="Calibri" w:hAnsi="Calibri" w:cs="Calibri"/>
          <w:sz w:val="18"/>
        </w:rPr>
        <w:t xml:space="preserve"> received his Ph.D. at the Norwegian University of Science and Technology in 1983. He studied the slope stability on the Norwegian continental margin and discovered the huge submarine </w:t>
      </w:r>
      <w:proofErr w:type="spellStart"/>
      <w:r>
        <w:rPr>
          <w:rFonts w:ascii="Calibri" w:eastAsia="Calibri" w:hAnsi="Calibri" w:cs="Calibri"/>
          <w:sz w:val="18"/>
        </w:rPr>
        <w:t>St</w:t>
      </w:r>
      <w:r>
        <w:rPr>
          <w:rFonts w:ascii="Calibri" w:eastAsia="Calibri" w:hAnsi="Calibri" w:cs="Calibri"/>
          <w:sz w:val="18"/>
        </w:rPr>
        <w:t>oregga</w:t>
      </w:r>
      <w:proofErr w:type="spellEnd"/>
      <w:r>
        <w:rPr>
          <w:rFonts w:ascii="Calibri" w:eastAsia="Calibri" w:hAnsi="Calibri" w:cs="Calibri"/>
          <w:sz w:val="18"/>
        </w:rPr>
        <w:t xml:space="preserve"> Slide. After working at the Continental Shelf Division of the Norwegian</w:t>
      </w:r>
    </w:p>
    <w:p w14:paraId="19218096" w14:textId="77777777" w:rsidR="00A978F6" w:rsidRDefault="001A5B1A">
      <w:pPr>
        <w:spacing w:line="250" w:lineRule="auto"/>
        <w:ind w:left="-5" w:right="37" w:hanging="10"/>
        <w:jc w:val="left"/>
      </w:pPr>
      <w:r>
        <w:rPr>
          <w:rFonts w:ascii="Calibri" w:eastAsia="Calibri" w:hAnsi="Calibri" w:cs="Calibri"/>
          <w:sz w:val="18"/>
        </w:rPr>
        <w:t>Research Council and at IKU Petroleum Research,</w:t>
      </w:r>
    </w:p>
    <w:p w14:paraId="354EABCC" w14:textId="77777777" w:rsidR="00A978F6" w:rsidRDefault="001A5B1A">
      <w:pPr>
        <w:spacing w:after="190" w:line="250" w:lineRule="auto"/>
        <w:ind w:left="-5" w:right="37" w:hanging="10"/>
        <w:jc w:val="left"/>
      </w:pPr>
      <w:r>
        <w:rPr>
          <w:rFonts w:ascii="Calibri" w:eastAsia="Calibri" w:hAnsi="Calibri" w:cs="Calibri"/>
          <w:sz w:val="18"/>
        </w:rPr>
        <w:t xml:space="preserve">Tom worked for the Exploration Department of Saga Petroleum and now </w:t>
      </w:r>
      <w:proofErr w:type="spellStart"/>
      <w:r>
        <w:rPr>
          <w:rFonts w:ascii="Calibri" w:eastAsia="Calibri" w:hAnsi="Calibri" w:cs="Calibri"/>
          <w:sz w:val="18"/>
        </w:rPr>
        <w:t>Norsk</w:t>
      </w:r>
      <w:proofErr w:type="spellEnd"/>
      <w:r>
        <w:rPr>
          <w:rFonts w:ascii="Calibri" w:eastAsia="Calibri" w:hAnsi="Calibri" w:cs="Calibri"/>
          <w:sz w:val="18"/>
        </w:rPr>
        <w:t xml:space="preserve"> Hydro. His </w:t>
      </w:r>
      <w:proofErr w:type="gramStart"/>
      <w:r>
        <w:rPr>
          <w:rFonts w:ascii="Calibri" w:eastAsia="Calibri" w:hAnsi="Calibri" w:cs="Calibri"/>
          <w:sz w:val="18"/>
        </w:rPr>
        <w:t>fairly comprehensive</w:t>
      </w:r>
      <w:proofErr w:type="gramEnd"/>
      <w:r>
        <w:rPr>
          <w:rFonts w:ascii="Calibri" w:eastAsia="Calibri" w:hAnsi="Calibri" w:cs="Calibri"/>
          <w:sz w:val="18"/>
        </w:rPr>
        <w:t xml:space="preserve"> published work includes</w:t>
      </w:r>
      <w:r>
        <w:rPr>
          <w:rFonts w:ascii="Calibri" w:eastAsia="Calibri" w:hAnsi="Calibri" w:cs="Calibri"/>
          <w:sz w:val="18"/>
        </w:rPr>
        <w:t xml:space="preserve"> marine and shallow geology and exploration-related geology.</w:t>
      </w:r>
    </w:p>
    <w:p w14:paraId="26217885" w14:textId="77777777" w:rsidR="00A978F6" w:rsidRDefault="001A5B1A">
      <w:pPr>
        <w:spacing w:after="6" w:line="252" w:lineRule="auto"/>
        <w:ind w:left="-5" w:right="0" w:hanging="10"/>
      </w:pPr>
      <w:r>
        <w:rPr>
          <w:rFonts w:ascii="Calibri" w:eastAsia="Calibri" w:hAnsi="Calibri" w:cs="Calibri"/>
        </w:rPr>
        <w:t xml:space="preserve">J. E. </w:t>
      </w:r>
      <w:proofErr w:type="spellStart"/>
      <w:r>
        <w:rPr>
          <w:rFonts w:ascii="Calibri" w:eastAsia="Calibri" w:hAnsi="Calibri" w:cs="Calibri"/>
        </w:rPr>
        <w:t>Ringa˚</w:t>
      </w:r>
      <w:proofErr w:type="gramStart"/>
      <w:r>
        <w:rPr>
          <w:rFonts w:ascii="Calibri" w:eastAsia="Calibri" w:hAnsi="Calibri" w:cs="Calibri"/>
        </w:rPr>
        <w:t>s</w:t>
      </w:r>
      <w:proofErr w:type="spellEnd"/>
      <w:r>
        <w:rPr>
          <w:rFonts w:ascii="Calibri" w:eastAsia="Calibri" w:hAnsi="Calibri" w:cs="Calibri"/>
        </w:rPr>
        <w:t xml:space="preserve">  </w:t>
      </w:r>
      <w:r>
        <w:rPr>
          <w:rFonts w:ascii="Calibri" w:eastAsia="Calibri" w:hAnsi="Calibri" w:cs="Calibri"/>
          <w:i/>
          <w:sz w:val="18"/>
        </w:rPr>
        <w:t>Statoil</w:t>
      </w:r>
      <w:proofErr w:type="gramEnd"/>
      <w:r>
        <w:rPr>
          <w:rFonts w:ascii="Calibri" w:eastAsia="Calibri" w:hAnsi="Calibri" w:cs="Calibri"/>
          <w:i/>
          <w:sz w:val="18"/>
        </w:rPr>
        <w:t>, P.O. Box 273, N-7501</w:t>
      </w:r>
    </w:p>
    <w:p w14:paraId="6D193DC3" w14:textId="77777777" w:rsidR="00A978F6" w:rsidRDefault="001A5B1A">
      <w:pPr>
        <w:spacing w:after="68" w:line="252" w:lineRule="auto"/>
        <w:ind w:left="-5" w:right="0" w:hanging="10"/>
      </w:pPr>
      <w:proofErr w:type="spellStart"/>
      <w:r>
        <w:rPr>
          <w:rFonts w:ascii="Calibri" w:eastAsia="Calibri" w:hAnsi="Calibri" w:cs="Calibri"/>
          <w:i/>
          <w:sz w:val="18"/>
        </w:rPr>
        <w:t>Stjørdal</w:t>
      </w:r>
      <w:proofErr w:type="spellEnd"/>
      <w:r>
        <w:rPr>
          <w:rFonts w:ascii="Calibri" w:eastAsia="Calibri" w:hAnsi="Calibri" w:cs="Calibri"/>
          <w:i/>
          <w:sz w:val="18"/>
        </w:rPr>
        <w:t>, Norway; JERING@statoil.com</w:t>
      </w:r>
    </w:p>
    <w:p w14:paraId="7C634B8F" w14:textId="77777777" w:rsidR="00A978F6" w:rsidRDefault="001A5B1A">
      <w:pPr>
        <w:spacing w:line="250" w:lineRule="auto"/>
        <w:ind w:left="-5" w:right="37" w:hanging="10"/>
        <w:jc w:val="left"/>
      </w:pPr>
      <w:r>
        <w:rPr>
          <w:rFonts w:ascii="Calibri" w:eastAsia="Calibri" w:hAnsi="Calibri" w:cs="Calibri"/>
          <w:sz w:val="18"/>
        </w:rPr>
        <w:t xml:space="preserve">Jan Einar </w:t>
      </w:r>
      <w:proofErr w:type="spellStart"/>
      <w:r>
        <w:rPr>
          <w:rFonts w:ascii="Calibri" w:eastAsia="Calibri" w:hAnsi="Calibri" w:cs="Calibri"/>
          <w:sz w:val="18"/>
        </w:rPr>
        <w:t>Ringa˚s</w:t>
      </w:r>
      <w:proofErr w:type="spellEnd"/>
      <w:r>
        <w:rPr>
          <w:rFonts w:ascii="Calibri" w:eastAsia="Calibri" w:hAnsi="Calibri" w:cs="Calibri"/>
          <w:sz w:val="18"/>
        </w:rPr>
        <w:t xml:space="preserve"> received his M.Sc. degree at the</w:t>
      </w:r>
    </w:p>
    <w:p w14:paraId="0856B88B" w14:textId="77777777" w:rsidR="00A978F6" w:rsidRDefault="001A5B1A">
      <w:pPr>
        <w:spacing w:line="250" w:lineRule="auto"/>
        <w:ind w:left="-5" w:right="37" w:hanging="10"/>
        <w:jc w:val="left"/>
      </w:pPr>
      <w:r>
        <w:rPr>
          <w:rFonts w:ascii="Calibri" w:eastAsia="Calibri" w:hAnsi="Calibri" w:cs="Calibri"/>
          <w:sz w:val="18"/>
        </w:rPr>
        <w:t>Norwegian University of Science and Technology in</w:t>
      </w:r>
    </w:p>
    <w:p w14:paraId="01F26F43" w14:textId="77777777" w:rsidR="00A978F6" w:rsidRDefault="001A5B1A">
      <w:pPr>
        <w:spacing w:after="189" w:line="250" w:lineRule="auto"/>
        <w:ind w:left="-5" w:right="37" w:hanging="10"/>
        <w:jc w:val="left"/>
      </w:pPr>
      <w:r>
        <w:rPr>
          <w:rFonts w:ascii="Calibri" w:eastAsia="Calibri" w:hAnsi="Calibri" w:cs="Calibri"/>
          <w:sz w:val="18"/>
        </w:rPr>
        <w:t>1982. He wor</w:t>
      </w:r>
      <w:r>
        <w:rPr>
          <w:rFonts w:ascii="Calibri" w:eastAsia="Calibri" w:hAnsi="Calibri" w:cs="Calibri"/>
          <w:sz w:val="18"/>
        </w:rPr>
        <w:t xml:space="preserve">ked for Elf Petroleum Norge from 1983 to 1990, first as an exploration geologist and later within reservoir geology. He joined IKU/ SINTEF Petroleum Research in 1990 and participated in the seismic mapping of targets for shallow stratigraphic drilling. He </w:t>
      </w:r>
      <w:r>
        <w:rPr>
          <w:rFonts w:ascii="Calibri" w:eastAsia="Calibri" w:hAnsi="Calibri" w:cs="Calibri"/>
          <w:sz w:val="18"/>
        </w:rPr>
        <w:t>continued to work within reservoir geology, and has from 1997 worked as a reservoir staff geologist for Statoil.</w:t>
      </w:r>
    </w:p>
    <w:p w14:paraId="4CA30ABF" w14:textId="77777777" w:rsidR="00A978F6" w:rsidRDefault="001A5B1A">
      <w:pPr>
        <w:spacing w:after="6" w:line="252" w:lineRule="auto"/>
        <w:ind w:left="-5" w:right="0" w:hanging="10"/>
      </w:pPr>
      <w:r>
        <w:rPr>
          <w:rFonts w:ascii="Calibri" w:eastAsia="Calibri" w:hAnsi="Calibri" w:cs="Calibri"/>
        </w:rPr>
        <w:t xml:space="preserve">D. A. </w:t>
      </w:r>
      <w:proofErr w:type="gramStart"/>
      <w:r>
        <w:rPr>
          <w:rFonts w:ascii="Calibri" w:eastAsia="Calibri" w:hAnsi="Calibri" w:cs="Calibri"/>
        </w:rPr>
        <w:t xml:space="preserve">Leith  </w:t>
      </w:r>
      <w:r>
        <w:rPr>
          <w:rFonts w:ascii="Calibri" w:eastAsia="Calibri" w:hAnsi="Calibri" w:cs="Calibri"/>
          <w:i/>
          <w:sz w:val="18"/>
        </w:rPr>
        <w:t>Statoil</w:t>
      </w:r>
      <w:proofErr w:type="gramEnd"/>
      <w:r>
        <w:rPr>
          <w:rFonts w:ascii="Calibri" w:eastAsia="Calibri" w:hAnsi="Calibri" w:cs="Calibri"/>
          <w:i/>
          <w:sz w:val="18"/>
        </w:rPr>
        <w:t>, P.O. Box 273, N-7501</w:t>
      </w:r>
    </w:p>
    <w:p w14:paraId="25E01E14" w14:textId="77777777" w:rsidR="00A978F6" w:rsidRDefault="001A5B1A">
      <w:pPr>
        <w:spacing w:after="68" w:line="252" w:lineRule="auto"/>
        <w:ind w:left="-5" w:right="0" w:hanging="10"/>
      </w:pPr>
      <w:proofErr w:type="spellStart"/>
      <w:r>
        <w:rPr>
          <w:rFonts w:ascii="Calibri" w:eastAsia="Calibri" w:hAnsi="Calibri" w:cs="Calibri"/>
          <w:i/>
          <w:sz w:val="18"/>
        </w:rPr>
        <w:t>Stjørdal</w:t>
      </w:r>
      <w:proofErr w:type="spellEnd"/>
      <w:r>
        <w:rPr>
          <w:rFonts w:ascii="Calibri" w:eastAsia="Calibri" w:hAnsi="Calibri" w:cs="Calibri"/>
          <w:i/>
          <w:sz w:val="18"/>
        </w:rPr>
        <w:t>, Norway; DEL@statoil.com</w:t>
      </w:r>
    </w:p>
    <w:p w14:paraId="21EEA3D5" w14:textId="77777777" w:rsidR="00A978F6" w:rsidRDefault="001A5B1A">
      <w:pPr>
        <w:spacing w:after="188" w:line="250" w:lineRule="auto"/>
        <w:ind w:left="-5" w:right="37" w:hanging="10"/>
        <w:jc w:val="left"/>
      </w:pPr>
      <w:r>
        <w:rPr>
          <w:rFonts w:ascii="Calibri" w:eastAsia="Calibri" w:hAnsi="Calibri" w:cs="Calibri"/>
          <w:sz w:val="18"/>
        </w:rPr>
        <w:t xml:space="preserve">Deborah Leith received a B.Sc. degree from the University of Glasgow, Scotland, in 1985, returning to gain an M.Sc. degree from the same university in 1989. She joined IKU/SINTEF Petroleum Research in 1991, where she worked as a </w:t>
      </w:r>
      <w:proofErr w:type="spellStart"/>
      <w:r>
        <w:rPr>
          <w:rFonts w:ascii="Calibri" w:eastAsia="Calibri" w:hAnsi="Calibri" w:cs="Calibri"/>
          <w:sz w:val="18"/>
        </w:rPr>
        <w:t>sedimentologist</w:t>
      </w:r>
      <w:proofErr w:type="spellEnd"/>
      <w:r>
        <w:rPr>
          <w:rFonts w:ascii="Calibri" w:eastAsia="Calibri" w:hAnsi="Calibri" w:cs="Calibri"/>
          <w:sz w:val="18"/>
        </w:rPr>
        <w:t xml:space="preserve"> on a variet</w:t>
      </w:r>
      <w:r>
        <w:rPr>
          <w:rFonts w:ascii="Calibri" w:eastAsia="Calibri" w:hAnsi="Calibri" w:cs="Calibri"/>
          <w:sz w:val="18"/>
        </w:rPr>
        <w:t xml:space="preserve">y of exploration and reservoir characterization projects. Deborah joined Den </w:t>
      </w:r>
      <w:proofErr w:type="spellStart"/>
      <w:r>
        <w:rPr>
          <w:rFonts w:ascii="Calibri" w:eastAsia="Calibri" w:hAnsi="Calibri" w:cs="Calibri"/>
          <w:sz w:val="18"/>
        </w:rPr>
        <w:t>norske</w:t>
      </w:r>
      <w:proofErr w:type="spellEnd"/>
      <w:r>
        <w:rPr>
          <w:rFonts w:ascii="Calibri" w:eastAsia="Calibri" w:hAnsi="Calibri" w:cs="Calibri"/>
          <w:sz w:val="18"/>
        </w:rPr>
        <w:t xml:space="preserve"> stats </w:t>
      </w:r>
      <w:proofErr w:type="spellStart"/>
      <w:r>
        <w:rPr>
          <w:rFonts w:ascii="Calibri" w:eastAsia="Calibri" w:hAnsi="Calibri" w:cs="Calibri"/>
          <w:sz w:val="18"/>
        </w:rPr>
        <w:t>oljeselskap</w:t>
      </w:r>
      <w:proofErr w:type="spellEnd"/>
      <w:r>
        <w:rPr>
          <w:rFonts w:ascii="Calibri" w:eastAsia="Calibri" w:hAnsi="Calibri" w:cs="Calibri"/>
          <w:sz w:val="18"/>
        </w:rPr>
        <w:t xml:space="preserve"> </w:t>
      </w:r>
      <w:proofErr w:type="spellStart"/>
      <w:r>
        <w:rPr>
          <w:rFonts w:ascii="Calibri" w:eastAsia="Calibri" w:hAnsi="Calibri" w:cs="Calibri"/>
          <w:sz w:val="18"/>
        </w:rPr>
        <w:t>a.s.</w:t>
      </w:r>
      <w:proofErr w:type="spellEnd"/>
      <w:r>
        <w:rPr>
          <w:rFonts w:ascii="Calibri" w:eastAsia="Calibri" w:hAnsi="Calibri" w:cs="Calibri"/>
          <w:sz w:val="18"/>
        </w:rPr>
        <w:t xml:space="preserve"> (Statoil) in 1996, where she currently works as </w:t>
      </w:r>
      <w:proofErr w:type="spellStart"/>
      <w:r>
        <w:rPr>
          <w:rFonts w:ascii="Calibri" w:eastAsia="Calibri" w:hAnsi="Calibri" w:cs="Calibri"/>
          <w:sz w:val="18"/>
        </w:rPr>
        <w:t>sedimentologist</w:t>
      </w:r>
      <w:proofErr w:type="spellEnd"/>
      <w:r>
        <w:rPr>
          <w:rFonts w:ascii="Calibri" w:eastAsia="Calibri" w:hAnsi="Calibri" w:cs="Calibri"/>
          <w:sz w:val="18"/>
        </w:rPr>
        <w:t xml:space="preserve"> for the </w:t>
      </w:r>
      <w:proofErr w:type="spellStart"/>
      <w:r>
        <w:rPr>
          <w:rFonts w:ascii="Calibri" w:eastAsia="Calibri" w:hAnsi="Calibri" w:cs="Calibri"/>
          <w:sz w:val="18"/>
        </w:rPr>
        <w:t>Heidrun</w:t>
      </w:r>
      <w:proofErr w:type="spellEnd"/>
      <w:r>
        <w:rPr>
          <w:rFonts w:ascii="Calibri" w:eastAsia="Calibri" w:hAnsi="Calibri" w:cs="Calibri"/>
          <w:sz w:val="18"/>
        </w:rPr>
        <w:t xml:space="preserve"> field.</w:t>
      </w:r>
    </w:p>
    <w:p w14:paraId="5B0FEF8E" w14:textId="77777777" w:rsidR="00A978F6" w:rsidRDefault="001A5B1A">
      <w:pPr>
        <w:numPr>
          <w:ilvl w:val="0"/>
          <w:numId w:val="1"/>
        </w:numPr>
        <w:spacing w:after="70" w:line="252" w:lineRule="auto"/>
        <w:ind w:right="148" w:hanging="10"/>
      </w:pPr>
      <w:proofErr w:type="spellStart"/>
      <w:proofErr w:type="gramStart"/>
      <w:r>
        <w:rPr>
          <w:rFonts w:ascii="Calibri" w:eastAsia="Calibri" w:hAnsi="Calibri" w:cs="Calibri"/>
        </w:rPr>
        <w:t>Mangerud</w:t>
      </w:r>
      <w:proofErr w:type="spellEnd"/>
      <w:r>
        <w:rPr>
          <w:rFonts w:ascii="Calibri" w:eastAsia="Calibri" w:hAnsi="Calibri" w:cs="Calibri"/>
        </w:rPr>
        <w:t xml:space="preserve">  </w:t>
      </w:r>
      <w:proofErr w:type="spellStart"/>
      <w:r>
        <w:rPr>
          <w:rFonts w:ascii="Calibri" w:eastAsia="Calibri" w:hAnsi="Calibri" w:cs="Calibri"/>
          <w:i/>
          <w:sz w:val="18"/>
        </w:rPr>
        <w:t>Norsk</w:t>
      </w:r>
      <w:proofErr w:type="spellEnd"/>
      <w:proofErr w:type="gramEnd"/>
      <w:r>
        <w:rPr>
          <w:rFonts w:ascii="Calibri" w:eastAsia="Calibri" w:hAnsi="Calibri" w:cs="Calibri"/>
          <w:i/>
          <w:sz w:val="18"/>
        </w:rPr>
        <w:t xml:space="preserve"> Hydro Research Centre, N-5020 Bergen, Norway; </w:t>
      </w:r>
      <w:r>
        <w:rPr>
          <w:rFonts w:ascii="Calibri" w:eastAsia="Calibri" w:hAnsi="Calibri" w:cs="Calibri"/>
          <w:i/>
          <w:sz w:val="18"/>
        </w:rPr>
        <w:t>gunn.mangerud@hydro.com</w:t>
      </w:r>
    </w:p>
    <w:p w14:paraId="0D65F7E0" w14:textId="77777777" w:rsidR="00A978F6" w:rsidRDefault="001A5B1A">
      <w:pPr>
        <w:spacing w:after="190" w:line="250" w:lineRule="auto"/>
        <w:ind w:left="-5" w:right="37" w:hanging="10"/>
        <w:jc w:val="left"/>
      </w:pPr>
      <w:r>
        <w:rPr>
          <w:rFonts w:ascii="Calibri" w:eastAsia="Calibri" w:hAnsi="Calibri" w:cs="Calibri"/>
          <w:sz w:val="18"/>
        </w:rPr>
        <w:t xml:space="preserve">Gunn </w:t>
      </w:r>
      <w:proofErr w:type="spellStart"/>
      <w:r>
        <w:rPr>
          <w:rFonts w:ascii="Calibri" w:eastAsia="Calibri" w:hAnsi="Calibri" w:cs="Calibri"/>
          <w:sz w:val="18"/>
        </w:rPr>
        <w:t>Mangerud</w:t>
      </w:r>
      <w:proofErr w:type="spellEnd"/>
      <w:r>
        <w:rPr>
          <w:rFonts w:ascii="Calibri" w:eastAsia="Calibri" w:hAnsi="Calibri" w:cs="Calibri"/>
          <w:sz w:val="18"/>
        </w:rPr>
        <w:t xml:space="preserve"> received her M.Sc. degree from the University of Trondheim, Norway, in 1988 and worked on Paleozoic and Triassic stratigraphy and geology of the Arctic region at IKU Petroleum Research until 1993. In 1993 she began wor</w:t>
      </w:r>
      <w:r>
        <w:rPr>
          <w:rFonts w:ascii="Calibri" w:eastAsia="Calibri" w:hAnsi="Calibri" w:cs="Calibri"/>
          <w:sz w:val="18"/>
        </w:rPr>
        <w:t xml:space="preserve">k as a geologist at </w:t>
      </w:r>
      <w:proofErr w:type="spellStart"/>
      <w:r>
        <w:rPr>
          <w:rFonts w:ascii="Calibri" w:eastAsia="Calibri" w:hAnsi="Calibri" w:cs="Calibri"/>
          <w:sz w:val="18"/>
        </w:rPr>
        <w:t>Norsk</w:t>
      </w:r>
      <w:proofErr w:type="spellEnd"/>
      <w:r>
        <w:rPr>
          <w:rFonts w:ascii="Calibri" w:eastAsia="Calibri" w:hAnsi="Calibri" w:cs="Calibri"/>
          <w:sz w:val="18"/>
        </w:rPr>
        <w:t xml:space="preserve"> Hydro’s Research Centre in Bergen, with a main work </w:t>
      </w:r>
      <w:r>
        <w:rPr>
          <w:rFonts w:ascii="Calibri" w:eastAsia="Calibri" w:hAnsi="Calibri" w:cs="Calibri"/>
          <w:sz w:val="18"/>
        </w:rPr>
        <w:lastRenderedPageBreak/>
        <w:t>area in biostratigraphy. Gunn received her Ph.D. on Permian stratigraphy of the Barents Sea from the University of Bergen in 1994. She has since worked on various research and ex</w:t>
      </w:r>
      <w:r>
        <w:rPr>
          <w:rFonts w:ascii="Calibri" w:eastAsia="Calibri" w:hAnsi="Calibri" w:cs="Calibri"/>
          <w:sz w:val="18"/>
        </w:rPr>
        <w:t>ploration projects, mainly on the Norwegian continental shelf, including a three-year period as a project leader for the New Play Models R&amp;D project. She now works as a section head for the Sedimentology and Stratigraphy Department.</w:t>
      </w:r>
    </w:p>
    <w:p w14:paraId="1BE30553" w14:textId="77777777" w:rsidR="00A978F6" w:rsidRDefault="001A5B1A">
      <w:pPr>
        <w:numPr>
          <w:ilvl w:val="0"/>
          <w:numId w:val="1"/>
        </w:numPr>
        <w:spacing w:after="79" w:line="252" w:lineRule="auto"/>
        <w:ind w:right="148" w:hanging="10"/>
      </w:pPr>
      <w:r>
        <w:rPr>
          <w:rFonts w:ascii="Calibri" w:eastAsia="Calibri" w:hAnsi="Calibri" w:cs="Calibri"/>
        </w:rPr>
        <w:t xml:space="preserve">M. </w:t>
      </w:r>
      <w:proofErr w:type="gramStart"/>
      <w:r>
        <w:rPr>
          <w:rFonts w:ascii="Calibri" w:eastAsia="Calibri" w:hAnsi="Calibri" w:cs="Calibri"/>
        </w:rPr>
        <w:t xml:space="preserve">Weiss  </w:t>
      </w:r>
      <w:r>
        <w:rPr>
          <w:rFonts w:ascii="Calibri" w:eastAsia="Calibri" w:hAnsi="Calibri" w:cs="Calibri"/>
          <w:i/>
          <w:sz w:val="18"/>
        </w:rPr>
        <w:t>SINTEF</w:t>
      </w:r>
      <w:proofErr w:type="gramEnd"/>
      <w:r>
        <w:rPr>
          <w:rFonts w:ascii="Calibri" w:eastAsia="Calibri" w:hAnsi="Calibri" w:cs="Calibri"/>
          <w:i/>
          <w:sz w:val="18"/>
        </w:rPr>
        <w:t xml:space="preserve"> Petrol</w:t>
      </w:r>
      <w:r>
        <w:rPr>
          <w:rFonts w:ascii="Calibri" w:eastAsia="Calibri" w:hAnsi="Calibri" w:cs="Calibri"/>
          <w:i/>
          <w:sz w:val="18"/>
        </w:rPr>
        <w:t>eum Research, N-7465 Trondheim, Norway; hermann.weiss@iku.sintef.no</w:t>
      </w:r>
    </w:p>
    <w:p w14:paraId="6F4FF66C" w14:textId="77777777" w:rsidR="00A978F6" w:rsidRDefault="001A5B1A">
      <w:pPr>
        <w:spacing w:after="190" w:line="250" w:lineRule="auto"/>
        <w:ind w:left="249" w:right="37" w:hanging="10"/>
        <w:jc w:val="left"/>
      </w:pPr>
      <w:r>
        <w:rPr>
          <w:rFonts w:ascii="Calibri" w:eastAsia="Calibri" w:hAnsi="Calibri" w:cs="Calibri"/>
          <w:sz w:val="18"/>
        </w:rPr>
        <w:t xml:space="preserve">Hermann M. Weiss received a diploma in mineralogy (1979) from the University of Heidelberg, Germany. He worked at KFA </w:t>
      </w:r>
      <w:proofErr w:type="spellStart"/>
      <w:r>
        <w:rPr>
          <w:rFonts w:ascii="Calibri" w:eastAsia="Calibri" w:hAnsi="Calibri" w:cs="Calibri"/>
          <w:sz w:val="18"/>
        </w:rPr>
        <w:t>Ju¨lich</w:t>
      </w:r>
      <w:proofErr w:type="spellEnd"/>
      <w:r>
        <w:rPr>
          <w:rFonts w:ascii="Calibri" w:eastAsia="Calibri" w:hAnsi="Calibri" w:cs="Calibri"/>
          <w:sz w:val="18"/>
        </w:rPr>
        <w:t xml:space="preserve"> on petroleum-geochemical aspects of the West Canada basin and </w:t>
      </w:r>
      <w:r>
        <w:rPr>
          <w:rFonts w:ascii="Calibri" w:eastAsia="Calibri" w:hAnsi="Calibri" w:cs="Calibri"/>
          <w:sz w:val="18"/>
        </w:rPr>
        <w:t xml:space="preserve">obtained a Ph.D. (1985) from the Institute of Technology (RWTH), Aachen, Germany. He joined IKU/SINTEF Petroleum Research in 1985 and was the geochemist responsible for several of the institute’s shallow drilling projects in the Barents Sea, the Norwegian </w:t>
      </w:r>
      <w:r>
        <w:rPr>
          <w:rFonts w:ascii="Calibri" w:eastAsia="Calibri" w:hAnsi="Calibri" w:cs="Calibri"/>
          <w:sz w:val="18"/>
        </w:rPr>
        <w:t>Sea, and the Skagerrak.</w:t>
      </w:r>
    </w:p>
    <w:p w14:paraId="69AD930E" w14:textId="77777777" w:rsidR="00A978F6" w:rsidRDefault="001A5B1A">
      <w:pPr>
        <w:spacing w:after="6" w:line="252" w:lineRule="auto"/>
        <w:ind w:left="249" w:right="0" w:hanging="10"/>
      </w:pPr>
      <w:r>
        <w:rPr>
          <w:rFonts w:ascii="Calibri" w:eastAsia="Calibri" w:hAnsi="Calibri" w:cs="Calibri"/>
        </w:rPr>
        <w:t xml:space="preserve">T. L. </w:t>
      </w:r>
      <w:proofErr w:type="gramStart"/>
      <w:r>
        <w:rPr>
          <w:rFonts w:ascii="Calibri" w:eastAsia="Calibri" w:hAnsi="Calibri" w:cs="Calibri"/>
        </w:rPr>
        <w:t xml:space="preserve">Leith  </w:t>
      </w:r>
      <w:r>
        <w:rPr>
          <w:rFonts w:ascii="Calibri" w:eastAsia="Calibri" w:hAnsi="Calibri" w:cs="Calibri"/>
          <w:i/>
          <w:sz w:val="18"/>
        </w:rPr>
        <w:t>Statoil</w:t>
      </w:r>
      <w:proofErr w:type="gramEnd"/>
      <w:r>
        <w:rPr>
          <w:rFonts w:ascii="Calibri" w:eastAsia="Calibri" w:hAnsi="Calibri" w:cs="Calibri"/>
          <w:i/>
          <w:sz w:val="18"/>
        </w:rPr>
        <w:t xml:space="preserve"> Research Centre, </w:t>
      </w:r>
      <w:proofErr w:type="spellStart"/>
      <w:r>
        <w:rPr>
          <w:rFonts w:ascii="Calibri" w:eastAsia="Calibri" w:hAnsi="Calibri" w:cs="Calibri"/>
          <w:i/>
          <w:sz w:val="18"/>
        </w:rPr>
        <w:t>Rotvoll</w:t>
      </w:r>
      <w:proofErr w:type="spellEnd"/>
      <w:r>
        <w:rPr>
          <w:rFonts w:ascii="Calibri" w:eastAsia="Calibri" w:hAnsi="Calibri" w:cs="Calibri"/>
          <w:i/>
          <w:sz w:val="18"/>
        </w:rPr>
        <w:t>,</w:t>
      </w:r>
    </w:p>
    <w:p w14:paraId="42EF69CF" w14:textId="77777777" w:rsidR="00A978F6" w:rsidRDefault="001A5B1A">
      <w:pPr>
        <w:spacing w:after="83" w:line="252" w:lineRule="auto"/>
        <w:ind w:left="249" w:right="0" w:hanging="10"/>
      </w:pPr>
      <w:r>
        <w:rPr>
          <w:rFonts w:ascii="Calibri" w:eastAsia="Calibri" w:hAnsi="Calibri" w:cs="Calibri"/>
          <w:i/>
          <w:sz w:val="18"/>
        </w:rPr>
        <w:t>N-7005 Trondheim, Norway; tlle@statoil.com</w:t>
      </w:r>
    </w:p>
    <w:p w14:paraId="75BB0F59" w14:textId="77777777" w:rsidR="00A978F6" w:rsidRDefault="001A5B1A">
      <w:pPr>
        <w:spacing w:line="250" w:lineRule="auto"/>
        <w:ind w:left="249" w:right="37" w:hanging="10"/>
        <w:jc w:val="left"/>
      </w:pPr>
      <w:r>
        <w:rPr>
          <w:rFonts w:ascii="Calibri" w:eastAsia="Calibri" w:hAnsi="Calibri" w:cs="Calibri"/>
          <w:sz w:val="18"/>
        </w:rPr>
        <w:t>Les Leith received an M.Sc. degree in organic geochemistry from the University of Newcastle upon Tyne, England, and a Ph.D. in petroleum engineering from Heriot-Watt University in Scotland. After joining IKU as a geochemist in</w:t>
      </w:r>
    </w:p>
    <w:p w14:paraId="2448D1C7" w14:textId="77777777" w:rsidR="00A978F6" w:rsidRDefault="001A5B1A">
      <w:pPr>
        <w:spacing w:after="450" w:line="250" w:lineRule="auto"/>
        <w:ind w:left="249" w:right="37" w:hanging="10"/>
        <w:jc w:val="left"/>
      </w:pPr>
      <w:r>
        <w:rPr>
          <w:rFonts w:ascii="Calibri" w:eastAsia="Calibri" w:hAnsi="Calibri" w:cs="Calibri"/>
          <w:sz w:val="18"/>
        </w:rPr>
        <w:t>1984, Les moved to Statoil’s Research Centre in Trondheim in 1998. He has published work on the geochemistry of reservoir cap rocks, North Sea coals, and regional Arctic geochemistry.</w:t>
      </w:r>
    </w:p>
    <w:p w14:paraId="18A4904B" w14:textId="77777777" w:rsidR="00A978F6" w:rsidRDefault="001A5B1A">
      <w:pPr>
        <w:pStyle w:val="1"/>
        <w:spacing w:after="97"/>
        <w:ind w:left="249" w:right="46"/>
      </w:pPr>
      <w:r>
        <w:t>ACKNOWLEDGEMENTS</w:t>
      </w:r>
    </w:p>
    <w:p w14:paraId="7C404E48" w14:textId="77777777" w:rsidR="00A978F6" w:rsidRDefault="001A5B1A">
      <w:pPr>
        <w:spacing w:line="250" w:lineRule="auto"/>
        <w:ind w:left="249" w:right="37" w:hanging="10"/>
        <w:jc w:val="left"/>
      </w:pPr>
      <w:r>
        <w:rPr>
          <w:rFonts w:ascii="Calibri" w:eastAsia="Calibri" w:hAnsi="Calibri" w:cs="Calibri"/>
          <w:sz w:val="18"/>
        </w:rPr>
        <w:t xml:space="preserve">All of us worked at IKU Petroleum Research (now SINTEF </w:t>
      </w:r>
      <w:r>
        <w:rPr>
          <w:rFonts w:ascii="Calibri" w:eastAsia="Calibri" w:hAnsi="Calibri" w:cs="Calibri"/>
          <w:sz w:val="18"/>
        </w:rPr>
        <w:t xml:space="preserve">Petroleum Research) during the shallow stratigraphic drilling project. The project was supported by Mobil Exploration Norway Inc., </w:t>
      </w:r>
      <w:proofErr w:type="spellStart"/>
      <w:r>
        <w:rPr>
          <w:rFonts w:ascii="Calibri" w:eastAsia="Calibri" w:hAnsi="Calibri" w:cs="Calibri"/>
          <w:sz w:val="18"/>
        </w:rPr>
        <w:t>Norsk</w:t>
      </w:r>
      <w:proofErr w:type="spellEnd"/>
    </w:p>
    <w:p w14:paraId="4A081378" w14:textId="77777777" w:rsidR="00A978F6" w:rsidRDefault="001A5B1A">
      <w:pPr>
        <w:spacing w:line="250" w:lineRule="auto"/>
        <w:ind w:left="249" w:right="37" w:hanging="10"/>
        <w:jc w:val="left"/>
      </w:pPr>
      <w:r>
        <w:rPr>
          <w:rFonts w:ascii="Calibri" w:eastAsia="Calibri" w:hAnsi="Calibri" w:cs="Calibri"/>
          <w:noProof/>
          <w:color w:val="000000"/>
          <w:sz w:val="22"/>
        </w:rPr>
        <mc:AlternateContent>
          <mc:Choice Requires="wpg">
            <w:drawing>
              <wp:anchor distT="0" distB="0" distL="114300" distR="114300" simplePos="0" relativeHeight="251659264" behindDoc="1" locked="0" layoutInCell="1" allowOverlap="1" wp14:anchorId="29E068F4" wp14:editId="21272332">
                <wp:simplePos x="0" y="0"/>
                <wp:positionH relativeFrom="column">
                  <wp:posOffset>6</wp:posOffset>
                </wp:positionH>
                <wp:positionV relativeFrom="paragraph">
                  <wp:posOffset>-5492531</wp:posOffset>
                </wp:positionV>
                <wp:extent cx="2353361" cy="8312722"/>
                <wp:effectExtent l="0" t="0" r="0" b="0"/>
                <wp:wrapNone/>
                <wp:docPr id="31815" name="Group 31815"/>
                <wp:cNvGraphicFramePr/>
                <a:graphic xmlns:a="http://schemas.openxmlformats.org/drawingml/2006/main">
                  <a:graphicData uri="http://schemas.microsoft.com/office/word/2010/wordprocessingGroup">
                    <wpg:wgp>
                      <wpg:cNvGrpSpPr/>
                      <wpg:grpSpPr>
                        <a:xfrm>
                          <a:off x="0" y="0"/>
                          <a:ext cx="2353361" cy="8312722"/>
                          <a:chOff x="0" y="0"/>
                          <a:chExt cx="2353361" cy="8312722"/>
                        </a:xfrm>
                      </wpg:grpSpPr>
                      <wps:wsp>
                        <wps:cNvPr id="37209" name="Shape 37209"/>
                        <wps:cNvSpPr/>
                        <wps:spPr>
                          <a:xfrm>
                            <a:off x="0"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DEDDDC"/>
                          </a:fillRef>
                          <a:effectRef idx="0">
                            <a:scrgbClr r="0" g="0" b="0"/>
                          </a:effectRef>
                          <a:fontRef idx="none"/>
                        </wps:style>
                        <wps:bodyPr/>
                      </wps:wsp>
                      <wps:wsp>
                        <wps:cNvPr id="37210" name="Shape 37210"/>
                        <wps:cNvSpPr/>
                        <wps:spPr>
                          <a:xfrm>
                            <a:off x="65367"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DEDDDD"/>
                          </a:fillRef>
                          <a:effectRef idx="0">
                            <a:scrgbClr r="0" g="0" b="0"/>
                          </a:effectRef>
                          <a:fontRef idx="none"/>
                        </wps:style>
                        <wps:bodyPr/>
                      </wps:wsp>
                      <wps:wsp>
                        <wps:cNvPr id="37211" name="Shape 37211"/>
                        <wps:cNvSpPr/>
                        <wps:spPr>
                          <a:xfrm>
                            <a:off x="130734"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DFDEDE"/>
                          </a:fillRef>
                          <a:effectRef idx="0">
                            <a:scrgbClr r="0" g="0" b="0"/>
                          </a:effectRef>
                          <a:fontRef idx="none"/>
                        </wps:style>
                        <wps:bodyPr/>
                      </wps:wsp>
                      <wps:wsp>
                        <wps:cNvPr id="37212" name="Shape 37212"/>
                        <wps:cNvSpPr/>
                        <wps:spPr>
                          <a:xfrm>
                            <a:off x="196113"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E0DFDE"/>
                          </a:fillRef>
                          <a:effectRef idx="0">
                            <a:scrgbClr r="0" g="0" b="0"/>
                          </a:effectRef>
                          <a:fontRef idx="none"/>
                        </wps:style>
                        <wps:bodyPr/>
                      </wps:wsp>
                      <wps:wsp>
                        <wps:cNvPr id="37213" name="Shape 37213"/>
                        <wps:cNvSpPr/>
                        <wps:spPr>
                          <a:xfrm>
                            <a:off x="261480"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E1E0DF"/>
                          </a:fillRef>
                          <a:effectRef idx="0">
                            <a:scrgbClr r="0" g="0" b="0"/>
                          </a:effectRef>
                          <a:fontRef idx="none"/>
                        </wps:style>
                        <wps:bodyPr/>
                      </wps:wsp>
                      <wps:wsp>
                        <wps:cNvPr id="37214" name="Shape 37214"/>
                        <wps:cNvSpPr/>
                        <wps:spPr>
                          <a:xfrm>
                            <a:off x="326847"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E2E1E0"/>
                          </a:fillRef>
                          <a:effectRef idx="0">
                            <a:scrgbClr r="0" g="0" b="0"/>
                          </a:effectRef>
                          <a:fontRef idx="none"/>
                        </wps:style>
                        <wps:bodyPr/>
                      </wps:wsp>
                      <wps:wsp>
                        <wps:cNvPr id="37215" name="Shape 37215"/>
                        <wps:cNvSpPr/>
                        <wps:spPr>
                          <a:xfrm>
                            <a:off x="392227"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E3E2E1"/>
                          </a:fillRef>
                          <a:effectRef idx="0">
                            <a:scrgbClr r="0" g="0" b="0"/>
                          </a:effectRef>
                          <a:fontRef idx="none"/>
                        </wps:style>
                        <wps:bodyPr/>
                      </wps:wsp>
                      <wps:wsp>
                        <wps:cNvPr id="37216" name="Shape 37216"/>
                        <wps:cNvSpPr/>
                        <wps:spPr>
                          <a:xfrm>
                            <a:off x="457594"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E4E2E2"/>
                          </a:fillRef>
                          <a:effectRef idx="0">
                            <a:scrgbClr r="0" g="0" b="0"/>
                          </a:effectRef>
                          <a:fontRef idx="none"/>
                        </wps:style>
                        <wps:bodyPr/>
                      </wps:wsp>
                      <wps:wsp>
                        <wps:cNvPr id="37217" name="Shape 37217"/>
                        <wps:cNvSpPr/>
                        <wps:spPr>
                          <a:xfrm>
                            <a:off x="522961"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E5E3E3"/>
                          </a:fillRef>
                          <a:effectRef idx="0">
                            <a:scrgbClr r="0" g="0" b="0"/>
                          </a:effectRef>
                          <a:fontRef idx="none"/>
                        </wps:style>
                        <wps:bodyPr/>
                      </wps:wsp>
                      <wps:wsp>
                        <wps:cNvPr id="37218" name="Shape 37218"/>
                        <wps:cNvSpPr/>
                        <wps:spPr>
                          <a:xfrm>
                            <a:off x="588340"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E6E4E3"/>
                          </a:fillRef>
                          <a:effectRef idx="0">
                            <a:scrgbClr r="0" g="0" b="0"/>
                          </a:effectRef>
                          <a:fontRef idx="none"/>
                        </wps:style>
                        <wps:bodyPr/>
                      </wps:wsp>
                      <wps:wsp>
                        <wps:cNvPr id="37219" name="Shape 37219"/>
                        <wps:cNvSpPr/>
                        <wps:spPr>
                          <a:xfrm>
                            <a:off x="653707"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E6E5E4"/>
                          </a:fillRef>
                          <a:effectRef idx="0">
                            <a:scrgbClr r="0" g="0" b="0"/>
                          </a:effectRef>
                          <a:fontRef idx="none"/>
                        </wps:style>
                        <wps:bodyPr/>
                      </wps:wsp>
                      <wps:wsp>
                        <wps:cNvPr id="37220" name="Shape 37220"/>
                        <wps:cNvSpPr/>
                        <wps:spPr>
                          <a:xfrm>
                            <a:off x="719087"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E7E6E5"/>
                          </a:fillRef>
                          <a:effectRef idx="0">
                            <a:scrgbClr r="0" g="0" b="0"/>
                          </a:effectRef>
                          <a:fontRef idx="none"/>
                        </wps:style>
                        <wps:bodyPr/>
                      </wps:wsp>
                      <wps:wsp>
                        <wps:cNvPr id="37221" name="Shape 37221"/>
                        <wps:cNvSpPr/>
                        <wps:spPr>
                          <a:xfrm>
                            <a:off x="784454"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E8E7E6"/>
                          </a:fillRef>
                          <a:effectRef idx="0">
                            <a:scrgbClr r="0" g="0" b="0"/>
                          </a:effectRef>
                          <a:fontRef idx="none"/>
                        </wps:style>
                        <wps:bodyPr/>
                      </wps:wsp>
                      <wps:wsp>
                        <wps:cNvPr id="37222" name="Shape 37222"/>
                        <wps:cNvSpPr/>
                        <wps:spPr>
                          <a:xfrm>
                            <a:off x="849820"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EAE9E8"/>
                          </a:fillRef>
                          <a:effectRef idx="0">
                            <a:scrgbClr r="0" g="0" b="0"/>
                          </a:effectRef>
                          <a:fontRef idx="none"/>
                        </wps:style>
                        <wps:bodyPr/>
                      </wps:wsp>
                      <wps:wsp>
                        <wps:cNvPr id="37223" name="Shape 37223"/>
                        <wps:cNvSpPr/>
                        <wps:spPr>
                          <a:xfrm>
                            <a:off x="915200"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EBE9E9"/>
                          </a:fillRef>
                          <a:effectRef idx="0">
                            <a:scrgbClr r="0" g="0" b="0"/>
                          </a:effectRef>
                          <a:fontRef idx="none"/>
                        </wps:style>
                        <wps:bodyPr/>
                      </wps:wsp>
                      <wps:wsp>
                        <wps:cNvPr id="37224" name="Shape 37224"/>
                        <wps:cNvSpPr/>
                        <wps:spPr>
                          <a:xfrm>
                            <a:off x="980567"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ECEAE9"/>
                          </a:fillRef>
                          <a:effectRef idx="0">
                            <a:scrgbClr r="0" g="0" b="0"/>
                          </a:effectRef>
                          <a:fontRef idx="none"/>
                        </wps:style>
                        <wps:bodyPr/>
                      </wps:wsp>
                      <wps:wsp>
                        <wps:cNvPr id="37225" name="Shape 37225"/>
                        <wps:cNvSpPr/>
                        <wps:spPr>
                          <a:xfrm>
                            <a:off x="1045934"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EDEBEA"/>
                          </a:fillRef>
                          <a:effectRef idx="0">
                            <a:scrgbClr r="0" g="0" b="0"/>
                          </a:effectRef>
                          <a:fontRef idx="none"/>
                        </wps:style>
                        <wps:bodyPr/>
                      </wps:wsp>
                      <wps:wsp>
                        <wps:cNvPr id="37226" name="Shape 37226"/>
                        <wps:cNvSpPr/>
                        <wps:spPr>
                          <a:xfrm>
                            <a:off x="1111313"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EEECEB"/>
                          </a:fillRef>
                          <a:effectRef idx="0">
                            <a:scrgbClr r="0" g="0" b="0"/>
                          </a:effectRef>
                          <a:fontRef idx="none"/>
                        </wps:style>
                        <wps:bodyPr/>
                      </wps:wsp>
                      <wps:wsp>
                        <wps:cNvPr id="37227" name="Shape 37227"/>
                        <wps:cNvSpPr/>
                        <wps:spPr>
                          <a:xfrm>
                            <a:off x="1176680"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EFEDEC"/>
                          </a:fillRef>
                          <a:effectRef idx="0">
                            <a:scrgbClr r="0" g="0" b="0"/>
                          </a:effectRef>
                          <a:fontRef idx="none"/>
                        </wps:style>
                        <wps:bodyPr/>
                      </wps:wsp>
                      <wps:wsp>
                        <wps:cNvPr id="37228" name="Shape 37228"/>
                        <wps:cNvSpPr/>
                        <wps:spPr>
                          <a:xfrm>
                            <a:off x="1242047"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F0EEED"/>
                          </a:fillRef>
                          <a:effectRef idx="0">
                            <a:scrgbClr r="0" g="0" b="0"/>
                          </a:effectRef>
                          <a:fontRef idx="none"/>
                        </wps:style>
                        <wps:bodyPr/>
                      </wps:wsp>
                      <wps:wsp>
                        <wps:cNvPr id="37229" name="Shape 37229"/>
                        <wps:cNvSpPr/>
                        <wps:spPr>
                          <a:xfrm>
                            <a:off x="1307427"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F1EFEE"/>
                          </a:fillRef>
                          <a:effectRef idx="0">
                            <a:scrgbClr r="0" g="0" b="0"/>
                          </a:effectRef>
                          <a:fontRef idx="none"/>
                        </wps:style>
                        <wps:bodyPr/>
                      </wps:wsp>
                      <wps:wsp>
                        <wps:cNvPr id="37230" name="Shape 37230"/>
                        <wps:cNvSpPr/>
                        <wps:spPr>
                          <a:xfrm>
                            <a:off x="1372794"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F2F0EF"/>
                          </a:fillRef>
                          <a:effectRef idx="0">
                            <a:scrgbClr r="0" g="0" b="0"/>
                          </a:effectRef>
                          <a:fontRef idx="none"/>
                        </wps:style>
                        <wps:bodyPr/>
                      </wps:wsp>
                      <wps:wsp>
                        <wps:cNvPr id="37231" name="Shape 37231"/>
                        <wps:cNvSpPr/>
                        <wps:spPr>
                          <a:xfrm>
                            <a:off x="1438173"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F2F0EF"/>
                          </a:fillRef>
                          <a:effectRef idx="0">
                            <a:scrgbClr r="0" g="0" b="0"/>
                          </a:effectRef>
                          <a:fontRef idx="none"/>
                        </wps:style>
                        <wps:bodyPr/>
                      </wps:wsp>
                      <wps:wsp>
                        <wps:cNvPr id="37232" name="Shape 37232"/>
                        <wps:cNvSpPr/>
                        <wps:spPr>
                          <a:xfrm>
                            <a:off x="1503540"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F3F1F0"/>
                          </a:fillRef>
                          <a:effectRef idx="0">
                            <a:scrgbClr r="0" g="0" b="0"/>
                          </a:effectRef>
                          <a:fontRef idx="none"/>
                        </wps:style>
                        <wps:bodyPr/>
                      </wps:wsp>
                      <wps:wsp>
                        <wps:cNvPr id="37233" name="Shape 37233"/>
                        <wps:cNvSpPr/>
                        <wps:spPr>
                          <a:xfrm>
                            <a:off x="1568907"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F4F2F1"/>
                          </a:fillRef>
                          <a:effectRef idx="0">
                            <a:scrgbClr r="0" g="0" b="0"/>
                          </a:effectRef>
                          <a:fontRef idx="none"/>
                        </wps:style>
                        <wps:bodyPr/>
                      </wps:wsp>
                      <wps:wsp>
                        <wps:cNvPr id="37234" name="Shape 37234"/>
                        <wps:cNvSpPr/>
                        <wps:spPr>
                          <a:xfrm>
                            <a:off x="1634287"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F5F3F2"/>
                          </a:fillRef>
                          <a:effectRef idx="0">
                            <a:scrgbClr r="0" g="0" b="0"/>
                          </a:effectRef>
                          <a:fontRef idx="none"/>
                        </wps:style>
                        <wps:bodyPr/>
                      </wps:wsp>
                      <wps:wsp>
                        <wps:cNvPr id="37235" name="Shape 37235"/>
                        <wps:cNvSpPr/>
                        <wps:spPr>
                          <a:xfrm>
                            <a:off x="1699654"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F6F4F3"/>
                          </a:fillRef>
                          <a:effectRef idx="0">
                            <a:scrgbClr r="0" g="0" b="0"/>
                          </a:effectRef>
                          <a:fontRef idx="none"/>
                        </wps:style>
                        <wps:bodyPr/>
                      </wps:wsp>
                      <wps:wsp>
                        <wps:cNvPr id="37236" name="Shape 37236"/>
                        <wps:cNvSpPr/>
                        <wps:spPr>
                          <a:xfrm>
                            <a:off x="1765021"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F6F5F4"/>
                          </a:fillRef>
                          <a:effectRef idx="0">
                            <a:scrgbClr r="0" g="0" b="0"/>
                          </a:effectRef>
                          <a:fontRef idx="none"/>
                        </wps:style>
                        <wps:bodyPr/>
                      </wps:wsp>
                      <wps:wsp>
                        <wps:cNvPr id="37237" name="Shape 37237"/>
                        <wps:cNvSpPr/>
                        <wps:spPr>
                          <a:xfrm>
                            <a:off x="1830400"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F7F6F5"/>
                          </a:fillRef>
                          <a:effectRef idx="0">
                            <a:scrgbClr r="0" g="0" b="0"/>
                          </a:effectRef>
                          <a:fontRef idx="none"/>
                        </wps:style>
                        <wps:bodyPr/>
                      </wps:wsp>
                      <wps:wsp>
                        <wps:cNvPr id="37238" name="Shape 37238"/>
                        <wps:cNvSpPr/>
                        <wps:spPr>
                          <a:xfrm>
                            <a:off x="1895767"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F8F7F6"/>
                          </a:fillRef>
                          <a:effectRef idx="0">
                            <a:scrgbClr r="0" g="0" b="0"/>
                          </a:effectRef>
                          <a:fontRef idx="none"/>
                        </wps:style>
                        <wps:bodyPr/>
                      </wps:wsp>
                      <wps:wsp>
                        <wps:cNvPr id="37239" name="Shape 37239"/>
                        <wps:cNvSpPr/>
                        <wps:spPr>
                          <a:xfrm>
                            <a:off x="1961134"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F9F8F6"/>
                          </a:fillRef>
                          <a:effectRef idx="0">
                            <a:scrgbClr r="0" g="0" b="0"/>
                          </a:effectRef>
                          <a:fontRef idx="none"/>
                        </wps:style>
                        <wps:bodyPr/>
                      </wps:wsp>
                      <wps:wsp>
                        <wps:cNvPr id="37240" name="Shape 37240"/>
                        <wps:cNvSpPr/>
                        <wps:spPr>
                          <a:xfrm>
                            <a:off x="2026514"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FAF8F7"/>
                          </a:fillRef>
                          <a:effectRef idx="0">
                            <a:scrgbClr r="0" g="0" b="0"/>
                          </a:effectRef>
                          <a:fontRef idx="none"/>
                        </wps:style>
                        <wps:bodyPr/>
                      </wps:wsp>
                      <wps:wsp>
                        <wps:cNvPr id="37241" name="Shape 37241"/>
                        <wps:cNvSpPr/>
                        <wps:spPr>
                          <a:xfrm>
                            <a:off x="2091881"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FAF9F8"/>
                          </a:fillRef>
                          <a:effectRef idx="0">
                            <a:scrgbClr r="0" g="0" b="0"/>
                          </a:effectRef>
                          <a:fontRef idx="none"/>
                        </wps:style>
                        <wps:bodyPr/>
                      </wps:wsp>
                      <wps:wsp>
                        <wps:cNvPr id="37242" name="Shape 37242"/>
                        <wps:cNvSpPr/>
                        <wps:spPr>
                          <a:xfrm>
                            <a:off x="2157260"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FBFAF9"/>
                          </a:fillRef>
                          <a:effectRef idx="0">
                            <a:scrgbClr r="0" g="0" b="0"/>
                          </a:effectRef>
                          <a:fontRef idx="none"/>
                        </wps:style>
                        <wps:bodyPr/>
                      </wps:wsp>
                      <wps:wsp>
                        <wps:cNvPr id="37243" name="Shape 37243"/>
                        <wps:cNvSpPr/>
                        <wps:spPr>
                          <a:xfrm>
                            <a:off x="2222627"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FCFBFA"/>
                          </a:fillRef>
                          <a:effectRef idx="0">
                            <a:scrgbClr r="0" g="0" b="0"/>
                          </a:effectRef>
                          <a:fontRef idx="none"/>
                        </wps:style>
                        <wps:bodyPr/>
                      </wps:wsp>
                      <wps:wsp>
                        <wps:cNvPr id="37244" name="Shape 37244"/>
                        <wps:cNvSpPr/>
                        <wps:spPr>
                          <a:xfrm>
                            <a:off x="2287994" y="0"/>
                            <a:ext cx="65367" cy="8312722"/>
                          </a:xfrm>
                          <a:custGeom>
                            <a:avLst/>
                            <a:gdLst/>
                            <a:ahLst/>
                            <a:cxnLst/>
                            <a:rect l="0" t="0" r="0" b="0"/>
                            <a:pathLst>
                              <a:path w="65367" h="8312722">
                                <a:moveTo>
                                  <a:pt x="0" y="0"/>
                                </a:moveTo>
                                <a:lnTo>
                                  <a:pt x="65367" y="0"/>
                                </a:lnTo>
                                <a:lnTo>
                                  <a:pt x="65367" y="8312722"/>
                                </a:lnTo>
                                <a:lnTo>
                                  <a:pt x="0" y="8312722"/>
                                </a:lnTo>
                                <a:lnTo>
                                  <a:pt x="0" y="0"/>
                                </a:lnTo>
                              </a:path>
                            </a:pathLst>
                          </a:custGeom>
                          <a:ln w="0" cap="flat">
                            <a:miter lim="127000"/>
                          </a:ln>
                        </wps:spPr>
                        <wps:style>
                          <a:lnRef idx="0">
                            <a:srgbClr val="000000">
                              <a:alpha val="0"/>
                            </a:srgbClr>
                          </a:lnRef>
                          <a:fillRef idx="1">
                            <a:srgbClr val="FDFCFB"/>
                          </a:fillRef>
                          <a:effectRef idx="0">
                            <a:scrgbClr r="0" g="0" b="0"/>
                          </a:effectRef>
                          <a:fontRef idx="none"/>
                        </wps:style>
                        <wps:bodyPr/>
                      </wps:wsp>
                    </wpg:wgp>
                  </a:graphicData>
                </a:graphic>
              </wp:anchor>
            </w:drawing>
          </mc:Choice>
          <mc:Fallback xmlns:a="http://schemas.openxmlformats.org/drawingml/2006/main">
            <w:pict>
              <v:group id="Group 31815" style="width:185.304pt;height:654.545pt;position:absolute;z-index:-2147483628;mso-position-horizontal-relative:text;mso-position-horizontal:absolute;margin-left:0.000499725pt;mso-position-vertical-relative:text;margin-top:-432.483pt;" coordsize="23533,83127">
                <v:shape id="Shape 37245" style="position:absolute;width:653;height:83127;left:0;top:0;" coordsize="65367,8312722" path="m0,0l65367,0l65367,8312722l0,8312722l0,0">
                  <v:stroke weight="0pt" endcap="flat" joinstyle="miter" miterlimit="10" on="false" color="#000000" opacity="0"/>
                  <v:fill on="true" color="#dedddc"/>
                </v:shape>
                <v:shape id="Shape 37246" style="position:absolute;width:653;height:83127;left:653;top:0;" coordsize="65367,8312722" path="m0,0l65367,0l65367,8312722l0,8312722l0,0">
                  <v:stroke weight="0pt" endcap="flat" joinstyle="miter" miterlimit="10" on="false" color="#000000" opacity="0"/>
                  <v:fill on="true" color="#dedddd"/>
                </v:shape>
                <v:shape id="Shape 37247" style="position:absolute;width:653;height:83127;left:1307;top:0;" coordsize="65367,8312722" path="m0,0l65367,0l65367,8312722l0,8312722l0,0">
                  <v:stroke weight="0pt" endcap="flat" joinstyle="miter" miterlimit="10" on="false" color="#000000" opacity="0"/>
                  <v:fill on="true" color="#dfdede"/>
                </v:shape>
                <v:shape id="Shape 37248" style="position:absolute;width:653;height:83127;left:1961;top:0;" coordsize="65367,8312722" path="m0,0l65367,0l65367,8312722l0,8312722l0,0">
                  <v:stroke weight="0pt" endcap="flat" joinstyle="miter" miterlimit="10" on="false" color="#000000" opacity="0"/>
                  <v:fill on="true" color="#e0dfde"/>
                </v:shape>
                <v:shape id="Shape 37249" style="position:absolute;width:653;height:83127;left:2614;top:0;" coordsize="65367,8312722" path="m0,0l65367,0l65367,8312722l0,8312722l0,0">
                  <v:stroke weight="0pt" endcap="flat" joinstyle="miter" miterlimit="10" on="false" color="#000000" opacity="0"/>
                  <v:fill on="true" color="#e1e0df"/>
                </v:shape>
                <v:shape id="Shape 37250" style="position:absolute;width:653;height:83127;left:3268;top:0;" coordsize="65367,8312722" path="m0,0l65367,0l65367,8312722l0,8312722l0,0">
                  <v:stroke weight="0pt" endcap="flat" joinstyle="miter" miterlimit="10" on="false" color="#000000" opacity="0"/>
                  <v:fill on="true" color="#e2e1e0"/>
                </v:shape>
                <v:shape id="Shape 37251" style="position:absolute;width:653;height:83127;left:3922;top:0;" coordsize="65367,8312722" path="m0,0l65367,0l65367,8312722l0,8312722l0,0">
                  <v:stroke weight="0pt" endcap="flat" joinstyle="miter" miterlimit="10" on="false" color="#000000" opacity="0"/>
                  <v:fill on="true" color="#e3e2e1"/>
                </v:shape>
                <v:shape id="Shape 37252" style="position:absolute;width:653;height:83127;left:4575;top:0;" coordsize="65367,8312722" path="m0,0l65367,0l65367,8312722l0,8312722l0,0">
                  <v:stroke weight="0pt" endcap="flat" joinstyle="miter" miterlimit="10" on="false" color="#000000" opacity="0"/>
                  <v:fill on="true" color="#e4e2e2"/>
                </v:shape>
                <v:shape id="Shape 37253" style="position:absolute;width:653;height:83127;left:5229;top:0;" coordsize="65367,8312722" path="m0,0l65367,0l65367,8312722l0,8312722l0,0">
                  <v:stroke weight="0pt" endcap="flat" joinstyle="miter" miterlimit="10" on="false" color="#000000" opacity="0"/>
                  <v:fill on="true" color="#e5e3e3"/>
                </v:shape>
                <v:shape id="Shape 37254" style="position:absolute;width:653;height:83127;left:5883;top:0;" coordsize="65367,8312722" path="m0,0l65367,0l65367,8312722l0,8312722l0,0">
                  <v:stroke weight="0pt" endcap="flat" joinstyle="miter" miterlimit="10" on="false" color="#000000" opacity="0"/>
                  <v:fill on="true" color="#e6e4e3"/>
                </v:shape>
                <v:shape id="Shape 37255" style="position:absolute;width:653;height:83127;left:6537;top:0;" coordsize="65367,8312722" path="m0,0l65367,0l65367,8312722l0,8312722l0,0">
                  <v:stroke weight="0pt" endcap="flat" joinstyle="miter" miterlimit="10" on="false" color="#000000" opacity="0"/>
                  <v:fill on="true" color="#e6e5e4"/>
                </v:shape>
                <v:shape id="Shape 37256" style="position:absolute;width:653;height:83127;left:7190;top:0;" coordsize="65367,8312722" path="m0,0l65367,0l65367,8312722l0,8312722l0,0">
                  <v:stroke weight="0pt" endcap="flat" joinstyle="miter" miterlimit="10" on="false" color="#000000" opacity="0"/>
                  <v:fill on="true" color="#e7e6e5"/>
                </v:shape>
                <v:shape id="Shape 37257" style="position:absolute;width:653;height:83127;left:7844;top:0;" coordsize="65367,8312722" path="m0,0l65367,0l65367,8312722l0,8312722l0,0">
                  <v:stroke weight="0pt" endcap="flat" joinstyle="miter" miterlimit="10" on="false" color="#000000" opacity="0"/>
                  <v:fill on="true" color="#e8e7e6"/>
                </v:shape>
                <v:shape id="Shape 37258" style="position:absolute;width:653;height:83127;left:8498;top:0;" coordsize="65367,8312722" path="m0,0l65367,0l65367,8312722l0,8312722l0,0">
                  <v:stroke weight="0pt" endcap="flat" joinstyle="miter" miterlimit="10" on="false" color="#000000" opacity="0"/>
                  <v:fill on="true" color="#eae9e8"/>
                </v:shape>
                <v:shape id="Shape 37259" style="position:absolute;width:653;height:83127;left:9152;top:0;" coordsize="65367,8312722" path="m0,0l65367,0l65367,8312722l0,8312722l0,0">
                  <v:stroke weight="0pt" endcap="flat" joinstyle="miter" miterlimit="10" on="false" color="#000000" opacity="0"/>
                  <v:fill on="true" color="#ebe9e9"/>
                </v:shape>
                <v:shape id="Shape 37260" style="position:absolute;width:653;height:83127;left:9805;top:0;" coordsize="65367,8312722" path="m0,0l65367,0l65367,8312722l0,8312722l0,0">
                  <v:stroke weight="0pt" endcap="flat" joinstyle="miter" miterlimit="10" on="false" color="#000000" opacity="0"/>
                  <v:fill on="true" color="#eceae9"/>
                </v:shape>
                <v:shape id="Shape 37261" style="position:absolute;width:653;height:83127;left:10459;top:0;" coordsize="65367,8312722" path="m0,0l65367,0l65367,8312722l0,8312722l0,0">
                  <v:stroke weight="0pt" endcap="flat" joinstyle="miter" miterlimit="10" on="false" color="#000000" opacity="0"/>
                  <v:fill on="true" color="#edebea"/>
                </v:shape>
                <v:shape id="Shape 37262" style="position:absolute;width:653;height:83127;left:11113;top:0;" coordsize="65367,8312722" path="m0,0l65367,0l65367,8312722l0,8312722l0,0">
                  <v:stroke weight="0pt" endcap="flat" joinstyle="miter" miterlimit="10" on="false" color="#000000" opacity="0"/>
                  <v:fill on="true" color="#eeeceb"/>
                </v:shape>
                <v:shape id="Shape 37263" style="position:absolute;width:653;height:83127;left:11766;top:0;" coordsize="65367,8312722" path="m0,0l65367,0l65367,8312722l0,8312722l0,0">
                  <v:stroke weight="0pt" endcap="flat" joinstyle="miter" miterlimit="10" on="false" color="#000000" opacity="0"/>
                  <v:fill on="true" color="#efedec"/>
                </v:shape>
                <v:shape id="Shape 37264" style="position:absolute;width:653;height:83127;left:12420;top:0;" coordsize="65367,8312722" path="m0,0l65367,0l65367,8312722l0,8312722l0,0">
                  <v:stroke weight="0pt" endcap="flat" joinstyle="miter" miterlimit="10" on="false" color="#000000" opacity="0"/>
                  <v:fill on="true" color="#f0eeed"/>
                </v:shape>
                <v:shape id="Shape 37265" style="position:absolute;width:653;height:83127;left:13074;top:0;" coordsize="65367,8312722" path="m0,0l65367,0l65367,8312722l0,8312722l0,0">
                  <v:stroke weight="0pt" endcap="flat" joinstyle="miter" miterlimit="10" on="false" color="#000000" opacity="0"/>
                  <v:fill on="true" color="#f1efee"/>
                </v:shape>
                <v:shape id="Shape 37266" style="position:absolute;width:653;height:83127;left:13727;top:0;" coordsize="65367,8312722" path="m0,0l65367,0l65367,8312722l0,8312722l0,0">
                  <v:stroke weight="0pt" endcap="flat" joinstyle="miter" miterlimit="10" on="false" color="#000000" opacity="0"/>
                  <v:fill on="true" color="#f2f0ef"/>
                </v:shape>
                <v:shape id="Shape 37267" style="position:absolute;width:653;height:83127;left:14381;top:0;" coordsize="65367,8312722" path="m0,0l65367,0l65367,8312722l0,8312722l0,0">
                  <v:stroke weight="0pt" endcap="flat" joinstyle="miter" miterlimit="10" on="false" color="#000000" opacity="0"/>
                  <v:fill on="true" color="#f2f0ef"/>
                </v:shape>
                <v:shape id="Shape 37268" style="position:absolute;width:653;height:83127;left:15035;top:0;" coordsize="65367,8312722" path="m0,0l65367,0l65367,8312722l0,8312722l0,0">
                  <v:stroke weight="0pt" endcap="flat" joinstyle="miter" miterlimit="10" on="false" color="#000000" opacity="0"/>
                  <v:fill on="true" color="#f3f1f0"/>
                </v:shape>
                <v:shape id="Shape 37269" style="position:absolute;width:653;height:83127;left:15689;top:0;" coordsize="65367,8312722" path="m0,0l65367,0l65367,8312722l0,8312722l0,0">
                  <v:stroke weight="0pt" endcap="flat" joinstyle="miter" miterlimit="10" on="false" color="#000000" opacity="0"/>
                  <v:fill on="true" color="#f4f2f1"/>
                </v:shape>
                <v:shape id="Shape 37270" style="position:absolute;width:653;height:83127;left:16342;top:0;" coordsize="65367,8312722" path="m0,0l65367,0l65367,8312722l0,8312722l0,0">
                  <v:stroke weight="0pt" endcap="flat" joinstyle="miter" miterlimit="10" on="false" color="#000000" opacity="0"/>
                  <v:fill on="true" color="#f5f3f2"/>
                </v:shape>
                <v:shape id="Shape 37271" style="position:absolute;width:653;height:83127;left:16996;top:0;" coordsize="65367,8312722" path="m0,0l65367,0l65367,8312722l0,8312722l0,0">
                  <v:stroke weight="0pt" endcap="flat" joinstyle="miter" miterlimit="10" on="false" color="#000000" opacity="0"/>
                  <v:fill on="true" color="#f6f4f3"/>
                </v:shape>
                <v:shape id="Shape 37272" style="position:absolute;width:653;height:83127;left:17650;top:0;" coordsize="65367,8312722" path="m0,0l65367,0l65367,8312722l0,8312722l0,0">
                  <v:stroke weight="0pt" endcap="flat" joinstyle="miter" miterlimit="10" on="false" color="#000000" opacity="0"/>
                  <v:fill on="true" color="#f6f5f4"/>
                </v:shape>
                <v:shape id="Shape 37273" style="position:absolute;width:653;height:83127;left:18304;top:0;" coordsize="65367,8312722" path="m0,0l65367,0l65367,8312722l0,8312722l0,0">
                  <v:stroke weight="0pt" endcap="flat" joinstyle="miter" miterlimit="10" on="false" color="#000000" opacity="0"/>
                  <v:fill on="true" color="#f7f6f5"/>
                </v:shape>
                <v:shape id="Shape 37274" style="position:absolute;width:653;height:83127;left:18957;top:0;" coordsize="65367,8312722" path="m0,0l65367,0l65367,8312722l0,8312722l0,0">
                  <v:stroke weight="0pt" endcap="flat" joinstyle="miter" miterlimit="10" on="false" color="#000000" opacity="0"/>
                  <v:fill on="true" color="#f8f7f6"/>
                </v:shape>
                <v:shape id="Shape 37275" style="position:absolute;width:653;height:83127;left:19611;top:0;" coordsize="65367,8312722" path="m0,0l65367,0l65367,8312722l0,8312722l0,0">
                  <v:stroke weight="0pt" endcap="flat" joinstyle="miter" miterlimit="10" on="false" color="#000000" opacity="0"/>
                  <v:fill on="true" color="#f9f8f6"/>
                </v:shape>
                <v:shape id="Shape 37276" style="position:absolute;width:653;height:83127;left:20265;top:0;" coordsize="65367,8312722" path="m0,0l65367,0l65367,8312722l0,8312722l0,0">
                  <v:stroke weight="0pt" endcap="flat" joinstyle="miter" miterlimit="10" on="false" color="#000000" opacity="0"/>
                  <v:fill on="true" color="#faf8f7"/>
                </v:shape>
                <v:shape id="Shape 37277" style="position:absolute;width:653;height:83127;left:20918;top:0;" coordsize="65367,8312722" path="m0,0l65367,0l65367,8312722l0,8312722l0,0">
                  <v:stroke weight="0pt" endcap="flat" joinstyle="miter" miterlimit="10" on="false" color="#000000" opacity="0"/>
                  <v:fill on="true" color="#faf9f8"/>
                </v:shape>
                <v:shape id="Shape 37278" style="position:absolute;width:653;height:83127;left:21572;top:0;" coordsize="65367,8312722" path="m0,0l65367,0l65367,8312722l0,8312722l0,0">
                  <v:stroke weight="0pt" endcap="flat" joinstyle="miter" miterlimit="10" on="false" color="#000000" opacity="0"/>
                  <v:fill on="true" color="#fbfaf9"/>
                </v:shape>
                <v:shape id="Shape 37279" style="position:absolute;width:653;height:83127;left:22226;top:0;" coordsize="65367,8312722" path="m0,0l65367,0l65367,8312722l0,8312722l0,0">
                  <v:stroke weight="0pt" endcap="flat" joinstyle="miter" miterlimit="10" on="false" color="#000000" opacity="0"/>
                  <v:fill on="true" color="#fcfbfa"/>
                </v:shape>
                <v:shape id="Shape 37280" style="position:absolute;width:653;height:83127;left:22879;top:0;" coordsize="65367,8312722" path="m0,0l65367,0l65367,8312722l0,8312722l0,0">
                  <v:stroke weight="0pt" endcap="flat" joinstyle="miter" miterlimit="10" on="false" color="#000000" opacity="0"/>
                  <v:fill on="true" color="#fdfcfb"/>
                </v:shape>
              </v:group>
            </w:pict>
          </mc:Fallback>
        </mc:AlternateContent>
      </w:r>
      <w:proofErr w:type="spellStart"/>
      <w:r>
        <w:rPr>
          <w:rFonts w:ascii="Calibri" w:eastAsia="Calibri" w:hAnsi="Calibri" w:cs="Calibri"/>
          <w:sz w:val="18"/>
        </w:rPr>
        <w:t>Agip</w:t>
      </w:r>
      <w:proofErr w:type="spellEnd"/>
      <w:r>
        <w:rPr>
          <w:rFonts w:ascii="Calibri" w:eastAsia="Calibri" w:hAnsi="Calibri" w:cs="Calibri"/>
          <w:sz w:val="18"/>
        </w:rPr>
        <w:t xml:space="preserve"> </w:t>
      </w:r>
      <w:proofErr w:type="spellStart"/>
      <w:r>
        <w:rPr>
          <w:rFonts w:ascii="Calibri" w:eastAsia="Calibri" w:hAnsi="Calibri" w:cs="Calibri"/>
          <w:sz w:val="18"/>
        </w:rPr>
        <w:t>a.s.</w:t>
      </w:r>
      <w:proofErr w:type="spellEnd"/>
      <w:r>
        <w:rPr>
          <w:rFonts w:ascii="Calibri" w:eastAsia="Calibri" w:hAnsi="Calibri" w:cs="Calibri"/>
          <w:sz w:val="18"/>
        </w:rPr>
        <w:t xml:space="preserve">, Phillips Petroleum Co. Norway, Statoil, K/S </w:t>
      </w:r>
      <w:proofErr w:type="spellStart"/>
      <w:r>
        <w:rPr>
          <w:rFonts w:ascii="Calibri" w:eastAsia="Calibri" w:hAnsi="Calibri" w:cs="Calibri"/>
          <w:sz w:val="18"/>
        </w:rPr>
        <w:t>Farmand</w:t>
      </w:r>
      <w:proofErr w:type="spellEnd"/>
      <w:r>
        <w:rPr>
          <w:rFonts w:ascii="Calibri" w:eastAsia="Calibri" w:hAnsi="Calibri" w:cs="Calibri"/>
          <w:sz w:val="18"/>
        </w:rPr>
        <w:t xml:space="preserve"> Survey and IKU Petroleum Research. Wolfgang </w:t>
      </w:r>
      <w:proofErr w:type="spellStart"/>
      <w:r>
        <w:rPr>
          <w:rFonts w:ascii="Calibri" w:eastAsia="Calibri" w:hAnsi="Calibri" w:cs="Calibri"/>
          <w:sz w:val="18"/>
        </w:rPr>
        <w:t>Weitschat</w:t>
      </w:r>
      <w:proofErr w:type="spellEnd"/>
      <w:r>
        <w:rPr>
          <w:rFonts w:ascii="Calibri" w:eastAsia="Calibri" w:hAnsi="Calibri" w:cs="Calibri"/>
          <w:sz w:val="18"/>
        </w:rPr>
        <w:t xml:space="preserve"> s</w:t>
      </w:r>
      <w:r>
        <w:rPr>
          <w:rFonts w:ascii="Calibri" w:eastAsia="Calibri" w:hAnsi="Calibri" w:cs="Calibri"/>
          <w:sz w:val="18"/>
        </w:rPr>
        <w:t xml:space="preserve">tudied the macrofossils, Richard Bromley the </w:t>
      </w:r>
      <w:proofErr w:type="spellStart"/>
      <w:r>
        <w:rPr>
          <w:rFonts w:ascii="Calibri" w:eastAsia="Calibri" w:hAnsi="Calibri" w:cs="Calibri"/>
          <w:sz w:val="18"/>
        </w:rPr>
        <w:t>ichnofacies</w:t>
      </w:r>
      <w:proofErr w:type="spellEnd"/>
      <w:r>
        <w:rPr>
          <w:rFonts w:ascii="Calibri" w:eastAsia="Calibri" w:hAnsi="Calibri" w:cs="Calibri"/>
          <w:sz w:val="18"/>
        </w:rPr>
        <w:t xml:space="preserve">, and Silvia </w:t>
      </w:r>
      <w:proofErr w:type="spellStart"/>
      <w:r>
        <w:rPr>
          <w:rFonts w:ascii="Calibri" w:eastAsia="Calibri" w:hAnsi="Calibri" w:cs="Calibri"/>
          <w:sz w:val="18"/>
        </w:rPr>
        <w:t>Pinard</w:t>
      </w:r>
      <w:proofErr w:type="spellEnd"/>
      <w:r>
        <w:rPr>
          <w:rFonts w:ascii="Calibri" w:eastAsia="Calibri" w:hAnsi="Calibri" w:cs="Calibri"/>
          <w:sz w:val="18"/>
        </w:rPr>
        <w:t xml:space="preserve"> the microfossils. Berit </w:t>
      </w:r>
      <w:proofErr w:type="spellStart"/>
      <w:r>
        <w:rPr>
          <w:rFonts w:ascii="Calibri" w:eastAsia="Calibri" w:hAnsi="Calibri" w:cs="Calibri"/>
          <w:sz w:val="18"/>
        </w:rPr>
        <w:t>Fossum</w:t>
      </w:r>
      <w:proofErr w:type="spellEnd"/>
      <w:r>
        <w:rPr>
          <w:rFonts w:ascii="Calibri" w:eastAsia="Calibri" w:hAnsi="Calibri" w:cs="Calibri"/>
          <w:sz w:val="18"/>
        </w:rPr>
        <w:t xml:space="preserve"> drafted the illustrations. Lars </w:t>
      </w:r>
      <w:proofErr w:type="spellStart"/>
      <w:r>
        <w:rPr>
          <w:rFonts w:ascii="Calibri" w:eastAsia="Calibri" w:hAnsi="Calibri" w:cs="Calibri"/>
          <w:sz w:val="18"/>
        </w:rPr>
        <w:t>Stemmerik</w:t>
      </w:r>
      <w:proofErr w:type="spellEnd"/>
      <w:r>
        <w:rPr>
          <w:rFonts w:ascii="Calibri" w:eastAsia="Calibri" w:hAnsi="Calibri" w:cs="Calibri"/>
          <w:sz w:val="18"/>
        </w:rPr>
        <w:t xml:space="preserve"> provided valuable comments on the core interpretation, as well as to the manuscript. </w:t>
      </w:r>
      <w:proofErr w:type="spellStart"/>
      <w:r>
        <w:rPr>
          <w:rFonts w:ascii="Calibri" w:eastAsia="Calibri" w:hAnsi="Calibri" w:cs="Calibri"/>
          <w:sz w:val="18"/>
        </w:rPr>
        <w:t>Flemming</w:t>
      </w:r>
      <w:proofErr w:type="spellEnd"/>
      <w:r>
        <w:rPr>
          <w:rFonts w:ascii="Calibri" w:eastAsia="Calibri" w:hAnsi="Calibri" w:cs="Calibri"/>
          <w:sz w:val="18"/>
        </w:rPr>
        <w:t xml:space="preserve"> G. Christians</w:t>
      </w:r>
      <w:r>
        <w:rPr>
          <w:rFonts w:ascii="Calibri" w:eastAsia="Calibri" w:hAnsi="Calibri" w:cs="Calibri"/>
          <w:sz w:val="18"/>
        </w:rPr>
        <w:t xml:space="preserve">en and Howard J. White gave constructive review comments. We acknowledge the above-mentioned persons and companies and our colleagues at IKU for their contributions. Special thanks are due to Odd Ragnar </w:t>
      </w:r>
      <w:proofErr w:type="spellStart"/>
      <w:r>
        <w:rPr>
          <w:rFonts w:ascii="Calibri" w:eastAsia="Calibri" w:hAnsi="Calibri" w:cs="Calibri"/>
          <w:sz w:val="18"/>
        </w:rPr>
        <w:t>Heum</w:t>
      </w:r>
      <w:proofErr w:type="spellEnd"/>
      <w:r>
        <w:rPr>
          <w:rFonts w:ascii="Calibri" w:eastAsia="Calibri" w:hAnsi="Calibri" w:cs="Calibri"/>
          <w:sz w:val="18"/>
        </w:rPr>
        <w:t>, Statoil/</w:t>
      </w:r>
      <w:proofErr w:type="spellStart"/>
      <w:r>
        <w:rPr>
          <w:rFonts w:ascii="Calibri" w:eastAsia="Calibri" w:hAnsi="Calibri" w:cs="Calibri"/>
          <w:sz w:val="18"/>
        </w:rPr>
        <w:t>Norsk</w:t>
      </w:r>
      <w:proofErr w:type="spellEnd"/>
      <w:r>
        <w:rPr>
          <w:rFonts w:ascii="Calibri" w:eastAsia="Calibri" w:hAnsi="Calibri" w:cs="Calibri"/>
          <w:sz w:val="18"/>
        </w:rPr>
        <w:t xml:space="preserve"> Hydro, for his persistent belief </w:t>
      </w:r>
      <w:r>
        <w:rPr>
          <w:rFonts w:ascii="Calibri" w:eastAsia="Calibri" w:hAnsi="Calibri" w:cs="Calibri"/>
          <w:sz w:val="18"/>
        </w:rPr>
        <w:t>in the project and his efforts to get it launched.</w:t>
      </w:r>
    </w:p>
    <w:p w14:paraId="32DFD16A" w14:textId="77777777" w:rsidR="00A978F6" w:rsidRDefault="001A5B1A">
      <w:pPr>
        <w:pStyle w:val="1"/>
        <w:ind w:left="-5" w:right="46"/>
      </w:pPr>
      <w:r>
        <w:t>INTRODUCTION</w:t>
      </w:r>
    </w:p>
    <w:p w14:paraId="4F719BC9" w14:textId="77777777" w:rsidR="00A978F6" w:rsidRDefault="001A5B1A">
      <w:pPr>
        <w:ind w:left="0" w:right="193" w:firstLine="0"/>
      </w:pPr>
      <w:r>
        <w:t>Hydrocarbon exploration in the Norwegian Sea since 1980 has demonstrated the existence of large oil, condensate, and gas discoveries sourced by Jurassic sedimentary rocks. These source rocks a</w:t>
      </w:r>
      <w:r>
        <w:t xml:space="preserve">re generally thermally immature on the middle and inner shelf area. The recognition of a rich Upper Permian oil source rock (the </w:t>
      </w:r>
      <w:proofErr w:type="spellStart"/>
      <w:r>
        <w:t>Ravnefjeld</w:t>
      </w:r>
      <w:proofErr w:type="spellEnd"/>
      <w:r>
        <w:t xml:space="preserve"> Formation) in East Greenland (</w:t>
      </w:r>
      <w:proofErr w:type="spellStart"/>
      <w:r>
        <w:t>Surlyk</w:t>
      </w:r>
      <w:proofErr w:type="spellEnd"/>
      <w:r>
        <w:t xml:space="preserve"> et al., 1986; Christiansen et al., 1993) led to speculation as to whether a sim</w:t>
      </w:r>
      <w:r>
        <w:t xml:space="preserve">ilar source rock could exist on the Norwegian continental shelf. If such a source rock exists, then </w:t>
      </w:r>
      <w:r>
        <w:t xml:space="preserve">the present </w:t>
      </w:r>
      <w:proofErr w:type="spellStart"/>
      <w:r>
        <w:t>Trøndelag</w:t>
      </w:r>
      <w:proofErr w:type="spellEnd"/>
      <w:r>
        <w:t xml:space="preserve"> Platform (Figure 1) is the most likely place for an Upper Permian source rock to be within the oil maturation window.</w:t>
      </w:r>
    </w:p>
    <w:p w14:paraId="54724469" w14:textId="77777777" w:rsidR="00A978F6" w:rsidRDefault="001A5B1A">
      <w:pPr>
        <w:spacing w:after="519"/>
        <w:ind w:left="0" w:right="191"/>
      </w:pPr>
      <w:r>
        <w:t>Prior to the pre</w:t>
      </w:r>
      <w:r>
        <w:t xml:space="preserve">sent coring study, the only evidence for the existence of Permian sedimentary rocks in the </w:t>
      </w:r>
      <w:proofErr w:type="spellStart"/>
      <w:r>
        <w:t>areawas</w:t>
      </w:r>
      <w:proofErr w:type="spellEnd"/>
      <w:r>
        <w:t xml:space="preserve"> </w:t>
      </w:r>
      <w:proofErr w:type="spellStart"/>
      <w:r>
        <w:t>thepresence</w:t>
      </w:r>
      <w:proofErr w:type="spellEnd"/>
      <w:r>
        <w:t xml:space="preserve"> of 40 m of carbonates of supposed Late Permian age encountered in the exploration well 6609/7-1, which was drilled in 1984 on the </w:t>
      </w:r>
      <w:proofErr w:type="spellStart"/>
      <w:r>
        <w:t>Nordland</w:t>
      </w:r>
      <w:proofErr w:type="spellEnd"/>
      <w:r>
        <w:t xml:space="preserve"> Ridge </w:t>
      </w:r>
      <w:r>
        <w:t xml:space="preserve">(Figure 1). Important information was obtained by reinvestigation of seabed grab samples, which yielded palynological evidence for marine Lower Triassic rocks in the area. Additionally, the occurrence of reworked specimens of the genus </w:t>
      </w:r>
      <w:proofErr w:type="spellStart"/>
      <w:proofErr w:type="gramStart"/>
      <w:r>
        <w:rPr>
          <w:i/>
        </w:rPr>
        <w:t>Vittatina,</w:t>
      </w:r>
      <w:r>
        <w:t>which</w:t>
      </w:r>
      <w:proofErr w:type="spellEnd"/>
      <w:proofErr w:type="gramEnd"/>
      <w:r>
        <w:t xml:space="preserve"> gene</w:t>
      </w:r>
      <w:r>
        <w:t>rally represents the Permian, in Quaternary clays, suggested that Permian rocks had been deposited and later eroded (</w:t>
      </w:r>
      <w:proofErr w:type="spellStart"/>
      <w:r>
        <w:t>Vigran</w:t>
      </w:r>
      <w:proofErr w:type="spellEnd"/>
      <w:r>
        <w:t xml:space="preserve"> and </w:t>
      </w:r>
      <w:proofErr w:type="spellStart"/>
      <w:r>
        <w:t>Mangerud</w:t>
      </w:r>
      <w:proofErr w:type="spellEnd"/>
      <w:r>
        <w:t>, 1991). Seismic studies and shallow coring (</w:t>
      </w:r>
      <w:proofErr w:type="spellStart"/>
      <w:r>
        <w:t>Bugge</w:t>
      </w:r>
      <w:proofErr w:type="spellEnd"/>
      <w:r>
        <w:t xml:space="preserve"> et al., 1984) identified areas of Lower Triassic rocks outcropping on</w:t>
      </w:r>
      <w:r>
        <w:t xml:space="preserve"> the seabed. Below these, strata of supposed upper Paleozoic sediments were seismically identified, but they do not outcrop on the seabed. In a localized area close to the coast, however, there seemed to be possibilities of upper Paleozoic rocks being pres</w:t>
      </w:r>
      <w:r>
        <w:t>ent only a few hundred meters below the seabed. On this basis, two shallow stratigraphic boreholes were drilled by IKU Petroleum Research in 1992. The cored marine Permian–Triassic succession was more than 750 m thick and contained oil-stained sandstone an</w:t>
      </w:r>
      <w:r>
        <w:t>d mudstone with source rock potential. In this article we present the cores and discuss the implications for geological models and hydrocarbon exploration in the area.</w:t>
      </w:r>
    </w:p>
    <w:p w14:paraId="3EB75A8B" w14:textId="77777777" w:rsidR="00A978F6" w:rsidRDefault="001A5B1A">
      <w:pPr>
        <w:pStyle w:val="1"/>
        <w:ind w:left="-5" w:right="46"/>
      </w:pPr>
      <w:r>
        <w:t>GEOLOGICAL BACKGROUND</w:t>
      </w:r>
    </w:p>
    <w:p w14:paraId="1B195DA4" w14:textId="77777777" w:rsidR="00A978F6" w:rsidRDefault="001A5B1A">
      <w:pPr>
        <w:ind w:left="0" w:right="193" w:firstLine="0"/>
      </w:pPr>
      <w:r>
        <w:t xml:space="preserve">Upper Paleozoic sedimentary rocks overlie metamorphic basement on </w:t>
      </w:r>
      <w:r>
        <w:t xml:space="preserve">the Norwegian and the Greenland margins of </w:t>
      </w:r>
      <w:r>
        <w:lastRenderedPageBreak/>
        <w:t xml:space="preserve">the North Atlantic. </w:t>
      </w:r>
      <w:proofErr w:type="gramStart"/>
      <w:r>
        <w:t>With the exception of</w:t>
      </w:r>
      <w:proofErr w:type="gramEnd"/>
      <w:r>
        <w:t xml:space="preserve"> Devonian clastic rocks in </w:t>
      </w:r>
      <w:proofErr w:type="spellStart"/>
      <w:r>
        <w:t>intramontane</w:t>
      </w:r>
      <w:proofErr w:type="spellEnd"/>
      <w:r>
        <w:t xml:space="preserve"> basins on the Norwegian mainland, these Paleozoic sedimentary rocks only occur offshore on the Norwegian side (Sigmond, 1992) but ar</w:t>
      </w:r>
      <w:r>
        <w:t>e exposed onshore in East Greenland (</w:t>
      </w:r>
      <w:proofErr w:type="spellStart"/>
      <w:r>
        <w:t>Surlyk</w:t>
      </w:r>
      <w:proofErr w:type="spellEnd"/>
      <w:r>
        <w:t xml:space="preserve">, 1990; </w:t>
      </w:r>
      <w:proofErr w:type="spellStart"/>
      <w:r>
        <w:t>Stemmerik</w:t>
      </w:r>
      <w:proofErr w:type="spellEnd"/>
      <w:r>
        <w:t xml:space="preserve"> et al., 1993).</w:t>
      </w:r>
    </w:p>
    <w:p w14:paraId="372A1992" w14:textId="77777777" w:rsidR="00A978F6" w:rsidRDefault="001A5B1A">
      <w:pPr>
        <w:ind w:left="0" w:right="192"/>
      </w:pPr>
      <w:r>
        <w:t xml:space="preserve">In East Greenland, the entire Upper Devonian–Lower Permian succession, the </w:t>
      </w:r>
      <w:proofErr w:type="spellStart"/>
      <w:r>
        <w:t>Traill</w:t>
      </w:r>
      <w:proofErr w:type="spellEnd"/>
      <w:r>
        <w:t xml:space="preserve"> Ø Group (</w:t>
      </w:r>
      <w:proofErr w:type="spellStart"/>
      <w:r>
        <w:t>Vigran</w:t>
      </w:r>
      <w:proofErr w:type="spellEnd"/>
      <w:r>
        <w:t xml:space="preserve"> et al., 1999), is continental in nature and was deposited during the early rift ph</w:t>
      </w:r>
      <w:r>
        <w:t>ase, which followed subduction and suturing of the Baltic and Laurentian plates.</w:t>
      </w:r>
    </w:p>
    <w:tbl>
      <w:tblPr>
        <w:tblStyle w:val="TableGrid"/>
        <w:tblpPr w:vertAnchor="text" w:horzAnchor="margin"/>
        <w:tblOverlap w:val="never"/>
        <w:tblW w:w="9830" w:type="dxa"/>
        <w:tblInd w:w="0" w:type="dxa"/>
        <w:tblCellMar>
          <w:top w:w="0" w:type="dxa"/>
          <w:left w:w="0" w:type="dxa"/>
          <w:bottom w:w="0" w:type="dxa"/>
          <w:right w:w="5" w:type="dxa"/>
        </w:tblCellMar>
        <w:tblLook w:val="04A0" w:firstRow="1" w:lastRow="0" w:firstColumn="1" w:lastColumn="0" w:noHBand="0" w:noVBand="1"/>
      </w:tblPr>
      <w:tblGrid>
        <w:gridCol w:w="9830"/>
      </w:tblGrid>
      <w:tr w:rsidR="00A978F6" w14:paraId="4CF045A0" w14:textId="77777777">
        <w:trPr>
          <w:trHeight w:val="5226"/>
        </w:trPr>
        <w:tc>
          <w:tcPr>
            <w:tcW w:w="2389" w:type="dxa"/>
            <w:tcBorders>
              <w:top w:val="nil"/>
              <w:left w:val="nil"/>
              <w:bottom w:val="nil"/>
              <w:right w:val="nil"/>
            </w:tcBorders>
          </w:tcPr>
          <w:p w14:paraId="6523CA55" w14:textId="77777777" w:rsidR="00A978F6" w:rsidRDefault="001A5B1A">
            <w:pPr>
              <w:spacing w:after="8" w:line="238" w:lineRule="auto"/>
              <w:ind w:left="7437" w:right="1" w:firstLine="0"/>
              <w:jc w:val="left"/>
            </w:pPr>
            <w:r>
              <w:rPr>
                <w:noProof/>
              </w:rPr>
              <w:drawing>
                <wp:anchor distT="0" distB="0" distL="114300" distR="114300" simplePos="0" relativeHeight="251660288" behindDoc="0" locked="0" layoutInCell="1" allowOverlap="0" wp14:anchorId="757E04BC" wp14:editId="7E889CC0">
                  <wp:simplePos x="0" y="0"/>
                  <wp:positionH relativeFrom="column">
                    <wp:posOffset>0</wp:posOffset>
                  </wp:positionH>
                  <wp:positionV relativeFrom="paragraph">
                    <wp:posOffset>-41229</wp:posOffset>
                  </wp:positionV>
                  <wp:extent cx="4560960" cy="4873764"/>
                  <wp:effectExtent l="0" t="0" r="0" b="0"/>
                  <wp:wrapSquare wrapText="bothSides"/>
                  <wp:docPr id="324" name="Picture 324"/>
                  <wp:cNvGraphicFramePr/>
                  <a:graphic xmlns:a="http://schemas.openxmlformats.org/drawingml/2006/main">
                    <a:graphicData uri="http://schemas.openxmlformats.org/drawingml/2006/picture">
                      <pic:pic xmlns:pic="http://schemas.openxmlformats.org/drawingml/2006/picture">
                        <pic:nvPicPr>
                          <pic:cNvPr id="324" name="Picture 324"/>
                          <pic:cNvPicPr/>
                        </pic:nvPicPr>
                        <pic:blipFill>
                          <a:blip r:embed="rId7"/>
                          <a:stretch>
                            <a:fillRect/>
                          </a:stretch>
                        </pic:blipFill>
                        <pic:spPr>
                          <a:xfrm>
                            <a:off x="0" y="0"/>
                            <a:ext cx="4560960" cy="4873764"/>
                          </a:xfrm>
                          <a:prstGeom prst="rect">
                            <a:avLst/>
                          </a:prstGeom>
                        </pic:spPr>
                      </pic:pic>
                    </a:graphicData>
                  </a:graphic>
                </wp:anchor>
              </w:drawing>
            </w:r>
            <w:r>
              <w:rPr>
                <w:rFonts w:ascii="Calibri" w:eastAsia="Calibri" w:hAnsi="Calibri" w:cs="Calibri"/>
              </w:rPr>
              <w:t xml:space="preserve">Figure 1. The 1992 shallow stratigraphic boreholes (6611/ 09-U-01 and 6611/09-U-02) are located on the eastern margin of the </w:t>
            </w:r>
            <w:proofErr w:type="spellStart"/>
            <w:r>
              <w:rPr>
                <w:rFonts w:ascii="Calibri" w:eastAsia="Calibri" w:hAnsi="Calibri" w:cs="Calibri"/>
              </w:rPr>
              <w:t>Trøndelag</w:t>
            </w:r>
            <w:proofErr w:type="spellEnd"/>
            <w:r>
              <w:rPr>
                <w:rFonts w:ascii="Calibri" w:eastAsia="Calibri" w:hAnsi="Calibri" w:cs="Calibri"/>
              </w:rPr>
              <w:t xml:space="preserve"> Platform, close to the mid-Norwegian ma</w:t>
            </w:r>
            <w:r>
              <w:rPr>
                <w:rFonts w:ascii="Calibri" w:eastAsia="Calibri" w:hAnsi="Calibri" w:cs="Calibri"/>
              </w:rPr>
              <w:t>inland. Other relevant data points for the present article are indicated. An older shallow core (open circle) contained 20 m of Early Triassic marginal marine siltstones and sandstones. The Phillips exploration well</w:t>
            </w:r>
          </w:p>
          <w:p w14:paraId="291605FB" w14:textId="77777777" w:rsidR="00A978F6" w:rsidRDefault="001A5B1A">
            <w:pPr>
              <w:spacing w:after="0" w:line="259" w:lineRule="auto"/>
              <w:ind w:left="7437" w:right="0" w:firstLine="0"/>
              <w:jc w:val="left"/>
            </w:pPr>
            <w:r>
              <w:rPr>
                <w:rFonts w:ascii="Calibri" w:eastAsia="Calibri" w:hAnsi="Calibri" w:cs="Calibri"/>
              </w:rPr>
              <w:t xml:space="preserve">6609/7-1 encountered 40 m of Permian dolomites. Grab samples (asterisk immediately to the north of the older shallow core) of the sea floor contained Permian and Lower Triassic marine fossils. The base map is modified from </w:t>
            </w:r>
            <w:proofErr w:type="spellStart"/>
            <w:r>
              <w:rPr>
                <w:rFonts w:ascii="Calibri" w:eastAsia="Calibri" w:hAnsi="Calibri" w:cs="Calibri"/>
              </w:rPr>
              <w:t>Blystad</w:t>
            </w:r>
            <w:proofErr w:type="spellEnd"/>
            <w:r>
              <w:rPr>
                <w:rFonts w:ascii="Calibri" w:eastAsia="Calibri" w:hAnsi="Calibri" w:cs="Calibri"/>
              </w:rPr>
              <w:t xml:space="preserve"> et al. (1995).</w:t>
            </w:r>
          </w:p>
        </w:tc>
      </w:tr>
    </w:tbl>
    <w:p w14:paraId="38ABE3FE" w14:textId="77777777" w:rsidR="00A978F6" w:rsidRDefault="001A5B1A">
      <w:pPr>
        <w:ind w:right="11" w:firstLine="0"/>
      </w:pPr>
      <w:r>
        <w:t>A major m</w:t>
      </w:r>
      <w:r>
        <w:t>iddle Permian tectonic event can be recognized in East Greenland and throughout the Arctic. It caused a shift to generally deeper marine environments in the Barents Sea (</w:t>
      </w:r>
      <w:proofErr w:type="spellStart"/>
      <w:r>
        <w:t>Stemmerik</w:t>
      </w:r>
      <w:proofErr w:type="spellEnd"/>
      <w:r>
        <w:t xml:space="preserve"> and Worsley, 1989; </w:t>
      </w:r>
      <w:proofErr w:type="spellStart"/>
      <w:r>
        <w:t>Bugge</w:t>
      </w:r>
      <w:proofErr w:type="spellEnd"/>
      <w:r>
        <w:t xml:space="preserve"> et al., 1995), which led to the establishment of a </w:t>
      </w:r>
      <w:r>
        <w:t>seaway from the Barents Sea area southward and to the separation of Greenland and Norway (</w:t>
      </w:r>
      <w:proofErr w:type="spellStart"/>
      <w:r>
        <w:t>Surlyk</w:t>
      </w:r>
      <w:proofErr w:type="spellEnd"/>
      <w:r>
        <w:t xml:space="preserve"> et al., 1984; Dore´, 1991). In East Greenland, this event caused a change from nonmarine Upper Devonian– Lower Permian deposition to dominantly marine depositi</w:t>
      </w:r>
      <w:r>
        <w:t xml:space="preserve">on from the middle Permian onward (Figure 2) and the deposition of the Upper Permian </w:t>
      </w:r>
      <w:proofErr w:type="spellStart"/>
      <w:r>
        <w:t>Foldvik</w:t>
      </w:r>
      <w:proofErr w:type="spellEnd"/>
      <w:r>
        <w:t xml:space="preserve"> Creek Group (</w:t>
      </w:r>
      <w:proofErr w:type="spellStart"/>
      <w:r>
        <w:t>Surlyk</w:t>
      </w:r>
      <w:proofErr w:type="spellEnd"/>
      <w:r>
        <w:t xml:space="preserve"> et al., 1986; </w:t>
      </w:r>
      <w:proofErr w:type="spellStart"/>
      <w:r>
        <w:t>Stemmerik</w:t>
      </w:r>
      <w:proofErr w:type="spellEnd"/>
      <w:r>
        <w:t xml:space="preserve">, </w:t>
      </w:r>
      <w:r>
        <w:t>1987). In the North Sea, the middle Permian transgression led to the deposition of the evaporites and carbonates of th</w:t>
      </w:r>
      <w:r>
        <w:t>e Zechstein Supergroup (Ziegler, 1981, 1990).</w:t>
      </w:r>
    </w:p>
    <w:p w14:paraId="35564B16" w14:textId="77777777" w:rsidR="00A978F6" w:rsidRDefault="001A5B1A">
      <w:pPr>
        <w:ind w:right="11"/>
      </w:pPr>
      <w:r>
        <w:t xml:space="preserve">On the mid-Norwegian continental shelf, </w:t>
      </w:r>
      <w:proofErr w:type="spellStart"/>
      <w:r>
        <w:t>thepresence</w:t>
      </w:r>
      <w:proofErr w:type="spellEnd"/>
      <w:r>
        <w:t xml:space="preserve"> of Devonian–Early Permian sedimentary rocks is inferred from seismic data and by correlation with East Greenland (</w:t>
      </w:r>
      <w:proofErr w:type="spellStart"/>
      <w:r>
        <w:t>Bukovics</w:t>
      </w:r>
      <w:proofErr w:type="spellEnd"/>
      <w:r>
        <w:t xml:space="preserve"> and Ziegler, 1985; Schmidt, 1992). </w:t>
      </w:r>
      <w:r>
        <w:t xml:space="preserve">Schmidt (1992) correlated an extensional tectonic event observed in seismic data from offshore mid-Norway with the regional middle Permian event. The 40 m of carbonates encountered in well 6609/71 on the </w:t>
      </w:r>
      <w:proofErr w:type="spellStart"/>
      <w:r>
        <w:t>Nordland</w:t>
      </w:r>
      <w:proofErr w:type="spellEnd"/>
      <w:r>
        <w:t xml:space="preserve"> Ridge probably represent the Upper Permian,</w:t>
      </w:r>
      <w:r>
        <w:t xml:space="preserve"> but they have not been </w:t>
      </w:r>
      <w:r>
        <w:lastRenderedPageBreak/>
        <w:t>dated precisely because of lack of datable fossil material.</w:t>
      </w:r>
    </w:p>
    <w:p w14:paraId="4A8B4D3A" w14:textId="77777777" w:rsidR="00A978F6" w:rsidRDefault="001A5B1A">
      <w:pPr>
        <w:ind w:left="0" w:right="11"/>
      </w:pPr>
      <w:proofErr w:type="spellStart"/>
      <w:r>
        <w:t>ContinentalenvironmentsprevailedinEastGreenland</w:t>
      </w:r>
      <w:proofErr w:type="spellEnd"/>
      <w:r>
        <w:t xml:space="preserve"> throughout most of the Triassic, with the exception of marine conditions in the earliest </w:t>
      </w:r>
      <w:proofErr w:type="gramStart"/>
      <w:r>
        <w:t>Triassic(</w:t>
      </w:r>
      <w:proofErr w:type="spellStart"/>
      <w:proofErr w:type="gramEnd"/>
      <w:r>
        <w:t>Griesbachian</w:t>
      </w:r>
      <w:proofErr w:type="spellEnd"/>
      <w:r>
        <w:t>) (</w:t>
      </w:r>
      <w:proofErr w:type="spellStart"/>
      <w:r>
        <w:t>Surlyk</w:t>
      </w:r>
      <w:proofErr w:type="spellEnd"/>
      <w:r>
        <w:t xml:space="preserve"> et a</w:t>
      </w:r>
      <w:r>
        <w:t>l., 1986). In the North Sea, Early Triassic deposition is represented by continental red beds, whereas marine deposition dominated in the Barents Sea. The previously existing shallow cores proved marine conditions off mid-Norway in the Early Triassic, wher</w:t>
      </w:r>
      <w:r>
        <w:t xml:space="preserve">eas two salt layers higher in the Triassic succession (Ladinian and </w:t>
      </w:r>
      <w:proofErr w:type="spellStart"/>
      <w:r>
        <w:t>Carnian</w:t>
      </w:r>
      <w:proofErr w:type="spellEnd"/>
      <w:r>
        <w:t>?) (Jacobsen and van Veen, 1984) represent later, more short-lived, marine incursions. Continental environments probably prevailed during the remaining periods of the Triassic.</w:t>
      </w:r>
    </w:p>
    <w:p w14:paraId="5D1E99C9" w14:textId="77777777" w:rsidR="00A978F6" w:rsidRDefault="001A5B1A">
      <w:pPr>
        <w:spacing w:after="165" w:line="259" w:lineRule="auto"/>
        <w:ind w:left="-2" w:right="-2" w:firstLine="0"/>
        <w:jc w:val="left"/>
      </w:pPr>
      <w:r>
        <w:rPr>
          <w:noProof/>
        </w:rPr>
        <w:drawing>
          <wp:inline distT="0" distB="0" distL="0" distR="0" wp14:anchorId="59F266B6" wp14:editId="435B42C9">
            <wp:extent cx="2966813" cy="4196728"/>
            <wp:effectExtent l="0" t="0" r="0" b="0"/>
            <wp:docPr id="413" name="Picture 413"/>
            <wp:cNvGraphicFramePr/>
            <a:graphic xmlns:a="http://schemas.openxmlformats.org/drawingml/2006/main">
              <a:graphicData uri="http://schemas.openxmlformats.org/drawingml/2006/picture">
                <pic:pic xmlns:pic="http://schemas.openxmlformats.org/drawingml/2006/picture">
                  <pic:nvPicPr>
                    <pic:cNvPr id="413" name="Picture 413"/>
                    <pic:cNvPicPr/>
                  </pic:nvPicPr>
                  <pic:blipFill>
                    <a:blip r:embed="rId8"/>
                    <a:stretch>
                      <a:fillRect/>
                    </a:stretch>
                  </pic:blipFill>
                  <pic:spPr>
                    <a:xfrm>
                      <a:off x="0" y="0"/>
                      <a:ext cx="2966813" cy="4196728"/>
                    </a:xfrm>
                    <a:prstGeom prst="rect">
                      <a:avLst/>
                    </a:prstGeom>
                  </pic:spPr>
                </pic:pic>
              </a:graphicData>
            </a:graphic>
          </wp:inline>
        </w:drawing>
      </w:r>
    </w:p>
    <w:p w14:paraId="79FEAD8D" w14:textId="77777777" w:rsidR="00A978F6" w:rsidRDefault="001A5B1A">
      <w:pPr>
        <w:spacing w:after="563" w:line="240" w:lineRule="auto"/>
        <w:ind w:left="-5" w:right="11" w:hanging="10"/>
      </w:pPr>
      <w:r>
        <w:rPr>
          <w:rFonts w:ascii="Calibri" w:eastAsia="Calibri" w:hAnsi="Calibri" w:cs="Calibri"/>
        </w:rPr>
        <w:t>Fi</w:t>
      </w:r>
      <w:r>
        <w:rPr>
          <w:rFonts w:ascii="Calibri" w:eastAsia="Calibri" w:hAnsi="Calibri" w:cs="Calibri"/>
        </w:rPr>
        <w:t xml:space="preserve">gure 2. Simplified Devonian–Triassic stratigraphy of East Greenland. The Upper Permian–Lower Triassic succession, equivalent to the </w:t>
      </w:r>
      <w:proofErr w:type="spellStart"/>
      <w:r>
        <w:rPr>
          <w:rFonts w:ascii="Calibri" w:eastAsia="Calibri" w:hAnsi="Calibri" w:cs="Calibri"/>
        </w:rPr>
        <w:t>Huledal</w:t>
      </w:r>
      <w:proofErr w:type="spellEnd"/>
      <w:r>
        <w:rPr>
          <w:rFonts w:ascii="Calibri" w:eastAsia="Calibri" w:hAnsi="Calibri" w:cs="Calibri"/>
        </w:rPr>
        <w:t xml:space="preserve"> to Wordie Creek formations, was cored in the shallow stratigraphic boreholes off Norway.</w:t>
      </w:r>
    </w:p>
    <w:p w14:paraId="3A54EBE4" w14:textId="77777777" w:rsidR="00A978F6" w:rsidRDefault="001A5B1A">
      <w:pPr>
        <w:pStyle w:val="1"/>
        <w:ind w:left="-5" w:right="46"/>
      </w:pPr>
      <w:r>
        <w:t>DESCRIPTION OF THE CORED SU</w:t>
      </w:r>
      <w:r>
        <w:t>CCESSION</w:t>
      </w:r>
    </w:p>
    <w:p w14:paraId="66EA526E" w14:textId="77777777" w:rsidR="00A978F6" w:rsidRDefault="001A5B1A">
      <w:pPr>
        <w:ind w:left="0" w:right="11" w:firstLine="0"/>
      </w:pPr>
      <w:r>
        <w:t xml:space="preserve">The shallow cores were collected on the inner </w:t>
      </w:r>
      <w:proofErr w:type="spellStart"/>
      <w:r>
        <w:t>midNorwegian</w:t>
      </w:r>
      <w:proofErr w:type="spellEnd"/>
      <w:r>
        <w:t xml:space="preserve"> shelf in 1992 using the vessel M/V </w:t>
      </w:r>
      <w:proofErr w:type="spellStart"/>
      <w:r>
        <w:rPr>
          <w:i/>
        </w:rPr>
        <w:t>Bucentaur</w:t>
      </w:r>
      <w:proofErr w:type="spellEnd"/>
      <w:r>
        <w:rPr>
          <w:i/>
        </w:rPr>
        <w:t xml:space="preserve">. </w:t>
      </w:r>
      <w:r>
        <w:t>The drilling locations were chosen where a strong seismic reflection, interpreted to represent the top of the Permian, was within reach of the</w:t>
      </w:r>
      <w:r>
        <w:t xml:space="preserve"> shallow drilling equipment. Two </w:t>
      </w:r>
      <w:r>
        <w:t xml:space="preserve">boreholes were drilled: hole 6611/ 09-U-01 down to 560 m below seabed and hole 6611/ 09-U-02 down to 280 m below seabed (Figure 3). The boreholes were located on the northeastern margin of the </w:t>
      </w:r>
      <w:proofErr w:type="spellStart"/>
      <w:r>
        <w:t>Helgeland</w:t>
      </w:r>
      <w:proofErr w:type="spellEnd"/>
      <w:r>
        <w:t xml:space="preserve"> Basin (Figure 1) and</w:t>
      </w:r>
      <w:r>
        <w:t xml:space="preserve"> were drilled 1200 m apart on the seismic line IKU-HE06-91 (Figure 3). Water depth was 350 m, and the Quaternary overburden was 10 and 8 m thick at boreholes 1 and 2, respectively. Recovery was very high (99%), and the cores, which are 54 mm in diameter, a</w:t>
      </w:r>
      <w:r>
        <w:t xml:space="preserve">re of excellent quality. Both holes were logged using a full suite of petrophysical logging tools. Log correlation shows that the two boreholes have a stratigraphic overlap of about 60 m and represent a continuously cored succession of approximately 750 m </w:t>
      </w:r>
      <w:r>
        <w:t>(Figure 4).</w:t>
      </w:r>
    </w:p>
    <w:p w14:paraId="4669468A" w14:textId="77777777" w:rsidR="00A978F6" w:rsidRDefault="001A5B1A">
      <w:pPr>
        <w:ind w:left="0" w:right="190"/>
      </w:pPr>
      <w:r>
        <w:t xml:space="preserve">The cored section is divided into four lithological units, from bottom to top: a lower shallow-marine sandstone unit, followed by an anhydrite unit, a lower turbidite unit, and finally an upper turbidite unit (Figure 4). The shallow-marine sandstone unit, </w:t>
      </w:r>
      <w:r>
        <w:t xml:space="preserve">the anhydrite unit, and the lower turbidite unit have </w:t>
      </w:r>
      <w:proofErr w:type="spellStart"/>
      <w:r>
        <w:t>beendated</w:t>
      </w:r>
      <w:proofErr w:type="spellEnd"/>
      <w:r>
        <w:t xml:space="preserve"> as Late Permian (</w:t>
      </w:r>
      <w:proofErr w:type="spellStart"/>
      <w:r>
        <w:t>Ufimian</w:t>
      </w:r>
      <w:proofErr w:type="spellEnd"/>
      <w:r>
        <w:t>–early Tatarian?). The upper turbidite unit is Early Triassic (</w:t>
      </w:r>
      <w:proofErr w:type="spellStart"/>
      <w:r>
        <w:t>Griesbachian</w:t>
      </w:r>
      <w:proofErr w:type="spellEnd"/>
      <w:r>
        <w:t>).</w:t>
      </w:r>
    </w:p>
    <w:p w14:paraId="4FC3EA48" w14:textId="77777777" w:rsidR="00A978F6" w:rsidRDefault="001A5B1A">
      <w:pPr>
        <w:spacing w:after="243"/>
        <w:ind w:left="0" w:right="193"/>
      </w:pPr>
      <w:r>
        <w:t>The low amplitude, continuous reflection occurring just below the base of borehole 6611/09</w:t>
      </w:r>
      <w:r>
        <w:t>-U-01 is interpreted to represent top basement (Figures 3, 5). The strong seismic reflection, which prior to drilling was interpreted to represent the top of the Permian, was later identified as the top of the anhydrite unit, an intra–Upper Permian reflect</w:t>
      </w:r>
      <w:r>
        <w:t xml:space="preserve">or. The top Permian reflector gives a weak negative acoustic impedance contrast and corresponds to a discontinuous seismic marker (Figure 3). As such, this is probably not a good seismic marker on the </w:t>
      </w:r>
      <w:proofErr w:type="spellStart"/>
      <w:r>
        <w:t>Trøndelag</w:t>
      </w:r>
      <w:proofErr w:type="spellEnd"/>
      <w:r>
        <w:t xml:space="preserve"> Platform because of the similar lithologies a</w:t>
      </w:r>
      <w:r>
        <w:t xml:space="preserve">bove and below the Permian– Triassic contact, that is, distal and lateral equivalents to the upper turbidite </w:t>
      </w:r>
      <w:proofErr w:type="spellStart"/>
      <w:r>
        <w:t>unitand</w:t>
      </w:r>
      <w:proofErr w:type="spellEnd"/>
      <w:r>
        <w:t xml:space="preserve"> </w:t>
      </w:r>
      <w:proofErr w:type="spellStart"/>
      <w:r>
        <w:lastRenderedPageBreak/>
        <w:t>thelowerturbiditeunit</w:t>
      </w:r>
      <w:proofErr w:type="spellEnd"/>
      <w:r>
        <w:t xml:space="preserve">. </w:t>
      </w:r>
      <w:r>
        <w:rPr>
          <w:rFonts w:ascii="Calibri" w:eastAsia="Calibri" w:hAnsi="Calibri" w:cs="Calibri"/>
        </w:rPr>
        <w:t>Shallow-Marine Sandstone Unit</w:t>
      </w:r>
    </w:p>
    <w:tbl>
      <w:tblPr>
        <w:tblStyle w:val="TableGrid"/>
        <w:tblpPr w:vertAnchor="text" w:horzAnchor="margin" w:tblpY="5642"/>
        <w:tblOverlap w:val="never"/>
        <w:tblW w:w="9813" w:type="dxa"/>
        <w:tblInd w:w="0" w:type="dxa"/>
        <w:tblCellMar>
          <w:top w:w="0" w:type="dxa"/>
          <w:left w:w="0" w:type="dxa"/>
          <w:bottom w:w="0" w:type="dxa"/>
          <w:right w:w="0" w:type="dxa"/>
        </w:tblCellMar>
        <w:tblLook w:val="04A0" w:firstRow="1" w:lastRow="0" w:firstColumn="1" w:lastColumn="0" w:noHBand="0" w:noVBand="1"/>
      </w:tblPr>
      <w:tblGrid>
        <w:gridCol w:w="9813"/>
      </w:tblGrid>
      <w:tr w:rsidR="00A978F6" w14:paraId="20E4106C" w14:textId="77777777">
        <w:trPr>
          <w:trHeight w:val="922"/>
        </w:trPr>
        <w:tc>
          <w:tcPr>
            <w:tcW w:w="9811" w:type="dxa"/>
            <w:tcBorders>
              <w:top w:val="nil"/>
              <w:left w:val="nil"/>
              <w:bottom w:val="nil"/>
              <w:right w:val="nil"/>
            </w:tcBorders>
            <w:vAlign w:val="bottom"/>
          </w:tcPr>
          <w:p w14:paraId="29FFB74E" w14:textId="77777777" w:rsidR="00A978F6" w:rsidRDefault="001A5B1A">
            <w:pPr>
              <w:spacing w:after="166" w:line="259" w:lineRule="auto"/>
              <w:ind w:left="6" w:right="0" w:firstLine="0"/>
              <w:jc w:val="left"/>
            </w:pPr>
            <w:r>
              <w:rPr>
                <w:noProof/>
              </w:rPr>
              <w:drawing>
                <wp:inline distT="0" distB="0" distL="0" distR="0" wp14:anchorId="1F1DFDBA" wp14:editId="5C9B80D7">
                  <wp:extent cx="6227526" cy="4123715"/>
                  <wp:effectExtent l="0" t="0" r="0" b="0"/>
                  <wp:docPr id="509" name="Picture 509"/>
                  <wp:cNvGraphicFramePr/>
                  <a:graphic xmlns:a="http://schemas.openxmlformats.org/drawingml/2006/main">
                    <a:graphicData uri="http://schemas.openxmlformats.org/drawingml/2006/picture">
                      <pic:pic xmlns:pic="http://schemas.openxmlformats.org/drawingml/2006/picture">
                        <pic:nvPicPr>
                          <pic:cNvPr id="509" name="Picture 509"/>
                          <pic:cNvPicPr/>
                        </pic:nvPicPr>
                        <pic:blipFill>
                          <a:blip r:embed="rId9"/>
                          <a:stretch>
                            <a:fillRect/>
                          </a:stretch>
                        </pic:blipFill>
                        <pic:spPr>
                          <a:xfrm>
                            <a:off x="0" y="0"/>
                            <a:ext cx="6227526" cy="4123715"/>
                          </a:xfrm>
                          <a:prstGeom prst="rect">
                            <a:avLst/>
                          </a:prstGeom>
                        </pic:spPr>
                      </pic:pic>
                    </a:graphicData>
                  </a:graphic>
                </wp:inline>
              </w:drawing>
            </w:r>
          </w:p>
          <w:p w14:paraId="5227FB6F" w14:textId="77777777" w:rsidR="00A978F6" w:rsidRDefault="001A5B1A">
            <w:pPr>
              <w:spacing w:after="0" w:line="259" w:lineRule="auto"/>
              <w:ind w:left="0" w:right="0" w:firstLine="0"/>
            </w:pPr>
            <w:r>
              <w:rPr>
                <w:rFonts w:ascii="Calibri" w:eastAsia="Calibri" w:hAnsi="Calibri" w:cs="Calibri"/>
              </w:rPr>
              <w:t>Figure 3. The two boreholes 6611/09-U-01 and 6611/09-U-02, respectively 560 m and 28</w:t>
            </w:r>
            <w:r>
              <w:rPr>
                <w:rFonts w:ascii="Calibri" w:eastAsia="Calibri" w:hAnsi="Calibri" w:cs="Calibri"/>
              </w:rPr>
              <w:t>0 m deep, were drilled 1200 m apart.</w:t>
            </w:r>
          </w:p>
          <w:p w14:paraId="62E5B1D4" w14:textId="77777777" w:rsidR="00A978F6" w:rsidRDefault="001A5B1A">
            <w:pPr>
              <w:spacing w:after="0" w:line="259" w:lineRule="auto"/>
              <w:ind w:left="0" w:firstLine="0"/>
            </w:pPr>
            <w:r>
              <w:rPr>
                <w:rFonts w:ascii="Calibri" w:eastAsia="Calibri" w:hAnsi="Calibri" w:cs="Calibri"/>
              </w:rPr>
              <w:t>With a stratigraphic overlap of 60 m, the boreholes continuously cored 750 m of a marine Upper Permian–Lower Triassic succession. High-resolution seismic data allowed detailed seismic correlation of the cores and downho</w:t>
            </w:r>
            <w:r>
              <w:rPr>
                <w:rFonts w:ascii="Calibri" w:eastAsia="Calibri" w:hAnsi="Calibri" w:cs="Calibri"/>
              </w:rPr>
              <w:t>le logs. Notice that the Triassic–Permian boundary does not coincide with a seismic reflection, whereas the intra–Upper Permian anhydrite unit is a strong seismic reflector.</w:t>
            </w:r>
          </w:p>
        </w:tc>
      </w:tr>
    </w:tbl>
    <w:p w14:paraId="6856C31E" w14:textId="77777777" w:rsidR="00A978F6" w:rsidRDefault="001A5B1A">
      <w:pPr>
        <w:spacing w:after="259"/>
        <w:ind w:left="0" w:right="192" w:firstLine="0"/>
      </w:pPr>
      <w:r>
        <w:t>The shallow-marine sandstone unit is 174.5 m thick and is composed of a series of</w:t>
      </w:r>
      <w:r>
        <w:t xml:space="preserve"> massive, commonly calcite-cemented sandstone beds. The typical lithofacies from this unit is exemplified inFigure6a.Thebasal part of the unit commences with a 1 m–thick, poorly sorted, matrix-supported, immature, reddened conglomeratic sandstone, which ab</w:t>
      </w:r>
      <w:r>
        <w:t xml:space="preserve">ruptly fines up into massive to cross-laminated, variably bioturbated, brick red to brown-gray, fine-grained </w:t>
      </w:r>
      <w:proofErr w:type="spellStart"/>
      <w:proofErr w:type="gramStart"/>
      <w:r>
        <w:t>sandstones.Wherebioturbation</w:t>
      </w:r>
      <w:proofErr w:type="spellEnd"/>
      <w:proofErr w:type="gramEnd"/>
      <w:r>
        <w:t xml:space="preserve"> is less intense, vague planar lamination can be observed, probably reflecting large-scale crossbedding. Elsewhere, bio</w:t>
      </w:r>
      <w:r>
        <w:t>turbation has destroyed all primary sedimentary structures, resulting in a homogeneous sandstone. Minor intervals (0.5 m or less in thickness) of brown laminated and partially bioturbated siltstone and mudstones coincide with marked gamma spikes (Figure 4)</w:t>
      </w:r>
      <w:r>
        <w:t xml:space="preserve">. In contrast to the </w:t>
      </w:r>
      <w:proofErr w:type="spellStart"/>
      <w:r>
        <w:rPr>
          <w:i/>
        </w:rPr>
        <w:t>Macaronichus</w:t>
      </w:r>
      <w:proofErr w:type="spellEnd"/>
      <w:r>
        <w:rPr>
          <w:i/>
        </w:rPr>
        <w:t xml:space="preserve"> </w:t>
      </w:r>
      <w:proofErr w:type="spellStart"/>
      <w:r>
        <w:rPr>
          <w:i/>
        </w:rPr>
        <w:t>segregatis</w:t>
      </w:r>
      <w:proofErr w:type="spellEnd"/>
      <w:r>
        <w:t xml:space="preserve">–dominated sands, the siltstones and mudstones contain a </w:t>
      </w:r>
      <w:proofErr w:type="spellStart"/>
      <w:r>
        <w:rPr>
          <w:i/>
        </w:rPr>
        <w:t>Planolites-Taenidium</w:t>
      </w:r>
      <w:proofErr w:type="spellEnd"/>
      <w:r>
        <w:rPr>
          <w:i/>
        </w:rPr>
        <w:t xml:space="preserve"> </w:t>
      </w:r>
      <w:r>
        <w:t xml:space="preserve">assemblage. A marked decrease in the amount of </w:t>
      </w:r>
      <w:proofErr w:type="spellStart"/>
      <w:r>
        <w:rPr>
          <w:i/>
        </w:rPr>
        <w:t>Macaronichus</w:t>
      </w:r>
      <w:proofErr w:type="spellEnd"/>
      <w:r>
        <w:rPr>
          <w:i/>
        </w:rPr>
        <w:t xml:space="preserve"> </w:t>
      </w:r>
      <w:proofErr w:type="spellStart"/>
      <w:r>
        <w:rPr>
          <w:i/>
        </w:rPr>
        <w:t>segregatis</w:t>
      </w:r>
      <w:proofErr w:type="spellEnd"/>
      <w:r>
        <w:rPr>
          <w:i/>
        </w:rPr>
        <w:t xml:space="preserve"> </w:t>
      </w:r>
      <w:r>
        <w:t>is observed above these brick red sands, which is coincident wi</w:t>
      </w:r>
      <w:r>
        <w:t xml:space="preserve">th a shift in log response toward </w:t>
      </w:r>
      <w:proofErr w:type="gramStart"/>
      <w:r>
        <w:t>a more clay-rich facies</w:t>
      </w:r>
      <w:proofErr w:type="gramEnd"/>
      <w:r>
        <w:t xml:space="preserve">. Here, the sands are less reddened and are interbedded with thin silty sandstone layers. Clay drapes are common, and bioturbation consists of a </w:t>
      </w:r>
      <w:proofErr w:type="spellStart"/>
      <w:r>
        <w:rPr>
          <w:i/>
        </w:rPr>
        <w:t>Planolites</w:t>
      </w:r>
      <w:proofErr w:type="spellEnd"/>
      <w:r>
        <w:rPr>
          <w:i/>
        </w:rPr>
        <w:t xml:space="preserve"> </w:t>
      </w:r>
      <w:r>
        <w:t xml:space="preserve">assemblage with sparse </w:t>
      </w:r>
      <w:proofErr w:type="spellStart"/>
      <w:r>
        <w:rPr>
          <w:i/>
        </w:rPr>
        <w:t>Taenidium</w:t>
      </w:r>
      <w:proofErr w:type="spellEnd"/>
      <w:r>
        <w:t xml:space="preserve">. The marked reddening of the beds continues to decrease upward through the section, and the uppermost part of the unit </w:t>
      </w:r>
      <w:r>
        <w:t>is represented by interlaminated very fine grained to fine-grained gray sandstones and partially reddene</w:t>
      </w:r>
      <w:r>
        <w:t xml:space="preserve">d, weakly bioturbated, laminated sandy siltstones containing uncommon millimeter-size </w:t>
      </w:r>
      <w:proofErr w:type="spellStart"/>
      <w:r>
        <w:rPr>
          <w:i/>
        </w:rPr>
        <w:t>Planolites</w:t>
      </w:r>
      <w:proofErr w:type="spellEnd"/>
      <w:r>
        <w:rPr>
          <w:i/>
        </w:rPr>
        <w:t xml:space="preserve">. </w:t>
      </w:r>
      <w:r>
        <w:t>A corresponding reduction in porosity and permeability is recognizable on the petrophysical logs.</w:t>
      </w:r>
    </w:p>
    <w:p w14:paraId="63884577" w14:textId="77777777" w:rsidR="00A978F6" w:rsidRDefault="001A5B1A">
      <w:pPr>
        <w:pStyle w:val="1"/>
        <w:spacing w:after="255" w:line="259" w:lineRule="auto"/>
      </w:pPr>
      <w:r>
        <w:t>Anhydrite Unit</w:t>
      </w:r>
    </w:p>
    <w:p w14:paraId="7DDDD1D3" w14:textId="77777777" w:rsidR="00A978F6" w:rsidRDefault="001A5B1A">
      <w:pPr>
        <w:spacing w:after="260"/>
        <w:ind w:right="11" w:firstLine="0"/>
      </w:pPr>
      <w:r>
        <w:t>The anhydrite unit, 15.5 m thick, consists in the lower part of replacive anhydrite (after gypsum) occurring within a host pyritic, laminated siltstone. This lower part is overlain by massive, gray, carbonate-cemented sandstones that have abundant gypsum-f</w:t>
      </w:r>
      <w:r>
        <w:t xml:space="preserve">illed fractures and small replacive anhydrite concretions or nodules, which are commonly formed along bedding lamination. These sandstones are themselves overlain by a fine-grained to coarse-grained sandstone containing large amounts of replacive </w:t>
      </w:r>
      <w:r>
        <w:lastRenderedPageBreak/>
        <w:t>anhydrite</w:t>
      </w:r>
      <w:r>
        <w:t xml:space="preserve"> and reworked clasts of the underlying lithologies. </w:t>
      </w:r>
      <w:proofErr w:type="spellStart"/>
      <w:r>
        <w:t>Possibledesiccation</w:t>
      </w:r>
      <w:proofErr w:type="spellEnd"/>
      <w:r>
        <w:t xml:space="preserve"> structures are found at the top of the unit. The size of the anhydrite nodules ranges from a few millimeters, where associated with bedding lamination, to greater than 5 cm, where they</w:t>
      </w:r>
      <w:r>
        <w:t xml:space="preserve"> have a mosaic or almost </w:t>
      </w:r>
      <w:proofErr w:type="spellStart"/>
      <w:r>
        <w:t>chickenwire</w:t>
      </w:r>
      <w:proofErr w:type="spellEnd"/>
      <w:r>
        <w:t xml:space="preserve"> structure (Figure 6b, c). The cumulative thickness of anhydrite throughout the unit is approximately 6.5 m. Seismically, the anhydrite unit is clearly distinguished from the overlying and underlying units as a high-velo</w:t>
      </w:r>
      <w:r>
        <w:t>city, high-density layer.</w:t>
      </w:r>
    </w:p>
    <w:p w14:paraId="41C78590" w14:textId="77777777" w:rsidR="00A978F6" w:rsidRDefault="001A5B1A">
      <w:pPr>
        <w:pStyle w:val="1"/>
        <w:spacing w:after="255" w:line="259" w:lineRule="auto"/>
        <w:ind w:left="-5"/>
      </w:pPr>
      <w:r>
        <w:t>Lower Turbidite Unit</w:t>
      </w:r>
    </w:p>
    <w:p w14:paraId="1E5BAD2C" w14:textId="77777777" w:rsidR="00A978F6" w:rsidRDefault="001A5B1A">
      <w:pPr>
        <w:ind w:left="0" w:right="11" w:firstLine="0"/>
      </w:pPr>
      <w:r>
        <w:t>The lower turbidite unit represents the youngest part of the Permian succession. It is 166 m thick and</w:t>
      </w:r>
    </w:p>
    <w:p w14:paraId="3E0F2BE1" w14:textId="77777777" w:rsidR="00A978F6" w:rsidRDefault="00A978F6">
      <w:pPr>
        <w:sectPr w:rsidR="00A978F6">
          <w:footerReference w:type="even" r:id="rId10"/>
          <w:footerReference w:type="default" r:id="rId11"/>
          <w:footerReference w:type="first" r:id="rId12"/>
          <w:pgSz w:w="12240" w:h="15840"/>
          <w:pgMar w:top="1315" w:right="1115" w:bottom="825" w:left="1125" w:header="720" w:footer="720" w:gutter="0"/>
          <w:pgNumType w:start="107"/>
          <w:cols w:num="2" w:space="720" w:equalWidth="0">
            <w:col w:w="5862" w:space="606"/>
            <w:col w:w="3532"/>
          </w:cols>
          <w:titlePg/>
        </w:sectPr>
      </w:pPr>
    </w:p>
    <w:p w14:paraId="671327BC" w14:textId="77777777" w:rsidR="00A978F6" w:rsidRDefault="001A5B1A">
      <w:pPr>
        <w:spacing w:after="0" w:line="259" w:lineRule="auto"/>
        <w:ind w:left="-185" w:right="0" w:firstLine="0"/>
        <w:jc w:val="left"/>
      </w:pPr>
      <w:r>
        <w:rPr>
          <w:noProof/>
        </w:rPr>
        <w:lastRenderedPageBreak/>
        <w:drawing>
          <wp:inline distT="0" distB="0" distL="0" distR="0" wp14:anchorId="54AAA1C1" wp14:editId="310C474D">
            <wp:extent cx="6227527" cy="8195819"/>
            <wp:effectExtent l="0" t="0" r="0" b="0"/>
            <wp:docPr id="568" name="Picture 568"/>
            <wp:cNvGraphicFramePr/>
            <a:graphic xmlns:a="http://schemas.openxmlformats.org/drawingml/2006/main">
              <a:graphicData uri="http://schemas.openxmlformats.org/drawingml/2006/picture">
                <pic:pic xmlns:pic="http://schemas.openxmlformats.org/drawingml/2006/picture">
                  <pic:nvPicPr>
                    <pic:cNvPr id="568" name="Picture 568"/>
                    <pic:cNvPicPr/>
                  </pic:nvPicPr>
                  <pic:blipFill>
                    <a:blip r:embed="rId13"/>
                    <a:stretch>
                      <a:fillRect/>
                    </a:stretch>
                  </pic:blipFill>
                  <pic:spPr>
                    <a:xfrm>
                      <a:off x="0" y="0"/>
                      <a:ext cx="6227527" cy="8195819"/>
                    </a:xfrm>
                    <a:prstGeom prst="rect">
                      <a:avLst/>
                    </a:prstGeom>
                  </pic:spPr>
                </pic:pic>
              </a:graphicData>
            </a:graphic>
          </wp:inline>
        </w:drawing>
      </w:r>
    </w:p>
    <w:p w14:paraId="64E83EB2" w14:textId="77777777" w:rsidR="00A978F6" w:rsidRDefault="001A5B1A">
      <w:pPr>
        <w:spacing w:line="240" w:lineRule="auto"/>
        <w:ind w:left="-5" w:right="11" w:hanging="10"/>
      </w:pPr>
      <w:r>
        <w:rPr>
          <w:rFonts w:ascii="Calibri" w:eastAsia="Calibri" w:hAnsi="Calibri" w:cs="Calibri"/>
        </w:rPr>
        <w:lastRenderedPageBreak/>
        <w:t>Figure 4. Composite logs of the cored succession and correlation with time equivalent units exposed onshore East Greenland. Green dots indicate oil-stained or fully oil-saturated sandstone intervals. The gamma, sonic, neutron</w:t>
      </w:r>
      <w:r>
        <w:rPr>
          <w:rFonts w:ascii="Calibri" w:eastAsia="Calibri" w:hAnsi="Calibri" w:cs="Calibri"/>
        </w:rPr>
        <w:t xml:space="preserve"> porosity, and </w:t>
      </w:r>
      <w:proofErr w:type="spellStart"/>
      <w:r>
        <w:rPr>
          <w:rFonts w:ascii="Calibri" w:eastAsia="Calibri" w:hAnsi="Calibri" w:cs="Calibri"/>
        </w:rPr>
        <w:t>dipmeter</w:t>
      </w:r>
      <w:proofErr w:type="spellEnd"/>
      <w:r>
        <w:rPr>
          <w:rFonts w:ascii="Calibri" w:eastAsia="Calibri" w:hAnsi="Calibri" w:cs="Calibri"/>
        </w:rPr>
        <w:t xml:space="preserve"> logs are from downhole logging in uncased hole. Porosity and permeability measured on core plugs are shown by red dots and blue circles, respectively. The range of permeability determined by </w:t>
      </w:r>
      <w:proofErr w:type="spellStart"/>
      <w:r>
        <w:rPr>
          <w:rFonts w:ascii="Calibri" w:eastAsia="Calibri" w:hAnsi="Calibri" w:cs="Calibri"/>
        </w:rPr>
        <w:t>minipermeameter</w:t>
      </w:r>
      <w:proofErr w:type="spellEnd"/>
      <w:r>
        <w:rPr>
          <w:rFonts w:ascii="Calibri" w:eastAsia="Calibri" w:hAnsi="Calibri" w:cs="Calibri"/>
        </w:rPr>
        <w:t xml:space="preserve"> is indicated in light blu</w:t>
      </w:r>
      <w:r>
        <w:rPr>
          <w:rFonts w:ascii="Calibri" w:eastAsia="Calibri" w:hAnsi="Calibri" w:cs="Calibri"/>
        </w:rPr>
        <w:t>e. Total organic carbon (TOC) content,</w:t>
      </w:r>
    </w:p>
    <w:p w14:paraId="3CBA25FB" w14:textId="77777777" w:rsidR="00A978F6" w:rsidRDefault="001A5B1A">
      <w:pPr>
        <w:spacing w:after="5" w:line="248" w:lineRule="auto"/>
        <w:ind w:left="10" w:right="0" w:hanging="10"/>
        <w:jc w:val="left"/>
      </w:pPr>
      <w:r>
        <w:rPr>
          <w:rFonts w:ascii="Calibri" w:eastAsia="Calibri" w:hAnsi="Calibri" w:cs="Calibri"/>
        </w:rPr>
        <w:t xml:space="preserve">Rock-Eval hydrogen index (see color code), and first and last occurrences of key </w:t>
      </w:r>
      <w:proofErr w:type="spellStart"/>
      <w:r>
        <w:rPr>
          <w:rFonts w:ascii="Calibri" w:eastAsia="Calibri" w:hAnsi="Calibri" w:cs="Calibri"/>
        </w:rPr>
        <w:t>biostratigraphic</w:t>
      </w:r>
      <w:proofErr w:type="spellEnd"/>
      <w:r>
        <w:rPr>
          <w:rFonts w:ascii="Calibri" w:eastAsia="Calibri" w:hAnsi="Calibri" w:cs="Calibri"/>
        </w:rPr>
        <w:t xml:space="preserve"> taxa are shown. The organic-rich</w:t>
      </w:r>
    </w:p>
    <w:p w14:paraId="4C4FD690" w14:textId="77777777" w:rsidR="00A978F6" w:rsidRDefault="00A978F6">
      <w:pPr>
        <w:sectPr w:rsidR="00A978F6">
          <w:type w:val="continuous"/>
          <w:pgSz w:w="12240" w:h="15840"/>
          <w:pgMar w:top="1317" w:right="1116" w:bottom="1311" w:left="1316" w:header="720" w:footer="720" w:gutter="0"/>
          <w:cols w:space="720"/>
        </w:sectPr>
      </w:pPr>
    </w:p>
    <w:p w14:paraId="2DE73DFC" w14:textId="77777777" w:rsidR="00A978F6" w:rsidRDefault="001A5B1A">
      <w:pPr>
        <w:spacing w:after="652" w:line="248" w:lineRule="auto"/>
        <w:ind w:left="10" w:right="0" w:hanging="10"/>
        <w:jc w:val="left"/>
      </w:pPr>
      <w:r>
        <w:rPr>
          <w:rFonts w:ascii="Calibri" w:eastAsia="Calibri" w:hAnsi="Calibri" w:cs="Calibri"/>
        </w:rPr>
        <w:t>Upper Permian rocks are at about 450–470 m.</w:t>
      </w:r>
    </w:p>
    <w:p w14:paraId="1B41C710" w14:textId="77777777" w:rsidR="00A978F6" w:rsidRDefault="001A5B1A">
      <w:pPr>
        <w:ind w:left="0" w:right="11" w:firstLine="0"/>
      </w:pPr>
      <w:r>
        <w:t>consists of a series of fining</w:t>
      </w:r>
      <w:r>
        <w:t xml:space="preserve">-upward, 1–2 m–thick sandstone beds interbedded with variably bioturbated, dark-gray siltstone layers (Figure 7). The basal part of each fining-upward bed consists of massive, </w:t>
      </w:r>
      <w:proofErr w:type="spellStart"/>
      <w:r>
        <w:t>coarsegrained</w:t>
      </w:r>
      <w:proofErr w:type="spellEnd"/>
      <w:r>
        <w:t>, locally conglomeratic sandstones, which fine upward into strongly</w:t>
      </w:r>
      <w:r>
        <w:t xml:space="preserve"> laminated sandstones and siltstones that have soft and </w:t>
      </w:r>
      <w:proofErr w:type="spellStart"/>
      <w:r>
        <w:t>synsedimentary</w:t>
      </w:r>
      <w:proofErr w:type="spellEnd"/>
      <w:r>
        <w:t xml:space="preserve"> deformation structures. These deformation structures include flow, scour, and dewatering structures. The base of each fining-upward unit is commonly marked by a sharp erosional surface </w:t>
      </w:r>
      <w:r>
        <w:t>with tool marks and, commonly, sole and flute marks. Clast material within the sands and conglomerates is dominated by metamorphic rock fragments. Carbonate and evaporite clasts derived from the underlying Permian lithologies are also present. The metamorp</w:t>
      </w:r>
      <w:r>
        <w:t xml:space="preserve">hic clasts are </w:t>
      </w:r>
      <w:proofErr w:type="gramStart"/>
      <w:r>
        <w:t>similar to</w:t>
      </w:r>
      <w:proofErr w:type="gramEnd"/>
      <w:r>
        <w:t xml:space="preserve"> lithologies found on the Norwegian mainland.</w:t>
      </w:r>
    </w:p>
    <w:p w14:paraId="457E7479" w14:textId="77777777" w:rsidR="00A978F6" w:rsidRDefault="001A5B1A">
      <w:pPr>
        <w:ind w:left="0" w:right="11"/>
      </w:pPr>
      <w:r>
        <w:t xml:space="preserve">The upper part of the lower turbidite unit is dominated by sandy, locally bioturbated, laminated siltstones, interbedded with smaller, amalgamated, fining-upward </w:t>
      </w:r>
      <w:r>
        <w:t>sandstones, which are mostly a few centimeters thick but may locally be up to 1 m thick. Two o</w:t>
      </w:r>
      <w:r>
        <w:t xml:space="preserve">rganic-rich, nonbioturbated, dark-gray siltstone/ mudstone intervals, approximately 6 and 13 m thick, respectively, occur in the upper part of the lower turbidite unit. These are identifiable on petrophysical logs by high gamma log values </w:t>
      </w:r>
      <w:proofErr w:type="gramStart"/>
      <w:r>
        <w:t>(</w:t>
      </w:r>
      <w:r>
        <w:rPr>
          <w:rFonts w:ascii="Calibri" w:eastAsia="Calibri" w:hAnsi="Calibri" w:cs="Calibri"/>
        </w:rPr>
        <w:t xml:space="preserve"> </w:t>
      </w:r>
      <w:r>
        <w:t>200</w:t>
      </w:r>
      <w:proofErr w:type="gramEnd"/>
      <w:r>
        <w:t xml:space="preserve"> API units) </w:t>
      </w:r>
      <w:r>
        <w:t xml:space="preserve">and low interval velocities compared to the overlying and underlying siltstones. They have an average total organic carbon (TOC) content of </w:t>
      </w:r>
      <w:proofErr w:type="gramStart"/>
      <w:r>
        <w:t xml:space="preserve">3.2 </w:t>
      </w:r>
      <w:r>
        <w:rPr>
          <w:rFonts w:ascii="Calibri" w:eastAsia="Calibri" w:hAnsi="Calibri" w:cs="Calibri"/>
        </w:rPr>
        <w:t xml:space="preserve"> </w:t>
      </w:r>
      <w:r>
        <w:t>0.9</w:t>
      </w:r>
      <w:proofErr w:type="gramEnd"/>
      <w:r>
        <w:t xml:space="preserve"> wt. % (Figure 4, 450–470 m).</w:t>
      </w:r>
    </w:p>
    <w:p w14:paraId="1F47209F" w14:textId="77777777" w:rsidR="00A978F6" w:rsidRDefault="001A5B1A">
      <w:pPr>
        <w:spacing w:after="260"/>
        <w:ind w:left="0" w:right="11"/>
      </w:pPr>
      <w:r>
        <w:t>Above these intervals, variably bioturbated, laminated, locally reddened, sand</w:t>
      </w:r>
      <w:r>
        <w:t>y siltstones interbedded with thin (1–2 cm), fine-grained sandstones comprise the upper part of the lower turbidite unit. Significant oil staining occurs in parts of this unit. Some 5–30 cm– thick sandstone intervals are fully saturated with oil.</w:t>
      </w:r>
    </w:p>
    <w:p w14:paraId="06BB455D" w14:textId="77777777" w:rsidR="00A978F6" w:rsidRDefault="001A5B1A">
      <w:pPr>
        <w:pStyle w:val="1"/>
        <w:spacing w:after="255" w:line="259" w:lineRule="auto"/>
        <w:ind w:left="-5"/>
      </w:pPr>
      <w:r>
        <w:t>Upper Tur</w:t>
      </w:r>
      <w:r>
        <w:t>bidite Unit</w:t>
      </w:r>
    </w:p>
    <w:p w14:paraId="5960ACD7" w14:textId="77777777" w:rsidR="00A978F6" w:rsidRDefault="001A5B1A">
      <w:pPr>
        <w:ind w:left="0" w:right="11" w:firstLine="0"/>
      </w:pPr>
      <w:r>
        <w:t>The upper turbidite unit comprises the upper 190 m of core 6611/09-U-01 and the entire 270 m of core 6611/09-U-02, including a stratigraphic overlap of 60 m. The boundary between the lower and upper</w:t>
      </w:r>
    </w:p>
    <w:p w14:paraId="6CD3ACD0" w14:textId="77777777" w:rsidR="00A978F6" w:rsidRDefault="00A978F6">
      <w:pPr>
        <w:sectPr w:rsidR="00A978F6">
          <w:type w:val="continuous"/>
          <w:pgSz w:w="12240" w:h="15840"/>
          <w:pgMar w:top="1440" w:right="1117" w:bottom="1440" w:left="1316" w:header="720" w:footer="720" w:gutter="0"/>
          <w:cols w:num="2" w:space="474"/>
        </w:sectPr>
      </w:pPr>
    </w:p>
    <w:p w14:paraId="0F99994F" w14:textId="77777777" w:rsidR="00A978F6" w:rsidRDefault="001A5B1A">
      <w:pPr>
        <w:spacing w:after="164" w:line="259" w:lineRule="auto"/>
        <w:ind w:left="-25" w:right="0" w:firstLine="0"/>
        <w:jc w:val="left"/>
      </w:pPr>
      <w:r>
        <w:rPr>
          <w:noProof/>
        </w:rPr>
        <w:drawing>
          <wp:inline distT="0" distB="0" distL="0" distR="0" wp14:anchorId="3F1814D0" wp14:editId="19E3401D">
            <wp:extent cx="6227527" cy="2456625"/>
            <wp:effectExtent l="0" t="0" r="0" b="0"/>
            <wp:docPr id="583" name="Picture 583"/>
            <wp:cNvGraphicFramePr/>
            <a:graphic xmlns:a="http://schemas.openxmlformats.org/drawingml/2006/main">
              <a:graphicData uri="http://schemas.openxmlformats.org/drawingml/2006/picture">
                <pic:pic xmlns:pic="http://schemas.openxmlformats.org/drawingml/2006/picture">
                  <pic:nvPicPr>
                    <pic:cNvPr id="583" name="Picture 583"/>
                    <pic:cNvPicPr/>
                  </pic:nvPicPr>
                  <pic:blipFill>
                    <a:blip r:embed="rId14"/>
                    <a:stretch>
                      <a:fillRect/>
                    </a:stretch>
                  </pic:blipFill>
                  <pic:spPr>
                    <a:xfrm>
                      <a:off x="0" y="0"/>
                      <a:ext cx="6227527" cy="2456625"/>
                    </a:xfrm>
                    <a:prstGeom prst="rect">
                      <a:avLst/>
                    </a:prstGeom>
                  </pic:spPr>
                </pic:pic>
              </a:graphicData>
            </a:graphic>
          </wp:inline>
        </w:drawing>
      </w:r>
    </w:p>
    <w:p w14:paraId="129B14FD" w14:textId="77777777" w:rsidR="00A978F6" w:rsidRDefault="001A5B1A">
      <w:pPr>
        <w:spacing w:line="240" w:lineRule="auto"/>
        <w:ind w:left="-5" w:right="11" w:hanging="10"/>
      </w:pPr>
      <w:r>
        <w:rPr>
          <w:rFonts w:ascii="Calibri" w:eastAsia="Calibri" w:hAnsi="Calibri" w:cs="Calibri"/>
        </w:rPr>
        <w:t>Figure 5. Seismic line from the</w:t>
      </w:r>
      <w:r>
        <w:rPr>
          <w:rFonts w:ascii="Calibri" w:eastAsia="Calibri" w:hAnsi="Calibri" w:cs="Calibri"/>
        </w:rPr>
        <w:t xml:space="preserve"> drilling locations into the </w:t>
      </w:r>
      <w:proofErr w:type="spellStart"/>
      <w:r>
        <w:rPr>
          <w:rFonts w:ascii="Calibri" w:eastAsia="Calibri" w:hAnsi="Calibri" w:cs="Calibri"/>
        </w:rPr>
        <w:t>Helgeland</w:t>
      </w:r>
      <w:proofErr w:type="spellEnd"/>
      <w:r>
        <w:rPr>
          <w:rFonts w:ascii="Calibri" w:eastAsia="Calibri" w:hAnsi="Calibri" w:cs="Calibri"/>
        </w:rPr>
        <w:t xml:space="preserve"> Basin (see Figure 1). Note that the Permian–Triassic boundary is difficult to identify, whereas the top of the anhydrite unit in the Upper Permian is a good seismic reflector. A candidate for the middle Permian unconf</w:t>
      </w:r>
      <w:r>
        <w:rPr>
          <w:rFonts w:ascii="Calibri" w:eastAsia="Calibri" w:hAnsi="Calibri" w:cs="Calibri"/>
        </w:rPr>
        <w:t>ormity can be seen.</w:t>
      </w:r>
    </w:p>
    <w:p w14:paraId="6280E49B" w14:textId="77777777" w:rsidR="00A978F6" w:rsidRDefault="00A978F6">
      <w:pPr>
        <w:sectPr w:rsidR="00A978F6">
          <w:type w:val="continuous"/>
          <w:pgSz w:w="12240" w:h="15840"/>
          <w:pgMar w:top="1442" w:right="1117" w:bottom="1311" w:left="1316" w:header="720" w:footer="720" w:gutter="0"/>
          <w:cols w:space="720"/>
        </w:sectPr>
      </w:pPr>
    </w:p>
    <w:p w14:paraId="05CEFF14" w14:textId="77777777" w:rsidR="00A978F6" w:rsidRDefault="001A5B1A">
      <w:pPr>
        <w:spacing w:after="5571"/>
        <w:ind w:left="0" w:right="11" w:firstLine="0"/>
      </w:pPr>
      <w:r>
        <w:rPr>
          <w:noProof/>
        </w:rPr>
        <w:lastRenderedPageBreak/>
        <w:drawing>
          <wp:anchor distT="0" distB="0" distL="114300" distR="114300" simplePos="0" relativeHeight="251661312" behindDoc="0" locked="0" layoutInCell="1" allowOverlap="0" wp14:anchorId="3E1F5620" wp14:editId="5337EF4D">
            <wp:simplePos x="0" y="0"/>
            <wp:positionH relativeFrom="column">
              <wp:posOffset>-6578</wp:posOffset>
            </wp:positionH>
            <wp:positionV relativeFrom="paragraph">
              <wp:posOffset>-5560</wp:posOffset>
            </wp:positionV>
            <wp:extent cx="2961429" cy="4099420"/>
            <wp:effectExtent l="0" t="0" r="0" b="0"/>
            <wp:wrapSquare wrapText="bothSides"/>
            <wp:docPr id="648" name="Picture 648"/>
            <wp:cNvGraphicFramePr/>
            <a:graphic xmlns:a="http://schemas.openxmlformats.org/drawingml/2006/main">
              <a:graphicData uri="http://schemas.openxmlformats.org/drawingml/2006/picture">
                <pic:pic xmlns:pic="http://schemas.openxmlformats.org/drawingml/2006/picture">
                  <pic:nvPicPr>
                    <pic:cNvPr id="648" name="Picture 648"/>
                    <pic:cNvPicPr/>
                  </pic:nvPicPr>
                  <pic:blipFill>
                    <a:blip r:embed="rId15"/>
                    <a:stretch>
                      <a:fillRect/>
                    </a:stretch>
                  </pic:blipFill>
                  <pic:spPr>
                    <a:xfrm>
                      <a:off x="0" y="0"/>
                      <a:ext cx="2961429" cy="4099420"/>
                    </a:xfrm>
                    <a:prstGeom prst="rect">
                      <a:avLst/>
                    </a:prstGeom>
                  </pic:spPr>
                </pic:pic>
              </a:graphicData>
            </a:graphic>
          </wp:anchor>
        </w:drawing>
      </w:r>
      <w:r>
        <w:rPr>
          <w:noProof/>
        </w:rPr>
        <w:drawing>
          <wp:anchor distT="0" distB="0" distL="114300" distR="114300" simplePos="0" relativeHeight="251662336" behindDoc="0" locked="0" layoutInCell="1" allowOverlap="0" wp14:anchorId="23E44979" wp14:editId="07E35B09">
            <wp:simplePos x="0" y="0"/>
            <wp:positionH relativeFrom="column">
              <wp:posOffset>3257658</wp:posOffset>
            </wp:positionH>
            <wp:positionV relativeFrom="paragraph">
              <wp:posOffset>666911</wp:posOffset>
            </wp:positionV>
            <wp:extent cx="2961429" cy="7961999"/>
            <wp:effectExtent l="0" t="0" r="0" b="0"/>
            <wp:wrapSquare wrapText="bothSides"/>
            <wp:docPr id="679" name="Picture 679"/>
            <wp:cNvGraphicFramePr/>
            <a:graphic xmlns:a="http://schemas.openxmlformats.org/drawingml/2006/main">
              <a:graphicData uri="http://schemas.openxmlformats.org/drawingml/2006/picture">
                <pic:pic xmlns:pic="http://schemas.openxmlformats.org/drawingml/2006/picture">
                  <pic:nvPicPr>
                    <pic:cNvPr id="679" name="Picture 679"/>
                    <pic:cNvPicPr/>
                  </pic:nvPicPr>
                  <pic:blipFill>
                    <a:blip r:embed="rId16"/>
                    <a:stretch>
                      <a:fillRect/>
                    </a:stretch>
                  </pic:blipFill>
                  <pic:spPr>
                    <a:xfrm>
                      <a:off x="0" y="0"/>
                      <a:ext cx="2961429" cy="7961999"/>
                    </a:xfrm>
                    <a:prstGeom prst="rect">
                      <a:avLst/>
                    </a:prstGeom>
                  </pic:spPr>
                </pic:pic>
              </a:graphicData>
            </a:graphic>
          </wp:anchor>
        </w:drawing>
      </w:r>
      <w:r>
        <w:t xml:space="preserve">upward units, between 50 and 100 m thick. Each unit consists of laminated, dark-gray, and locally </w:t>
      </w:r>
      <w:proofErr w:type="spellStart"/>
      <w:r>
        <w:t>pyriticsiltstones</w:t>
      </w:r>
      <w:proofErr w:type="spellEnd"/>
      <w:r>
        <w:t xml:space="preserve"> with ammonoid and bivalve faunas. The </w:t>
      </w:r>
      <w:proofErr w:type="spellStart"/>
      <w:r>
        <w:t>lami</w:t>
      </w:r>
      <w:proofErr w:type="spellEnd"/>
      <w:r>
        <w:t>-</w:t>
      </w:r>
    </w:p>
    <w:p w14:paraId="711C63E6" w14:textId="77777777" w:rsidR="00A978F6" w:rsidRDefault="001A5B1A">
      <w:pPr>
        <w:spacing w:after="353" w:line="240" w:lineRule="auto"/>
        <w:ind w:left="-5" w:right="11" w:hanging="10"/>
      </w:pPr>
      <w:r>
        <w:rPr>
          <w:rFonts w:ascii="Calibri" w:eastAsia="Calibri" w:hAnsi="Calibri" w:cs="Calibri"/>
        </w:rPr>
        <w:lastRenderedPageBreak/>
        <w:t xml:space="preserve">Figure 6. </w:t>
      </w:r>
      <w:r>
        <w:rPr>
          <w:rFonts w:ascii="Calibri" w:eastAsia="Calibri" w:hAnsi="Calibri" w:cs="Calibri"/>
        </w:rPr>
        <w:t>Core photos (core diameter is 5.4 cm). (a) The reddish shallow-marine sandstone unit comprises the lower 170 m of the cored succession. The well-sorted, fine-grained sandstone is fully bioturbated. Calcite cement has reduced the average porosity to 10% and</w:t>
      </w:r>
      <w:r>
        <w:rPr>
          <w:rFonts w:ascii="Calibri" w:eastAsia="Calibri" w:hAnsi="Calibri" w:cs="Calibri"/>
        </w:rPr>
        <w:t xml:space="preserve"> the permeability to 7 </w:t>
      </w:r>
      <w:proofErr w:type="spellStart"/>
      <w:r>
        <w:rPr>
          <w:rFonts w:ascii="Calibri" w:eastAsia="Calibri" w:hAnsi="Calibri" w:cs="Calibri"/>
        </w:rPr>
        <w:t>md.</w:t>
      </w:r>
      <w:proofErr w:type="spellEnd"/>
      <w:r>
        <w:rPr>
          <w:rFonts w:ascii="Calibri" w:eastAsia="Calibri" w:hAnsi="Calibri" w:cs="Calibri"/>
        </w:rPr>
        <w:t xml:space="preserve"> The sandstone was probably derived from Late Devonian, Carboniferous, or Early Permian sandstones deposited in the present-day skerry zone east of the drill sites. (b, c) Core photos from the 15 m– thick anhydrite unit, which is </w:t>
      </w:r>
      <w:r>
        <w:rPr>
          <w:rFonts w:ascii="Calibri" w:eastAsia="Calibri" w:hAnsi="Calibri" w:cs="Calibri"/>
        </w:rPr>
        <w:t xml:space="preserve">interpreted to represent sediments eroded from a </w:t>
      </w:r>
      <w:proofErr w:type="spellStart"/>
      <w:r>
        <w:rPr>
          <w:rFonts w:ascii="Calibri" w:eastAsia="Calibri" w:hAnsi="Calibri" w:cs="Calibri"/>
        </w:rPr>
        <w:t>sabhka</w:t>
      </w:r>
      <w:proofErr w:type="spellEnd"/>
      <w:r>
        <w:rPr>
          <w:rFonts w:ascii="Calibri" w:eastAsia="Calibri" w:hAnsi="Calibri" w:cs="Calibri"/>
        </w:rPr>
        <w:t xml:space="preserve"> environment and redeposited as gravity flow deposits. Photo (b) shows siltstone with anhydrite clasts and laminae. Photo (c) shows anhydrite with </w:t>
      </w:r>
      <w:proofErr w:type="spellStart"/>
      <w:r>
        <w:rPr>
          <w:rFonts w:ascii="Calibri" w:eastAsia="Calibri" w:hAnsi="Calibri" w:cs="Calibri"/>
        </w:rPr>
        <w:t>chickenwire</w:t>
      </w:r>
      <w:proofErr w:type="spellEnd"/>
      <w:r>
        <w:rPr>
          <w:rFonts w:ascii="Calibri" w:eastAsia="Calibri" w:hAnsi="Calibri" w:cs="Calibri"/>
        </w:rPr>
        <w:t xml:space="preserve"> structure.</w:t>
      </w:r>
    </w:p>
    <w:p w14:paraId="69317340" w14:textId="77777777" w:rsidR="00A978F6" w:rsidRDefault="001A5B1A">
      <w:pPr>
        <w:ind w:left="0" w:right="11" w:firstLine="0"/>
      </w:pPr>
      <w:r>
        <w:t xml:space="preserve">turbidite units represents the </w:t>
      </w:r>
      <w:r>
        <w:t xml:space="preserve">Permian–Triassic contact and is recognized in the cored succession by the development of coarsening-upward sandstones on top of the more </w:t>
      </w:r>
      <w:proofErr w:type="gramStart"/>
      <w:r>
        <w:t>fine grained</w:t>
      </w:r>
      <w:proofErr w:type="gramEnd"/>
      <w:r>
        <w:t xml:space="preserve"> sandy siltstones, which mark the uppermost part of the lower turbidite unit.</w:t>
      </w:r>
    </w:p>
    <w:p w14:paraId="291F5277" w14:textId="77777777" w:rsidR="00A978F6" w:rsidRDefault="001A5B1A">
      <w:pPr>
        <w:spacing w:after="369"/>
        <w:ind w:left="0" w:right="11"/>
      </w:pPr>
      <w:r>
        <w:t>The upper turbidite unit repr</w:t>
      </w:r>
      <w:r>
        <w:t>esents the lower 400 m of a greater than 5000 m–thick Triassic succession. The cored succession consists of a series of coarsening-</w:t>
      </w:r>
    </w:p>
    <w:p w14:paraId="31AB6E81" w14:textId="77777777" w:rsidR="00A978F6" w:rsidRDefault="001A5B1A">
      <w:pPr>
        <w:spacing w:line="240" w:lineRule="auto"/>
        <w:ind w:left="-5" w:right="11" w:hanging="10"/>
      </w:pPr>
      <w:r>
        <w:rPr>
          <w:rFonts w:ascii="Calibri" w:eastAsia="Calibri" w:hAnsi="Calibri" w:cs="Calibri"/>
        </w:rPr>
        <w:t>Figure 7. A typical fining-upward turbidite sequence from the lower turbidite unit. All classical Bouma units A–E (Bouma, 19</w:t>
      </w:r>
      <w:r>
        <w:rPr>
          <w:rFonts w:ascii="Calibri" w:eastAsia="Calibri" w:hAnsi="Calibri" w:cs="Calibri"/>
        </w:rPr>
        <w:t>62) can be recognized. (A) Fining-upward massive sandstone. (B) Parallel laminated sandstone. (C) Current rippled/ convoluted siltstone. (D) Parallel laminated siltstone. (E) Hemipelagic siltstone/mudstone.</w:t>
      </w:r>
    </w:p>
    <w:p w14:paraId="18BB2B73" w14:textId="77777777" w:rsidR="00A978F6" w:rsidRDefault="00A978F6">
      <w:pPr>
        <w:sectPr w:rsidR="00A978F6">
          <w:footerReference w:type="even" r:id="rId17"/>
          <w:footerReference w:type="default" r:id="rId18"/>
          <w:footerReference w:type="first" r:id="rId19"/>
          <w:pgSz w:w="12240" w:h="15840"/>
          <w:pgMar w:top="1440" w:right="1310" w:bottom="1440" w:left="1125" w:header="720" w:footer="720" w:gutter="0"/>
          <w:cols w:space="720"/>
          <w:titlePg/>
        </w:sectPr>
      </w:pPr>
    </w:p>
    <w:p w14:paraId="5F7E936C" w14:textId="77777777" w:rsidR="00A978F6" w:rsidRDefault="001A5B1A">
      <w:pPr>
        <w:ind w:left="0" w:right="11" w:firstLine="0"/>
      </w:pPr>
      <w:proofErr w:type="spellStart"/>
      <w:r>
        <w:t>nated</w:t>
      </w:r>
      <w:proofErr w:type="spellEnd"/>
      <w:r>
        <w:t xml:space="preserve"> siltstones are interbedded wit</w:t>
      </w:r>
      <w:r>
        <w:t>h gradually upward-increasing amounts of massive and individually fining-upward sandstone beds. These sandstones range in thickness from 0.5 to 1.5 m. The base of each sandstone is marked by a sharp erosive boundary (Figure 8a). Soft sedimentation structur</w:t>
      </w:r>
      <w:r>
        <w:t xml:space="preserve">es, such as convolute bedding, load balls, and rip-up clasts, are commonly observed within the siltstones (Figure 8b, c). Macrofauna identifiable in the siltstones include ammonoids, such as </w:t>
      </w:r>
      <w:proofErr w:type="spellStart"/>
      <w:r>
        <w:rPr>
          <w:i/>
        </w:rPr>
        <w:t>Ophiceratidae</w:t>
      </w:r>
      <w:proofErr w:type="spellEnd"/>
      <w:r>
        <w:rPr>
          <w:i/>
        </w:rPr>
        <w:t xml:space="preserve"> </w:t>
      </w:r>
      <w:r>
        <w:t xml:space="preserve">sp., </w:t>
      </w:r>
      <w:proofErr w:type="spellStart"/>
      <w:r>
        <w:rPr>
          <w:i/>
        </w:rPr>
        <w:t>Tomopophiceras</w:t>
      </w:r>
      <w:proofErr w:type="spellEnd"/>
      <w:r>
        <w:t xml:space="preserve">? sp., and </w:t>
      </w:r>
      <w:proofErr w:type="spellStart"/>
      <w:r>
        <w:rPr>
          <w:i/>
        </w:rPr>
        <w:t>Lytophiceras</w:t>
      </w:r>
      <w:proofErr w:type="spellEnd"/>
      <w:r>
        <w:t>? sp., an</w:t>
      </w:r>
      <w:r>
        <w:t xml:space="preserve">d the bivalve </w:t>
      </w:r>
      <w:proofErr w:type="spellStart"/>
      <w:r>
        <w:rPr>
          <w:i/>
        </w:rPr>
        <w:t>Claraia</w:t>
      </w:r>
      <w:proofErr w:type="spellEnd"/>
      <w:r>
        <w:rPr>
          <w:i/>
        </w:rPr>
        <w:t xml:space="preserve"> </w:t>
      </w:r>
      <w:r>
        <w:t>sp. Minor, centimeter-thick evaporitic layers occur in a 10 m–thick interval within the stratigraphic overlap between the two boreholes and are found in both cores. Intense oil staining is observed in the lowermost 12 m of this unit.</w:t>
      </w:r>
    </w:p>
    <w:p w14:paraId="15EA7C5D" w14:textId="77777777" w:rsidR="00A978F6" w:rsidRDefault="001A5B1A">
      <w:pPr>
        <w:spacing w:after="152"/>
        <w:ind w:left="0" w:right="11"/>
      </w:pPr>
      <w:r>
        <w:t xml:space="preserve">Moderately rich palynofloras indicate a </w:t>
      </w:r>
      <w:proofErr w:type="spellStart"/>
      <w:r>
        <w:t>Griesbachian</w:t>
      </w:r>
      <w:proofErr w:type="spellEnd"/>
      <w:r>
        <w:t xml:space="preserve"> (Early Triassic) age for the upper turbidite unit.</w:t>
      </w:r>
    </w:p>
    <w:p w14:paraId="5FB1C55D" w14:textId="77777777" w:rsidR="00A978F6" w:rsidRDefault="001A5B1A">
      <w:pPr>
        <w:spacing w:after="164" w:line="259" w:lineRule="auto"/>
        <w:ind w:left="-34" w:right="0" w:firstLine="0"/>
        <w:jc w:val="left"/>
      </w:pPr>
      <w:r>
        <w:rPr>
          <w:noProof/>
        </w:rPr>
        <w:drawing>
          <wp:inline distT="0" distB="0" distL="0" distR="0" wp14:anchorId="382824F6" wp14:editId="771ED026">
            <wp:extent cx="2961429" cy="4330205"/>
            <wp:effectExtent l="0" t="0" r="0" b="0"/>
            <wp:docPr id="694" name="Picture 694"/>
            <wp:cNvGraphicFramePr/>
            <a:graphic xmlns:a="http://schemas.openxmlformats.org/drawingml/2006/main">
              <a:graphicData uri="http://schemas.openxmlformats.org/drawingml/2006/picture">
                <pic:pic xmlns:pic="http://schemas.openxmlformats.org/drawingml/2006/picture">
                  <pic:nvPicPr>
                    <pic:cNvPr id="694" name="Picture 694"/>
                    <pic:cNvPicPr/>
                  </pic:nvPicPr>
                  <pic:blipFill>
                    <a:blip r:embed="rId20"/>
                    <a:stretch>
                      <a:fillRect/>
                    </a:stretch>
                  </pic:blipFill>
                  <pic:spPr>
                    <a:xfrm>
                      <a:off x="0" y="0"/>
                      <a:ext cx="2961429" cy="4330205"/>
                    </a:xfrm>
                    <a:prstGeom prst="rect">
                      <a:avLst/>
                    </a:prstGeom>
                  </pic:spPr>
                </pic:pic>
              </a:graphicData>
            </a:graphic>
          </wp:inline>
        </w:drawing>
      </w:r>
    </w:p>
    <w:p w14:paraId="41ED68DC" w14:textId="77777777" w:rsidR="00A978F6" w:rsidRDefault="001A5B1A">
      <w:pPr>
        <w:spacing w:line="240" w:lineRule="auto"/>
        <w:ind w:left="-5" w:right="11" w:hanging="10"/>
      </w:pPr>
      <w:r>
        <w:rPr>
          <w:rFonts w:ascii="Calibri" w:eastAsia="Calibri" w:hAnsi="Calibri" w:cs="Calibri"/>
        </w:rPr>
        <w:t>Figure 8. Core photos from the Triassic succession (core diameter is 5.4 cm). (a) Fining-upward turbidite resting on hemipelagic, laminated claystone.</w:t>
      </w:r>
      <w:r>
        <w:rPr>
          <w:rFonts w:ascii="Calibri" w:eastAsia="Calibri" w:hAnsi="Calibri" w:cs="Calibri"/>
        </w:rPr>
        <w:t xml:space="preserve"> (b) Interbedded </w:t>
      </w:r>
      <w:proofErr w:type="spellStart"/>
      <w:r>
        <w:rPr>
          <w:rFonts w:ascii="Calibri" w:eastAsia="Calibri" w:hAnsi="Calibri" w:cs="Calibri"/>
        </w:rPr>
        <w:lastRenderedPageBreak/>
        <w:t>siltstonesandstone</w:t>
      </w:r>
      <w:proofErr w:type="spellEnd"/>
      <w:r>
        <w:rPr>
          <w:rFonts w:ascii="Calibri" w:eastAsia="Calibri" w:hAnsi="Calibri" w:cs="Calibri"/>
        </w:rPr>
        <w:t xml:space="preserve"> laminae, partly contorted. (c) Slump structures in the sandstone-siltstone beds.</w:t>
      </w:r>
    </w:p>
    <w:p w14:paraId="4BDCA539" w14:textId="77777777" w:rsidR="00A978F6" w:rsidRDefault="001A5B1A">
      <w:pPr>
        <w:ind w:left="0" w:right="11" w:firstLine="0"/>
      </w:pPr>
      <w:r>
        <w:t xml:space="preserve">The microfauna indicates a late </w:t>
      </w:r>
      <w:proofErr w:type="spellStart"/>
      <w:r>
        <w:t>Griesbachian</w:t>
      </w:r>
      <w:proofErr w:type="spellEnd"/>
      <w:r>
        <w:t xml:space="preserve"> age, but, as discussed in the following dating section, a 40 m– thick interval at the base </w:t>
      </w:r>
      <w:proofErr w:type="spellStart"/>
      <w:r>
        <w:t>ofthe</w:t>
      </w:r>
      <w:proofErr w:type="spellEnd"/>
      <w:r>
        <w:t xml:space="preserve"> </w:t>
      </w:r>
      <w:proofErr w:type="spellStart"/>
      <w:r>
        <w:t>unitlackingammonoids</w:t>
      </w:r>
      <w:proofErr w:type="spellEnd"/>
      <w:r>
        <w:t xml:space="preserve"> and bivalves could represent the early </w:t>
      </w:r>
      <w:proofErr w:type="spellStart"/>
      <w:r>
        <w:t>Griesbachian</w:t>
      </w:r>
      <w:proofErr w:type="spellEnd"/>
      <w:r>
        <w:t>.</w:t>
      </w:r>
    </w:p>
    <w:p w14:paraId="6ABB6BB9" w14:textId="77777777" w:rsidR="00A978F6" w:rsidRDefault="001A5B1A">
      <w:pPr>
        <w:spacing w:after="519"/>
        <w:ind w:left="0" w:right="11"/>
      </w:pPr>
      <w:r>
        <w:t>The fine-grained lithologies of the uppe</w:t>
      </w:r>
      <w:r>
        <w:t xml:space="preserve">r turbidite unit have generally poor organic matter contents </w:t>
      </w:r>
      <w:proofErr w:type="gramStart"/>
      <w:r>
        <w:t>(</w:t>
      </w:r>
      <w:r>
        <w:rPr>
          <w:rFonts w:ascii="Calibri" w:eastAsia="Calibri" w:hAnsi="Calibri" w:cs="Calibri"/>
        </w:rPr>
        <w:t xml:space="preserve"> </w:t>
      </w:r>
      <w:r>
        <w:t>0.5</w:t>
      </w:r>
      <w:proofErr w:type="gramEnd"/>
      <w:r>
        <w:t xml:space="preserve"> wt. % TOC). Several thin (typically 0.5–1.5 cm), more organic-rich layers (up to 2.8 wt. % TOC) of slightly brownish mudstone occur in the lower half of the upper turbidite unit (Figures 4,</w:t>
      </w:r>
      <w:r>
        <w:t xml:space="preserve"> 9).</w:t>
      </w:r>
    </w:p>
    <w:p w14:paraId="33208740" w14:textId="77777777" w:rsidR="00A978F6" w:rsidRDefault="001A5B1A">
      <w:pPr>
        <w:pStyle w:val="1"/>
        <w:ind w:left="-5" w:right="46"/>
      </w:pPr>
      <w:r>
        <w:t>INTERPRETATION</w:t>
      </w:r>
    </w:p>
    <w:p w14:paraId="01F18370" w14:textId="77777777" w:rsidR="00A978F6" w:rsidRDefault="001A5B1A">
      <w:pPr>
        <w:spacing w:after="309"/>
        <w:ind w:left="0" w:right="11" w:firstLine="0"/>
      </w:pPr>
      <w:r>
        <w:t xml:space="preserve">Seismic data indicate that the shallow-marine sandstone unit rests on crystalline basement, although this boundary was not cored. The basal part of the sequence as represented by the meter-thick conglomerate is enigmatic because of the </w:t>
      </w:r>
      <w:r>
        <w:t>paucity of the cored section. This conglomeratic interval could represent</w:t>
      </w:r>
    </w:p>
    <w:p w14:paraId="294C035B" w14:textId="77777777" w:rsidR="00A978F6" w:rsidRDefault="001A5B1A">
      <w:pPr>
        <w:spacing w:after="164" w:line="259" w:lineRule="auto"/>
        <w:ind w:left="5" w:right="-2" w:firstLine="0"/>
        <w:jc w:val="left"/>
      </w:pPr>
      <w:r>
        <w:rPr>
          <w:noProof/>
        </w:rPr>
        <w:drawing>
          <wp:inline distT="0" distB="0" distL="0" distR="0" wp14:anchorId="74243963" wp14:editId="2CBA8746">
            <wp:extent cx="2961429" cy="3598380"/>
            <wp:effectExtent l="0" t="0" r="0" b="0"/>
            <wp:docPr id="748" name="Picture 748"/>
            <wp:cNvGraphicFramePr/>
            <a:graphic xmlns:a="http://schemas.openxmlformats.org/drawingml/2006/main">
              <a:graphicData uri="http://schemas.openxmlformats.org/drawingml/2006/picture">
                <pic:pic xmlns:pic="http://schemas.openxmlformats.org/drawingml/2006/picture">
                  <pic:nvPicPr>
                    <pic:cNvPr id="748" name="Picture 748"/>
                    <pic:cNvPicPr/>
                  </pic:nvPicPr>
                  <pic:blipFill>
                    <a:blip r:embed="rId21"/>
                    <a:stretch>
                      <a:fillRect/>
                    </a:stretch>
                  </pic:blipFill>
                  <pic:spPr>
                    <a:xfrm>
                      <a:off x="0" y="0"/>
                      <a:ext cx="2961429" cy="3598380"/>
                    </a:xfrm>
                    <a:prstGeom prst="rect">
                      <a:avLst/>
                    </a:prstGeom>
                  </pic:spPr>
                </pic:pic>
              </a:graphicData>
            </a:graphic>
          </wp:inline>
        </w:drawing>
      </w:r>
    </w:p>
    <w:p w14:paraId="64297F38" w14:textId="77777777" w:rsidR="00A978F6" w:rsidRDefault="001A5B1A">
      <w:pPr>
        <w:spacing w:line="240" w:lineRule="auto"/>
        <w:ind w:left="-5" w:right="11" w:hanging="10"/>
      </w:pPr>
      <w:r>
        <w:rPr>
          <w:rFonts w:ascii="Calibri" w:eastAsia="Calibri" w:hAnsi="Calibri" w:cs="Calibri"/>
        </w:rPr>
        <w:t xml:space="preserve">Figure 9. Core photos (diameter 5.4 cm). (a) The Permian– Triassic contact. A hiatus probably exists from the upper Tatarian to lowermost </w:t>
      </w:r>
      <w:proofErr w:type="spellStart"/>
      <w:r>
        <w:rPr>
          <w:rFonts w:ascii="Calibri" w:eastAsia="Calibri" w:hAnsi="Calibri" w:cs="Calibri"/>
        </w:rPr>
        <w:t>Griesbachian</w:t>
      </w:r>
      <w:proofErr w:type="spellEnd"/>
      <w:r>
        <w:rPr>
          <w:rFonts w:ascii="Calibri" w:eastAsia="Calibri" w:hAnsi="Calibri" w:cs="Calibri"/>
        </w:rPr>
        <w:t>, that is, the uppermost Permi</w:t>
      </w:r>
      <w:r>
        <w:rPr>
          <w:rFonts w:ascii="Calibri" w:eastAsia="Calibri" w:hAnsi="Calibri" w:cs="Calibri"/>
        </w:rPr>
        <w:t xml:space="preserve">an is missing. (b) Laminated </w:t>
      </w:r>
      <w:r>
        <w:rPr>
          <w:rFonts w:ascii="Calibri" w:eastAsia="Calibri" w:hAnsi="Calibri" w:cs="Calibri"/>
        </w:rPr>
        <w:t>siltstone/sandstone in the Triassic succession. Some of the thin siltstone beds are organic rich (2–3 wt. % TOC). (c) Coarse-grained, oil-stained conglomerate in the lowermost Triassic.</w:t>
      </w:r>
    </w:p>
    <w:p w14:paraId="27026AED" w14:textId="77777777" w:rsidR="00A978F6" w:rsidRDefault="001A5B1A">
      <w:pPr>
        <w:ind w:left="0" w:right="11" w:firstLine="0"/>
      </w:pPr>
      <w:r>
        <w:t>either a transgressive lag deposit or the</w:t>
      </w:r>
      <w:r>
        <w:t xml:space="preserve"> reworking of a fan delta because the sediment is texturally immature, implying localized transport (</w:t>
      </w:r>
      <w:proofErr w:type="spellStart"/>
      <w:r>
        <w:t>Nemec</w:t>
      </w:r>
      <w:proofErr w:type="spellEnd"/>
      <w:r>
        <w:t xml:space="preserve"> and Steel, 1988). Above this basal succession, variably bioturbated, </w:t>
      </w:r>
      <w:proofErr w:type="spellStart"/>
      <w:r>
        <w:t>finegrained</w:t>
      </w:r>
      <w:proofErr w:type="spellEnd"/>
      <w:r>
        <w:t xml:space="preserve"> sandstones with a marine </w:t>
      </w:r>
      <w:proofErr w:type="spellStart"/>
      <w:r>
        <w:t>ichnofacies</w:t>
      </w:r>
      <w:proofErr w:type="spellEnd"/>
      <w:r>
        <w:t xml:space="preserve"> occur. Where bioturbation is re</w:t>
      </w:r>
      <w:r>
        <w:t xml:space="preserve">duced, vague cross-bedding and low-angle planar lamination is observed, which may represent large-scale trough cross-strata. These sands are variably bioturbated by </w:t>
      </w:r>
      <w:proofErr w:type="spellStart"/>
      <w:r>
        <w:rPr>
          <w:i/>
        </w:rPr>
        <w:t>Macaronichus</w:t>
      </w:r>
      <w:proofErr w:type="spellEnd"/>
      <w:r>
        <w:rPr>
          <w:i/>
        </w:rPr>
        <w:t xml:space="preserve"> </w:t>
      </w:r>
      <w:proofErr w:type="spellStart"/>
      <w:r>
        <w:rPr>
          <w:i/>
        </w:rPr>
        <w:t>segregatis</w:t>
      </w:r>
      <w:proofErr w:type="spellEnd"/>
      <w:r>
        <w:rPr>
          <w:i/>
        </w:rPr>
        <w:t xml:space="preserve">, </w:t>
      </w:r>
      <w:r>
        <w:t>which Clifton and Thompson (1978) suggest was typically found in a</w:t>
      </w:r>
      <w:r>
        <w:t xml:space="preserve">n intertidal or shallow subtidal environment. Subsequent researchers (Saunders and Pemberton, 1986; Pemberton and Saunders, 1990) have noted that </w:t>
      </w:r>
      <w:proofErr w:type="spellStart"/>
      <w:r>
        <w:rPr>
          <w:i/>
        </w:rPr>
        <w:t>Macaronichus</w:t>
      </w:r>
      <w:proofErr w:type="spellEnd"/>
      <w:r>
        <w:rPr>
          <w:i/>
        </w:rPr>
        <w:t xml:space="preserve"> </w:t>
      </w:r>
      <w:proofErr w:type="spellStart"/>
      <w:r>
        <w:rPr>
          <w:i/>
        </w:rPr>
        <w:t>segregatis</w:t>
      </w:r>
      <w:proofErr w:type="spellEnd"/>
      <w:r>
        <w:rPr>
          <w:i/>
        </w:rPr>
        <w:t xml:space="preserve"> </w:t>
      </w:r>
      <w:r>
        <w:t>is also common in shoreface/foreshore settings, where the higher energy levels associa</w:t>
      </w:r>
      <w:r>
        <w:t xml:space="preserve">ted with wave activity result in the absence of suspension-feeding forms. A shoreface/ foreshore interpretation for these sands would be consistent with both the development of large-scale bed forms and the ichnofauna. The higher energy intervals recorded </w:t>
      </w:r>
      <w:r>
        <w:t>by rip-up clasts and sandstones with erosive bases may represent minor tidal channels crossing the shoreface surface. Unfortunately, the obliteration of the primary sedimentary fabric by bioturbation has prevented a more precise interpretation of the sedim</w:t>
      </w:r>
      <w:r>
        <w:t xml:space="preserve">entary facies. The succession passes upward into sandstone/siltstones with a </w:t>
      </w:r>
      <w:proofErr w:type="spellStart"/>
      <w:r>
        <w:rPr>
          <w:i/>
        </w:rPr>
        <w:t>Planolites</w:t>
      </w:r>
      <w:proofErr w:type="spellEnd"/>
      <w:r>
        <w:rPr>
          <w:i/>
        </w:rPr>
        <w:t xml:space="preserve"> </w:t>
      </w:r>
      <w:r>
        <w:t>assemblage, which may represent lower shoreface deposits.</w:t>
      </w:r>
    </w:p>
    <w:p w14:paraId="22CCC8F0" w14:textId="77777777" w:rsidR="00A978F6" w:rsidRDefault="001A5B1A">
      <w:pPr>
        <w:ind w:left="0" w:right="11"/>
      </w:pPr>
      <w:r>
        <w:t>The characteristic red coloration of the sediments within this unit is due to hematite that occurs as both rew</w:t>
      </w:r>
      <w:r>
        <w:t>orked grains and a primary precipitate. The latter suggests deposition in an arid climate with reasonable groundwater flow (Walker, 1967, 1976). The reworked hematite grains indicate a contribution of material eroded from a preexisting reddened source. Mod</w:t>
      </w:r>
      <w:r>
        <w:t>al analysis shows a remarkably low content of gneiss fragments, schist, and quartzite, and a high content of quartz in the shallow-marine sandstone unit compared to the overlying units. Together with the reworked hematite and well-sorted grain size, this s</w:t>
      </w:r>
      <w:r>
        <w:t xml:space="preserve">uggests that the sediments were reworked from an older, reddish sedimentary source. As discussed in the following provenance section, this source could be Late Devonian– Early Permian sedimentary rocks. The red coloration of this unit decreases upward and </w:t>
      </w:r>
      <w:r>
        <w:t>may be associated with either increasing marine influence, decreasing reworked hematite due to a shift in source area, or a combination of these two effects.</w:t>
      </w:r>
    </w:p>
    <w:p w14:paraId="25455390" w14:textId="77777777" w:rsidR="00A978F6" w:rsidRDefault="001A5B1A">
      <w:pPr>
        <w:ind w:left="0" w:right="11"/>
      </w:pPr>
      <w:r>
        <w:lastRenderedPageBreak/>
        <w:t>The anhydrite unit conformably overlies the shallow-marine sandstone unit and displays facies asse</w:t>
      </w:r>
      <w:r>
        <w:t xml:space="preserve">mblages such as </w:t>
      </w:r>
      <w:proofErr w:type="spellStart"/>
      <w:r>
        <w:t>enterolithic</w:t>
      </w:r>
      <w:proofErr w:type="spellEnd"/>
      <w:r>
        <w:t xml:space="preserve"> layering and aphanitic anhydrite indicative of a sabkha environment. The development of this sabkha facies indicates restriction and development of hypersaline conditions, most probably in an embayment setting. A possible perio</w:t>
      </w:r>
      <w:r>
        <w:t xml:space="preserve">d of subaerial exposure is indicated by the presence of desiccation surfaces containing a solution breccia close to the top of the unit. The </w:t>
      </w:r>
      <w:proofErr w:type="spellStart"/>
      <w:proofErr w:type="gramStart"/>
      <w:r>
        <w:t>anhydriteis,however</w:t>
      </w:r>
      <w:proofErr w:type="gramEnd"/>
      <w:r>
        <w:t>,rather</w:t>
      </w:r>
      <w:proofErr w:type="spellEnd"/>
      <w:r>
        <w:t xml:space="preserve"> chaotically interbedded by pyritic laminated sandstones and massive gray sandstones. Thi</w:t>
      </w:r>
      <w:r>
        <w:t>s may indicate that these anhydrite deposits are the product of slumping or erosion from sabkha sediments developed upslope and now occurring as slump blocks. The interbedded, laminated siltstones probably represent an offshore transitional environment int</w:t>
      </w:r>
      <w:r>
        <w:t>o which the slumps containing evaporitic material were periodically dumped.</w:t>
      </w:r>
    </w:p>
    <w:p w14:paraId="6FA393E0" w14:textId="77777777" w:rsidR="00A978F6" w:rsidRDefault="001A5B1A">
      <w:pPr>
        <w:ind w:left="0" w:right="11"/>
      </w:pPr>
      <w:r>
        <w:t>The lower sandstone-rich part of the lower turbidite unit is interpreted to represent the deposition of a series of gravity flows on an unstable proximal slope or basin margin. The</w:t>
      </w:r>
      <w:r>
        <w:t xml:space="preserve"> fining-up beds, which are typical for the lower turbidite unit, represent complete units or parts of the classical turbidite bed of Bouma (1962) (Figure 7). A proximal position is also indicated by the large amounts of terrestrially dominated palynofacies</w:t>
      </w:r>
      <w:r>
        <w:t xml:space="preserve"> and the dominance of basement-derived clasts. The interbedded nature of these sandy turbidites with bioturbated sandy siltstones suggests that these </w:t>
      </w:r>
      <w:proofErr w:type="spellStart"/>
      <w:r>
        <w:t>flowswere</w:t>
      </w:r>
      <w:proofErr w:type="spellEnd"/>
      <w:r>
        <w:t xml:space="preserve"> episodic events that punctuated the normal hemipelagic background sedimentation. The </w:t>
      </w:r>
      <w:proofErr w:type="spellStart"/>
      <w:r>
        <w:t>ichnofacies</w:t>
      </w:r>
      <w:r>
        <w:t>inthe</w:t>
      </w:r>
      <w:proofErr w:type="spellEnd"/>
      <w:r>
        <w:t xml:space="preserve"> sandy siltstones shows low diversity, consisting predominately of minor </w:t>
      </w:r>
      <w:proofErr w:type="spellStart"/>
      <w:r>
        <w:rPr>
          <w:i/>
        </w:rPr>
        <w:t>Planolites</w:t>
      </w:r>
      <w:proofErr w:type="spellEnd"/>
      <w:r>
        <w:rPr>
          <w:i/>
        </w:rPr>
        <w:t xml:space="preserve"> </w:t>
      </w:r>
      <w:r>
        <w:t xml:space="preserve">and </w:t>
      </w:r>
      <w:proofErr w:type="spellStart"/>
      <w:r>
        <w:t>uncommonisolated</w:t>
      </w:r>
      <w:proofErr w:type="spellEnd"/>
      <w:r>
        <w:t xml:space="preserve"> </w:t>
      </w:r>
      <w:r>
        <w:rPr>
          <w:i/>
        </w:rPr>
        <w:t xml:space="preserve">Chondrites </w:t>
      </w:r>
      <w:r>
        <w:t xml:space="preserve">and </w:t>
      </w:r>
      <w:proofErr w:type="spellStart"/>
      <w:r>
        <w:rPr>
          <w:i/>
        </w:rPr>
        <w:t>Teichichnus</w:t>
      </w:r>
      <w:proofErr w:type="spellEnd"/>
      <w:r>
        <w:t xml:space="preserve">, </w:t>
      </w:r>
      <w:r>
        <w:t xml:space="preserve">suggesting that unsuitable bottom conditions for colonization were present </w:t>
      </w:r>
      <w:proofErr w:type="gramStart"/>
      <w:r>
        <w:t>at this time</w:t>
      </w:r>
      <w:proofErr w:type="gramEnd"/>
      <w:r>
        <w:t>. This may have been due to the instability of the substrate.</w:t>
      </w:r>
    </w:p>
    <w:p w14:paraId="716CED09" w14:textId="77777777" w:rsidR="00A978F6" w:rsidRDefault="001A5B1A">
      <w:pPr>
        <w:ind w:left="0" w:right="11"/>
      </w:pPr>
      <w:r>
        <w:t>The two nonbioturbated, organic-rich intervals reflect more stagnant, anoxic bottom conditions. The upper i</w:t>
      </w:r>
      <w:r>
        <w:t xml:space="preserve">nterval contains </w:t>
      </w:r>
      <w:proofErr w:type="spellStart"/>
      <w:r>
        <w:rPr>
          <w:i/>
        </w:rPr>
        <w:t>Tasmanites</w:t>
      </w:r>
      <w:proofErr w:type="spellEnd"/>
      <w:r>
        <w:rPr>
          <w:i/>
        </w:rPr>
        <w:t xml:space="preserve"> </w:t>
      </w:r>
      <w:r>
        <w:t>algae, and both intervals are interpreted to represent flooding events. Above these intervals, the presence of increasingly reddened, bioturbated, sandy siltstones could point to the subsequent development of a more oxygenated e</w:t>
      </w:r>
      <w:r>
        <w:t>nvironment.</w:t>
      </w:r>
    </w:p>
    <w:p w14:paraId="7ACE6B6D" w14:textId="77777777" w:rsidR="00A978F6" w:rsidRDefault="001A5B1A">
      <w:pPr>
        <w:ind w:left="0" w:right="11"/>
      </w:pPr>
      <w:r>
        <w:t>The upper turbidite unit shows similarity with the underlying lower turbidite unit in terms of both lithofacies and depositional environment. Turbidites occur, however, throughout the entire upper turbidite unit, whereas they are concentrated i</w:t>
      </w:r>
      <w:r>
        <w:t xml:space="preserve">n the lower part of the lower turbidite unit. Another difference is that many of the turbidites found in the upper unit are finer grained and more mud-rich than in </w:t>
      </w:r>
      <w:r>
        <w:t xml:space="preserve">the lower </w:t>
      </w:r>
      <w:proofErr w:type="spellStart"/>
      <w:proofErr w:type="gramStart"/>
      <w:r>
        <w:t>unit.This</w:t>
      </w:r>
      <w:proofErr w:type="spellEnd"/>
      <w:proofErr w:type="gramEnd"/>
      <w:r>
        <w:t xml:space="preserve"> could suggest that these slumps were accumulated in a slightly more dist</w:t>
      </w:r>
      <w:r>
        <w:t xml:space="preserve">al position. </w:t>
      </w:r>
      <w:proofErr w:type="spellStart"/>
      <w:r>
        <w:t>Thesiltstone</w:t>
      </w:r>
      <w:proofErr w:type="spellEnd"/>
      <w:r>
        <w:t xml:space="preserve">-dominated intervals are </w:t>
      </w:r>
      <w:proofErr w:type="spellStart"/>
      <w:r>
        <w:t>lithologically</w:t>
      </w:r>
      <w:proofErr w:type="spellEnd"/>
      <w:r>
        <w:t xml:space="preserve"> similar in the two units but are slightly more organic rich and have higher hydrogen indices in the upper turbidite unit.</w:t>
      </w:r>
    </w:p>
    <w:p w14:paraId="5BFC29DC" w14:textId="77777777" w:rsidR="00A978F6" w:rsidRDefault="001A5B1A">
      <w:pPr>
        <w:spacing w:after="519"/>
        <w:ind w:left="0" w:right="11"/>
      </w:pPr>
      <w:r>
        <w:t>The sandstones and siltstones in the upper turbidite unit were probab</w:t>
      </w:r>
      <w:r>
        <w:t xml:space="preserve">ly deposited as high-density sediment gravity flows on an unstable proximal </w:t>
      </w:r>
      <w:proofErr w:type="spellStart"/>
      <w:proofErr w:type="gramStart"/>
      <w:r>
        <w:t>slope.Soft</w:t>
      </w:r>
      <w:proofErr w:type="spellEnd"/>
      <w:proofErr w:type="gramEnd"/>
      <w:r>
        <w:t xml:space="preserve"> sediment deformation structures are commonly observed (Figure 8). The bivalve-bearing and </w:t>
      </w:r>
      <w:proofErr w:type="spellStart"/>
      <w:r>
        <w:t>ammonitebearing</w:t>
      </w:r>
      <w:proofErr w:type="spellEnd"/>
      <w:r>
        <w:t xml:space="preserve"> siltstones most likely represent hemipelagic sedimentation that</w:t>
      </w:r>
      <w:r>
        <w:t xml:space="preserve"> occurred between the episodic passage of successive turbidity currents. The thin evaporitic interval could suggest a period of low sea level and/or a restricted basin, but it is most likely redeposited in the form of small slump blocks. Pyritized siltston</w:t>
      </w:r>
      <w:r>
        <w:t xml:space="preserve">e laminae also indicate periodic anoxia and restriction of water movement. In summary, the upper turbidite unit represents deposition on the lower slope under medium deep-water, commonly restricted conditions. The turbidites were most likely the result of </w:t>
      </w:r>
      <w:r>
        <w:t>slope failure triggered by episodic tectonic activity.</w:t>
      </w:r>
    </w:p>
    <w:p w14:paraId="73DEC119" w14:textId="77777777" w:rsidR="00A978F6" w:rsidRDefault="001A5B1A">
      <w:pPr>
        <w:pStyle w:val="1"/>
        <w:ind w:left="-5" w:right="46"/>
      </w:pPr>
      <w:r>
        <w:t>RESERVOIR QUALITY</w:t>
      </w:r>
    </w:p>
    <w:p w14:paraId="43A2D6AA" w14:textId="77777777" w:rsidR="00A978F6" w:rsidRDefault="001A5B1A">
      <w:pPr>
        <w:ind w:left="0" w:right="11" w:firstLine="0"/>
      </w:pPr>
      <w:r>
        <w:t xml:space="preserve">Diagenetic effects have had a direct effect on the potential reservoir characteristics of the cored section, and authigenic phases include the development of kaolinite, </w:t>
      </w:r>
      <w:proofErr w:type="spellStart"/>
      <w:r>
        <w:t>illite</w:t>
      </w:r>
      <w:proofErr w:type="spellEnd"/>
      <w:r>
        <w:t>, chlori</w:t>
      </w:r>
      <w:r>
        <w:t xml:space="preserve">te, and mixed-layer clays. Volumetrically, the precipitation of a pervasive pore-filling calcite has resulted in the destruction of considerable primary porosity. A </w:t>
      </w:r>
      <w:proofErr w:type="spellStart"/>
      <w:r>
        <w:t>subsequentalbitizationeventpostdates</w:t>
      </w:r>
      <w:proofErr w:type="spellEnd"/>
      <w:r>
        <w:t xml:space="preserve"> the precipitation of the early calcite cement and most</w:t>
      </w:r>
      <w:r>
        <w:t xml:space="preserve"> likely occurred during later burial diagenesis.</w:t>
      </w:r>
    </w:p>
    <w:p w14:paraId="591217E4" w14:textId="77777777" w:rsidR="00A978F6" w:rsidRDefault="001A5B1A">
      <w:pPr>
        <w:ind w:left="0" w:right="11"/>
      </w:pPr>
      <w:r>
        <w:t>Core porosities within the shallow-marine sandstone unit range from 2 to 15%, with an average of 8%; neutron-log porosity is approximately 12% in the lower part and 8–10% in the upper 60 m, which are more cl</w:t>
      </w:r>
      <w:r>
        <w:t xml:space="preserve">ay-rich. Horizontal permeability measured from core plugs is generally less than 1 md, except for three values between 6 and 60 md (Figure 4). </w:t>
      </w:r>
      <w:proofErr w:type="spellStart"/>
      <w:r>
        <w:t>Minipermeameter</w:t>
      </w:r>
      <w:proofErr w:type="spellEnd"/>
      <w:r>
        <w:t xml:space="preserve"> values are mostly between 0.5 and 1 </w:t>
      </w:r>
      <w:proofErr w:type="spellStart"/>
      <w:r>
        <w:t>md.</w:t>
      </w:r>
      <w:proofErr w:type="spellEnd"/>
      <w:r>
        <w:t xml:space="preserve"> The generally poor porosity and permeability reflect the </w:t>
      </w:r>
      <w:r>
        <w:t>effects of diagenetic processes and subsequent compactional effects.</w:t>
      </w:r>
    </w:p>
    <w:p w14:paraId="262B6164" w14:textId="77777777" w:rsidR="00A978F6" w:rsidRDefault="001A5B1A">
      <w:pPr>
        <w:ind w:left="0" w:right="11"/>
      </w:pPr>
      <w:proofErr w:type="gramStart"/>
      <w:r>
        <w:t>In an attempt to</w:t>
      </w:r>
      <w:proofErr w:type="gramEnd"/>
      <w:r>
        <w:t xml:space="preserve"> reconstruct the original porosity/ permeability, </w:t>
      </w:r>
      <w:proofErr w:type="spellStart"/>
      <w:r>
        <w:t>backstripped</w:t>
      </w:r>
      <w:proofErr w:type="spellEnd"/>
      <w:r>
        <w:t xml:space="preserve"> porosities and permeabilities were calculated by removing the </w:t>
      </w:r>
      <w:proofErr w:type="spellStart"/>
      <w:r>
        <w:t>diageneticeffects</w:t>
      </w:r>
      <w:proofErr w:type="spellEnd"/>
      <w:r>
        <w:t>, using image analysis techni</w:t>
      </w:r>
      <w:r>
        <w:t xml:space="preserve">ques. These </w:t>
      </w:r>
      <w:proofErr w:type="spellStart"/>
      <w:r>
        <w:t>backstripped</w:t>
      </w:r>
      <w:proofErr w:type="spellEnd"/>
      <w:r>
        <w:t xml:space="preserve"> porosities and permeabilities were significantly higher after the </w:t>
      </w:r>
      <w:r>
        <w:lastRenderedPageBreak/>
        <w:t>removal of the calcite cement, indicating that this event was responsible for most of the porosity/ permeability reduction (excluding compactional effects). Througho</w:t>
      </w:r>
      <w:r>
        <w:t xml:space="preserve">ut the entire core, mean porosity was improved from 10.5 to 16.6%. In the case of permeability, the results were even more </w:t>
      </w:r>
      <w:proofErr w:type="spellStart"/>
      <w:proofErr w:type="gramStart"/>
      <w:r>
        <w:t>dramatic,increasing</w:t>
      </w:r>
      <w:proofErr w:type="spellEnd"/>
      <w:proofErr w:type="gramEnd"/>
      <w:r>
        <w:t xml:space="preserve"> to 335 md, as opposed to 23.2 md when calcite was in place.</w:t>
      </w:r>
    </w:p>
    <w:p w14:paraId="694411D1" w14:textId="77777777" w:rsidR="00A978F6" w:rsidRDefault="001A5B1A">
      <w:pPr>
        <w:ind w:left="0" w:right="11"/>
      </w:pPr>
      <w:r>
        <w:t xml:space="preserve">The anhydrite unit is marked by uniformly </w:t>
      </w:r>
      <w:proofErr w:type="spellStart"/>
      <w:r>
        <w:t>lowporosities</w:t>
      </w:r>
      <w:proofErr w:type="spellEnd"/>
      <w:r>
        <w:t xml:space="preserve"> and permeabilities (Figure 4). Numerous small healed fractures were observed in the core, but no major fractures or secondary porosity is observed in </w:t>
      </w:r>
      <w:proofErr w:type="gramStart"/>
      <w:r>
        <w:t>this facies</w:t>
      </w:r>
      <w:proofErr w:type="gramEnd"/>
      <w:r>
        <w:t>, and the unit would probably form an e</w:t>
      </w:r>
      <w:r>
        <w:t>ffective seal to underlying sandstones, if laterally extensive.</w:t>
      </w:r>
    </w:p>
    <w:p w14:paraId="736C6C9E" w14:textId="77777777" w:rsidR="00A978F6" w:rsidRDefault="001A5B1A">
      <w:pPr>
        <w:ind w:left="0" w:right="11"/>
      </w:pPr>
      <w:r>
        <w:t xml:space="preserve">Core porosities are </w:t>
      </w:r>
      <w:proofErr w:type="gramStart"/>
      <w:r>
        <w:t>fairly constant</w:t>
      </w:r>
      <w:proofErr w:type="gramEnd"/>
      <w:r>
        <w:t xml:space="preserve"> (Figure 4) throughout the lower turbidite unit, with an average of 11%, whereas neutron-log porosity increases from about 15% in the lower part to 25% in th</w:t>
      </w:r>
      <w:r>
        <w:t xml:space="preserve">e upper part, where the clay content is higher. Horizontal permeability is low (average 3 md). As in the case of the shallow-marine sandstone unit, </w:t>
      </w:r>
      <w:proofErr w:type="spellStart"/>
      <w:r>
        <w:t>backstripping</w:t>
      </w:r>
      <w:proofErr w:type="spellEnd"/>
      <w:r>
        <w:t xml:space="preserve"> of the pore cement shows that the porosity/permeability properties were primarily reduced by t</w:t>
      </w:r>
      <w:r>
        <w:t xml:space="preserve">he </w:t>
      </w:r>
      <w:proofErr w:type="spellStart"/>
      <w:r>
        <w:t>previouslydiscussed</w:t>
      </w:r>
      <w:proofErr w:type="spellEnd"/>
      <w:r>
        <w:t xml:space="preserve"> early phase of pore-filling calcite cementation.</w:t>
      </w:r>
    </w:p>
    <w:p w14:paraId="218FE69B" w14:textId="77777777" w:rsidR="00A978F6" w:rsidRDefault="001A5B1A">
      <w:pPr>
        <w:spacing w:after="778"/>
        <w:ind w:left="0" w:right="11"/>
      </w:pPr>
      <w:r>
        <w:t>Porosity and permeability values are poor in the upper turbidite unit, with measured core porosities on the order of 8–12% and log porosities of 20–25%. Horizontal permeability measure</w:t>
      </w:r>
      <w:r>
        <w:t xml:space="preserve">d on core plugs and using a </w:t>
      </w:r>
      <w:proofErr w:type="spellStart"/>
      <w:r>
        <w:t>minipermeameter</w:t>
      </w:r>
      <w:proofErr w:type="spellEnd"/>
      <w:r>
        <w:t xml:space="preserve"> is on the order of 0.2–0.4 and 0.2–1 md, respectively, for the two methods (Figure 4). The diagenetic history is nearly identical in the two turbidite units, and the poor porosity and permeability values are prim</w:t>
      </w:r>
      <w:r>
        <w:t>arily due to calcite cementation.</w:t>
      </w:r>
    </w:p>
    <w:p w14:paraId="288E8FDE" w14:textId="77777777" w:rsidR="00A978F6" w:rsidRDefault="001A5B1A">
      <w:pPr>
        <w:pStyle w:val="1"/>
        <w:ind w:left="-5" w:right="46"/>
      </w:pPr>
      <w:r>
        <w:t>PROVENANCE</w:t>
      </w:r>
    </w:p>
    <w:p w14:paraId="0031FD09" w14:textId="77777777" w:rsidR="00A978F6" w:rsidRDefault="001A5B1A">
      <w:pPr>
        <w:ind w:left="0" w:right="11" w:firstLine="0"/>
      </w:pPr>
      <w:r>
        <w:t xml:space="preserve">In terms of provenance, the detrital mineralogy of the cored succession shows marked differences between the basal 170 m of reddish sandstones of the </w:t>
      </w:r>
      <w:proofErr w:type="spellStart"/>
      <w:r>
        <w:t>shallowmarine</w:t>
      </w:r>
      <w:proofErr w:type="spellEnd"/>
      <w:r>
        <w:t xml:space="preserve"> sandstone unit and the overlying turbidite unit</w:t>
      </w:r>
      <w:r>
        <w:t>s. The red sandstones contain almost no gneiss, quartzite, or schist fragments, whereas the amount of detrital rock fragments and minerals increases markedly in the lower and upper turbidite units. This suggests that the turbidite units and the red sandsto</w:t>
      </w:r>
      <w:r>
        <w:t>ne unit were derived from different sources. Considering the detritus of the turbidite units, it may be concluded that they have their provenance in Caledonian basement rocks.</w:t>
      </w:r>
    </w:p>
    <w:p w14:paraId="18C4FD64" w14:textId="77777777" w:rsidR="00A978F6" w:rsidRDefault="001A5B1A">
      <w:pPr>
        <w:spacing w:after="519"/>
        <w:ind w:left="0" w:right="11"/>
      </w:pPr>
      <w:r>
        <w:t>The shallow-marine sandstone unit has considerably fewer metamorphic rock fragme</w:t>
      </w:r>
      <w:r>
        <w:t>nts and contains reworked hematite, suggesting that these sediments were primarily sourced from an area of older sedimentary, possibly continental, rocks. In East Greenland, Late Devonian–Early Permian continental rocks are characterized by their reddish c</w:t>
      </w:r>
      <w:r>
        <w:t>olor. We therefore suggest that similar Devonian–Early Permian sediments were the main source for the shallow-</w:t>
      </w:r>
      <w:proofErr w:type="spellStart"/>
      <w:r>
        <w:t>marinesandstone</w:t>
      </w:r>
      <w:proofErr w:type="spellEnd"/>
      <w:r>
        <w:t xml:space="preserve"> unit. </w:t>
      </w:r>
      <w:proofErr w:type="spellStart"/>
      <w:r>
        <w:t>Dipmeter</w:t>
      </w:r>
      <w:proofErr w:type="spellEnd"/>
      <w:r>
        <w:t xml:space="preserve"> data suggest that the sediments of the shallow-marine sandstone unit were sourced from the east, thus indicating th</w:t>
      </w:r>
      <w:r>
        <w:t>at continental sand-prone sediments of Late Devonian–Early Permian age could have been deposited in the present skerry zone east of the drill sites. These sediments were probably deposited directly on Caledonian basement. Most of these sediments were erode</w:t>
      </w:r>
      <w:r>
        <w:t>d between the time of the middle Permian peneplanation and that of the relative lowering of sea level, when the anhydrite sediments overlying the Upper Permian sandstone were deposited. As a result, no traces of these sediments are found in the younger par</w:t>
      </w:r>
      <w:r>
        <w:t>t of the cored succession.</w:t>
      </w:r>
    </w:p>
    <w:p w14:paraId="5839A4DE" w14:textId="77777777" w:rsidR="00A978F6" w:rsidRDefault="001A5B1A">
      <w:pPr>
        <w:pStyle w:val="1"/>
        <w:ind w:left="-5" w:right="46"/>
      </w:pPr>
      <w:r>
        <w:t>DATING OF THE CORED SUCCESSION</w:t>
      </w:r>
    </w:p>
    <w:p w14:paraId="3676C20E" w14:textId="77777777" w:rsidR="00A978F6" w:rsidRDefault="001A5B1A">
      <w:pPr>
        <w:ind w:left="0" w:right="11" w:firstLine="0"/>
      </w:pPr>
      <w:r>
        <w:t xml:space="preserve">The cored succession was analyzed for </w:t>
      </w:r>
      <w:proofErr w:type="spellStart"/>
      <w:r>
        <w:t>macrofaunaand</w:t>
      </w:r>
      <w:proofErr w:type="spellEnd"/>
      <w:r>
        <w:t xml:space="preserve"> palynomorphs, and in addition, the Permian section was analyzed for foraminifera. Ammonoids and bivalves were recorded throughout the Triassic sec</w:t>
      </w:r>
      <w:r>
        <w:t>tion, except for the lowest 43 m. Foraminifera were found only in two samples in the upper 20 m of the Permian section. Palynomorphs were recorded throughout the entire succession, except for the lowermost 90 m of the basal red sandstone. Diversity and pre</w:t>
      </w:r>
      <w:r>
        <w:t>servation are best in the Triassic section. Key fossils are shown in Figure 4.</w:t>
      </w:r>
    </w:p>
    <w:p w14:paraId="04FF643D" w14:textId="77777777" w:rsidR="00A978F6" w:rsidRDefault="001A5B1A">
      <w:pPr>
        <w:ind w:left="0" w:right="11"/>
      </w:pPr>
      <w:r>
        <w:t>The palynomorphs suggest a Late Permian (</w:t>
      </w:r>
      <w:proofErr w:type="spellStart"/>
      <w:r>
        <w:t>Ufimian</w:t>
      </w:r>
      <w:proofErr w:type="spellEnd"/>
      <w:r>
        <w:t xml:space="preserve">–earliest Tatarian?) age for the lower 355 m of the cored succession. This comprises the </w:t>
      </w:r>
      <w:proofErr w:type="spellStart"/>
      <w:r>
        <w:t>shallowmarine</w:t>
      </w:r>
      <w:proofErr w:type="spellEnd"/>
      <w:r>
        <w:t xml:space="preserve"> sandstone unit, the anhydr</w:t>
      </w:r>
      <w:r>
        <w:t xml:space="preserve">ite unit, and the lower turbidite unit. The basal 90 m are barren of fossils and cannot be dated. Because this interval is part of the same sedimentological unit, which we date as </w:t>
      </w:r>
      <w:proofErr w:type="spellStart"/>
      <w:r>
        <w:t>Ufimian</w:t>
      </w:r>
      <w:proofErr w:type="spellEnd"/>
      <w:r>
        <w:t xml:space="preserve">–early </w:t>
      </w:r>
      <w:proofErr w:type="gramStart"/>
      <w:r>
        <w:t>Tatarian?,</w:t>
      </w:r>
      <w:proofErr w:type="gramEnd"/>
      <w:r>
        <w:t xml:space="preserve"> it is reasonable to assign the same age to the enti</w:t>
      </w:r>
      <w:r>
        <w:t>re shallow-marine sandstone unit. A further subdivision of the cored Upper Permian succession was not possible because of remarkably insignificant palynological variations. Correlation with the East Greenland assemblages (</w:t>
      </w:r>
      <w:proofErr w:type="spellStart"/>
      <w:r>
        <w:t>Piasecki</w:t>
      </w:r>
      <w:proofErr w:type="spellEnd"/>
      <w:r>
        <w:t>, 1984) suggests that ther</w:t>
      </w:r>
      <w:r>
        <w:t>e is a hiatus on top of the Permian succession and that at least the upper Tatarian is missing</w:t>
      </w:r>
    </w:p>
    <w:p w14:paraId="54B520C5" w14:textId="77777777" w:rsidR="00A978F6" w:rsidRDefault="001A5B1A">
      <w:pPr>
        <w:ind w:left="0" w:right="11" w:firstLine="0"/>
      </w:pPr>
      <w:r>
        <w:lastRenderedPageBreak/>
        <w:t>(Figure 9a).</w:t>
      </w:r>
    </w:p>
    <w:p w14:paraId="43B710A4" w14:textId="77777777" w:rsidR="00A978F6" w:rsidRDefault="001A5B1A">
      <w:pPr>
        <w:ind w:left="0" w:right="11"/>
      </w:pPr>
      <w:r>
        <w:t>The upper turbidite unit is assigned an Early Triassic (</w:t>
      </w:r>
      <w:proofErr w:type="spellStart"/>
      <w:r>
        <w:t>Griesbachian</w:t>
      </w:r>
      <w:proofErr w:type="spellEnd"/>
      <w:r>
        <w:t xml:space="preserve">) age based on </w:t>
      </w:r>
      <w:proofErr w:type="spellStart"/>
      <w:r>
        <w:t>palynomorphdating</w:t>
      </w:r>
      <w:proofErr w:type="spellEnd"/>
      <w:r>
        <w:t>. The ammonoids and bivalves indicate an early l</w:t>
      </w:r>
      <w:r>
        <w:t xml:space="preserve">ate </w:t>
      </w:r>
      <w:proofErr w:type="spellStart"/>
      <w:r>
        <w:t>Griesbachian</w:t>
      </w:r>
      <w:proofErr w:type="spellEnd"/>
      <w:r>
        <w:t xml:space="preserve"> age, but because they do not occur in the lowermost 43 m of the unit, we believe that this part may represent the early </w:t>
      </w:r>
      <w:proofErr w:type="spellStart"/>
      <w:r>
        <w:t>Griesbachian</w:t>
      </w:r>
      <w:proofErr w:type="spellEnd"/>
      <w:r>
        <w:t>. If so, no hiatus exists within the Lower Triassic succession.</w:t>
      </w:r>
    </w:p>
    <w:p w14:paraId="61062CB5" w14:textId="77777777" w:rsidR="00A978F6" w:rsidRDefault="001A5B1A">
      <w:pPr>
        <w:spacing w:after="519"/>
        <w:ind w:left="0" w:right="11"/>
      </w:pPr>
      <w:r>
        <w:t xml:space="preserve">The Permian </w:t>
      </w:r>
      <w:proofErr w:type="spellStart"/>
      <w:r>
        <w:t>palynoassemblages</w:t>
      </w:r>
      <w:proofErr w:type="spellEnd"/>
      <w:r>
        <w:t xml:space="preserve"> studied in th</w:t>
      </w:r>
      <w:r>
        <w:t>e core material are very similar to those in the Upper Permian succession in East Greenland. They are, however, different from those recorded on Svalbard, the Barents Sea, and the Sverdrup Basin in arctic Canada (</w:t>
      </w:r>
      <w:proofErr w:type="spellStart"/>
      <w:r>
        <w:t>Utting</w:t>
      </w:r>
      <w:proofErr w:type="spellEnd"/>
      <w:r>
        <w:t xml:space="preserve"> and </w:t>
      </w:r>
      <w:proofErr w:type="spellStart"/>
      <w:r>
        <w:t>Piasecki</w:t>
      </w:r>
      <w:proofErr w:type="spellEnd"/>
      <w:r>
        <w:t>, 1995). This similarity</w:t>
      </w:r>
      <w:r>
        <w:t xml:space="preserve"> with East Greenland and the dissimilarity with the Arctic seem to have changed with the breakup of Pangea and an accompanying increased communication between these areas in the Early Triassic. The microflora in the Lower Triassic succession is strikingly </w:t>
      </w:r>
      <w:proofErr w:type="gramStart"/>
      <w:r>
        <w:t>similar to</w:t>
      </w:r>
      <w:proofErr w:type="gramEnd"/>
      <w:r>
        <w:t xml:space="preserve"> that recorded in all mentioned areas. This is also the case for the macrofauna, which appears very similar to the Early Triassic faunas recorded elsewhere in the Arctic area.</w:t>
      </w:r>
    </w:p>
    <w:p w14:paraId="44EE0062" w14:textId="77777777" w:rsidR="00A978F6" w:rsidRDefault="001A5B1A">
      <w:pPr>
        <w:spacing w:after="257" w:line="257" w:lineRule="auto"/>
        <w:ind w:left="-5" w:right="46" w:hanging="10"/>
        <w:jc w:val="left"/>
      </w:pPr>
      <w:r>
        <w:rPr>
          <w:rFonts w:ascii="Calibri" w:eastAsia="Calibri" w:hAnsi="Calibri" w:cs="Calibri"/>
        </w:rPr>
        <w:t>SOURCE ROCK POTENTIAL AND OIL STAINING</w:t>
      </w:r>
    </w:p>
    <w:p w14:paraId="79918744" w14:textId="77777777" w:rsidR="00A978F6" w:rsidRDefault="001A5B1A">
      <w:pPr>
        <w:pStyle w:val="1"/>
        <w:spacing w:after="255" w:line="259" w:lineRule="auto"/>
        <w:ind w:left="-5"/>
      </w:pPr>
      <w:r>
        <w:t>Source Rock Potential of the Pe</w:t>
      </w:r>
      <w:r>
        <w:t>rmian Succession</w:t>
      </w:r>
    </w:p>
    <w:p w14:paraId="5EFF2979" w14:textId="77777777" w:rsidR="00A978F6" w:rsidRDefault="001A5B1A">
      <w:pPr>
        <w:ind w:left="0" w:right="11" w:firstLine="0"/>
      </w:pPr>
      <w:r>
        <w:t xml:space="preserve">The only true potential source rock candidates in the cored succession are represented by two intervals of laminated mudstones in the upper part of the Upper Permian lower turbidite unit (450–470 m in Figure 4). The lower (13 m thick) and </w:t>
      </w:r>
      <w:r>
        <w:t xml:space="preserve">upper (6 m </w:t>
      </w:r>
      <w:proofErr w:type="gramStart"/>
      <w:r>
        <w:t>thick)mudstone</w:t>
      </w:r>
      <w:proofErr w:type="gramEnd"/>
      <w:r>
        <w:t xml:space="preserve"> intervals have average TOC contents of 3.2 and 3.5 wt. %, respectively. These two organic-rich mudstone intervals are separated by bioturbated, less organic-rich siltstones that have no source potential (1.1–2.1 wt. % TOC; HI </w:t>
      </w:r>
      <w:r>
        <w:rPr>
          <w:rFonts w:ascii="Calibri" w:eastAsia="Calibri" w:hAnsi="Calibri" w:cs="Calibri"/>
        </w:rPr>
        <w:t xml:space="preserve"> </w:t>
      </w:r>
      <w:r>
        <w:t xml:space="preserve">50 </w:t>
      </w:r>
      <w:r>
        <w:t>mg/g TOC).</w:t>
      </w:r>
    </w:p>
    <w:p w14:paraId="7DE6E4D7" w14:textId="77777777" w:rsidR="00A978F6" w:rsidRDefault="001A5B1A">
      <w:pPr>
        <w:ind w:left="0" w:right="11"/>
      </w:pPr>
      <w:r>
        <w:t>Two intervals of laminated mudstones were recognized as having high gamma-ray values and low velocities between 450 and 470 m (Figure 4). Hydrogen index values of 44–155 mg/g TOC (average 114 mg/ g TOC) in the lower organic-rich mudstone and 143</w:t>
      </w:r>
      <w:r>
        <w:t>– 286 mg/g TOC (average 185 mg/g TOC) in the upper organic-rich mudstone suggest at best a moderate liquid hydrocarbon generation potential (type III to type II/III). This is consistent with the dominance of herbaceous, woody, and coaly material (60–85%) i</w:t>
      </w:r>
      <w:r>
        <w:t xml:space="preserve">n the kerogen and, together with the generally rather aromatic nature of the </w:t>
      </w:r>
      <w:proofErr w:type="spellStart"/>
      <w:r>
        <w:t>pyrolysates</w:t>
      </w:r>
      <w:proofErr w:type="spellEnd"/>
      <w:r>
        <w:t xml:space="preserve">, would tend to suggest a more proximal </w:t>
      </w:r>
      <w:r>
        <w:t xml:space="preserve">depositional setting. Thin </w:t>
      </w:r>
      <w:proofErr w:type="spellStart"/>
      <w:r>
        <w:t>tasmanitid</w:t>
      </w:r>
      <w:proofErr w:type="spellEnd"/>
      <w:r>
        <w:t xml:space="preserve"> laminae in a sample from the upper laminated mudstone coincide with a general upward impro</w:t>
      </w:r>
      <w:r>
        <w:t>vement in source rock quality from the lower to the upper organic-rich mudstone.</w:t>
      </w:r>
    </w:p>
    <w:p w14:paraId="1DE5FCCD" w14:textId="77777777" w:rsidR="00A978F6" w:rsidRDefault="001A5B1A">
      <w:pPr>
        <w:ind w:left="0" w:right="11"/>
      </w:pPr>
      <w:r>
        <w:t>An abundance of reworked organic material, generally poor vitrinite quality, and the presence of hydrocarbon staining in parts of the cored succession make determination of th</w:t>
      </w:r>
      <w:r>
        <w:t xml:space="preserve">ermal maturity somewhat ambiguous. Rock-Eval </w:t>
      </w:r>
      <w:proofErr w:type="spellStart"/>
      <w:r>
        <w:rPr>
          <w:i/>
        </w:rPr>
        <w:t>T</w:t>
      </w:r>
      <w:r>
        <w:rPr>
          <w:vertAlign w:val="subscript"/>
        </w:rPr>
        <w:t>max</w:t>
      </w:r>
      <w:proofErr w:type="spellEnd"/>
      <w:r>
        <w:rPr>
          <w:vertAlign w:val="subscript"/>
        </w:rPr>
        <w:t xml:space="preserve"> </w:t>
      </w:r>
      <w:r>
        <w:t>values of 440–450</w:t>
      </w:r>
      <w:proofErr w:type="gramStart"/>
      <w:r>
        <w:t>C,coupled</w:t>
      </w:r>
      <w:proofErr w:type="gramEnd"/>
      <w:r>
        <w:t xml:space="preserve"> with mean vitrinite reflectance values of0.5–0.6% R</w:t>
      </w:r>
      <w:r>
        <w:rPr>
          <w:vertAlign w:val="subscript"/>
        </w:rPr>
        <w:t>o</w:t>
      </w:r>
      <w:r>
        <w:t xml:space="preserve">, the generally yellow to brown kerogen color, and yellow-orange to medium orange </w:t>
      </w:r>
      <w:proofErr w:type="spellStart"/>
      <w:r>
        <w:t>sporinite</w:t>
      </w:r>
      <w:proofErr w:type="spellEnd"/>
      <w:r>
        <w:t xml:space="preserve"> fluorescence color would generally </w:t>
      </w:r>
      <w:r>
        <w:t xml:space="preserve">suggest an early </w:t>
      </w:r>
      <w:proofErr w:type="spellStart"/>
      <w:r>
        <w:t>oilwindow</w:t>
      </w:r>
      <w:proofErr w:type="spellEnd"/>
      <w:r>
        <w:t xml:space="preserve"> maturity for the Upper Permian section. Occasional yellow to yellow-orange </w:t>
      </w:r>
      <w:proofErr w:type="spellStart"/>
      <w:r>
        <w:t>sporinite</w:t>
      </w:r>
      <w:proofErr w:type="spellEnd"/>
      <w:r>
        <w:t xml:space="preserve"> in Upper Permian rocks and green-yellow </w:t>
      </w:r>
      <w:proofErr w:type="spellStart"/>
      <w:r>
        <w:t>sporinite</w:t>
      </w:r>
      <w:proofErr w:type="spellEnd"/>
      <w:r>
        <w:t xml:space="preserve"> in some of the overlying Lower Triassic rocks, however, suggest a lower thermal maturity for t</w:t>
      </w:r>
      <w:r>
        <w:t>he cored interval.</w:t>
      </w:r>
    </w:p>
    <w:p w14:paraId="1B1FFF25" w14:textId="77777777" w:rsidR="00A978F6" w:rsidRDefault="001A5B1A">
      <w:pPr>
        <w:ind w:left="0" w:right="11"/>
      </w:pPr>
      <w:r>
        <w:t xml:space="preserve">Rock extracts of two samples from the upper laminated interval are relatively hydrocarbon rich, and the n-alkanes show rather smooth distributions and low wax content. This is inconsistent with the </w:t>
      </w:r>
      <w:proofErr w:type="spellStart"/>
      <w:r>
        <w:t>maturityand</w:t>
      </w:r>
      <w:proofErr w:type="spellEnd"/>
      <w:r>
        <w:t xml:space="preserve"> hydrogen index of these roc</w:t>
      </w:r>
      <w:r>
        <w:t xml:space="preserve">ks and suggests that these </w:t>
      </w:r>
      <w:proofErr w:type="spellStart"/>
      <w:r>
        <w:t>bitumens</w:t>
      </w:r>
      <w:proofErr w:type="spellEnd"/>
      <w:r>
        <w:t xml:space="preserve"> are not indigenous. Extracts from the lower laminated mudstone interval show hydrocarbon-poor compositions, low saturated/aromatic (SAT/ARO) ratios (0.1–0.4), bimodal and slightly odd-dominated </w:t>
      </w:r>
      <w:proofErr w:type="spellStart"/>
      <w:r>
        <w:t>nalkane</w:t>
      </w:r>
      <w:proofErr w:type="spellEnd"/>
      <w:r>
        <w:t xml:space="preserve"> distributions (car</w:t>
      </w:r>
      <w:r>
        <w:t>bon preference index [</w:t>
      </w:r>
      <w:proofErr w:type="gramStart"/>
      <w:r>
        <w:t xml:space="preserve">CPI] </w:t>
      </w:r>
      <w:r>
        <w:rPr>
          <w:rFonts w:ascii="Calibri" w:eastAsia="Calibri" w:hAnsi="Calibri" w:cs="Calibri"/>
        </w:rPr>
        <w:t xml:space="preserve"> </w:t>
      </w:r>
      <w:r>
        <w:t>1.1</w:t>
      </w:r>
      <w:proofErr w:type="gramEnd"/>
      <w:r>
        <w:t>–1.2), and abundant isoprenoids (</w:t>
      </w:r>
      <w:proofErr w:type="spellStart"/>
      <w:r>
        <w:t>Pr</w:t>
      </w:r>
      <w:proofErr w:type="spellEnd"/>
      <w:r>
        <w:t>/n-C</w:t>
      </w:r>
      <w:r>
        <w:rPr>
          <w:vertAlign w:val="subscript"/>
        </w:rPr>
        <w:t xml:space="preserve">17 </w:t>
      </w:r>
      <w:r>
        <w:rPr>
          <w:rFonts w:ascii="Calibri" w:eastAsia="Calibri" w:hAnsi="Calibri" w:cs="Calibri"/>
        </w:rPr>
        <w:t xml:space="preserve"> </w:t>
      </w:r>
      <w:r>
        <w:t xml:space="preserve">0.9– 1.5) with moderate pristane/phytane ratios (1.8–2.6). This composition is characteristic of a late immature/ early mature source with significant terrigenous input and suggests </w:t>
      </w:r>
      <w:r>
        <w:t xml:space="preserve">a largely indigenous origin for these extracts. The </w:t>
      </w:r>
      <w:proofErr w:type="spellStart"/>
      <w:r>
        <w:t>terpane</w:t>
      </w:r>
      <w:proofErr w:type="spellEnd"/>
      <w:r>
        <w:t xml:space="preserve"> composition is characterized by relatively abundant tricyclic </w:t>
      </w:r>
      <w:proofErr w:type="spellStart"/>
      <w:r>
        <w:t>diterpanes</w:t>
      </w:r>
      <w:proofErr w:type="spellEnd"/>
      <w:r>
        <w:t xml:space="preserve"> with carbon numbers up to 28 and a slight predominance of 27T</w:t>
      </w:r>
      <w:r>
        <w:rPr>
          <w:vertAlign w:val="subscript"/>
        </w:rPr>
        <w:t xml:space="preserve">m </w:t>
      </w:r>
      <w:r>
        <w:t>over 27T</w:t>
      </w:r>
      <w:r>
        <w:rPr>
          <w:vertAlign w:val="subscript"/>
        </w:rPr>
        <w:t>s</w:t>
      </w:r>
      <w:r>
        <w:t>, suggesting late immaturity (for full compound nam</w:t>
      </w:r>
      <w:r>
        <w:t>es see Figure 12). The regular C</w:t>
      </w:r>
      <w:r>
        <w:rPr>
          <w:vertAlign w:val="subscript"/>
        </w:rPr>
        <w:t xml:space="preserve">29 </w:t>
      </w:r>
      <w:r>
        <w:t>steranes, however, show a relatively mature composition (%29</w:t>
      </w:r>
      <w:proofErr w:type="gramStart"/>
      <w:r>
        <w:t xml:space="preserve">S </w:t>
      </w:r>
      <w:r>
        <w:rPr>
          <w:rFonts w:ascii="Calibri" w:eastAsia="Calibri" w:hAnsi="Calibri" w:cs="Calibri"/>
        </w:rPr>
        <w:t xml:space="preserve"> </w:t>
      </w:r>
      <w:r>
        <w:t>53</w:t>
      </w:r>
      <w:proofErr w:type="gramEnd"/>
      <w:r>
        <w:t xml:space="preserve">–56), </w:t>
      </w:r>
      <w:proofErr w:type="spellStart"/>
      <w:r>
        <w:t>diasteranes</w:t>
      </w:r>
      <w:proofErr w:type="spellEnd"/>
      <w:r>
        <w:t xml:space="preserve"> are prominent, and the C</w:t>
      </w:r>
      <w:r>
        <w:rPr>
          <w:vertAlign w:val="subscript"/>
        </w:rPr>
        <w:t xml:space="preserve">29 </w:t>
      </w:r>
      <w:r>
        <w:t>steranes predominate only slightly over the C</w:t>
      </w:r>
      <w:r>
        <w:rPr>
          <w:vertAlign w:val="subscript"/>
        </w:rPr>
        <w:t xml:space="preserve">27 </w:t>
      </w:r>
      <w:r>
        <w:t>steranes. This biomarker composition is not fully consistent wi</w:t>
      </w:r>
      <w:r>
        <w:t xml:space="preserve">th the dominance of terrigenous kerogen in these rocks and thus may suggest a minor nonindigenous contribution also to the </w:t>
      </w:r>
      <w:proofErr w:type="spellStart"/>
      <w:r>
        <w:t>bitumens</w:t>
      </w:r>
      <w:proofErr w:type="spellEnd"/>
      <w:r>
        <w:t xml:space="preserve"> from the lower laminated unit. This complicates correlation with oils and other source rock extracts.</w:t>
      </w:r>
    </w:p>
    <w:p w14:paraId="358BEA89" w14:textId="77777777" w:rsidR="00A978F6" w:rsidRDefault="001A5B1A">
      <w:pPr>
        <w:ind w:left="0" w:right="11"/>
      </w:pPr>
      <w:r>
        <w:t xml:space="preserve">Stable carbon isotope </w:t>
      </w:r>
      <w:r>
        <w:t xml:space="preserve">composition is variable but generally heavy (28.7 to 24.8‰ </w:t>
      </w:r>
      <w:proofErr w:type="spellStart"/>
      <w:r>
        <w:t>Peedee</w:t>
      </w:r>
      <w:proofErr w:type="spellEnd"/>
      <w:r>
        <w:t xml:space="preserve"> belemnite [PDB] in the laminated mudstones; 29.7 to</w:t>
      </w:r>
    </w:p>
    <w:p w14:paraId="53B1572B" w14:textId="77777777" w:rsidR="00A978F6" w:rsidRDefault="001A5B1A">
      <w:pPr>
        <w:spacing w:after="1652"/>
        <w:ind w:left="0" w:right="11" w:firstLine="0"/>
      </w:pPr>
      <w:r>
        <w:rPr>
          <w:noProof/>
        </w:rPr>
        <w:lastRenderedPageBreak/>
        <w:drawing>
          <wp:anchor distT="0" distB="0" distL="114300" distR="114300" simplePos="0" relativeHeight="251663360" behindDoc="0" locked="0" layoutInCell="1" allowOverlap="0" wp14:anchorId="0AE44919" wp14:editId="72D4EE30">
            <wp:simplePos x="0" y="0"/>
            <wp:positionH relativeFrom="margin">
              <wp:posOffset>-15562</wp:posOffset>
            </wp:positionH>
            <wp:positionV relativeFrom="paragraph">
              <wp:posOffset>253495</wp:posOffset>
            </wp:positionV>
            <wp:extent cx="4556392" cy="3795763"/>
            <wp:effectExtent l="0" t="0" r="0" b="0"/>
            <wp:wrapSquare wrapText="bothSides"/>
            <wp:docPr id="1216" name="Picture 1216"/>
            <wp:cNvGraphicFramePr/>
            <a:graphic xmlns:a="http://schemas.openxmlformats.org/drawingml/2006/main">
              <a:graphicData uri="http://schemas.openxmlformats.org/drawingml/2006/picture">
                <pic:pic xmlns:pic="http://schemas.openxmlformats.org/drawingml/2006/picture">
                  <pic:nvPicPr>
                    <pic:cNvPr id="1216" name="Picture 1216"/>
                    <pic:cNvPicPr/>
                  </pic:nvPicPr>
                  <pic:blipFill>
                    <a:blip r:embed="rId22"/>
                    <a:stretch>
                      <a:fillRect/>
                    </a:stretch>
                  </pic:blipFill>
                  <pic:spPr>
                    <a:xfrm>
                      <a:off x="0" y="0"/>
                      <a:ext cx="4556392" cy="3795763"/>
                    </a:xfrm>
                    <a:prstGeom prst="rect">
                      <a:avLst/>
                    </a:prstGeom>
                  </pic:spPr>
                </pic:pic>
              </a:graphicData>
            </a:graphic>
          </wp:anchor>
        </w:drawing>
      </w:r>
      <w:r>
        <w:t>24.0‰ PDB in the whole unit) (Figure 10). Samples</w:t>
      </w:r>
    </w:p>
    <w:p w14:paraId="5569FED0" w14:textId="77777777" w:rsidR="00A978F6" w:rsidRDefault="001A5B1A">
      <w:pPr>
        <w:spacing w:after="5" w:line="248" w:lineRule="auto"/>
        <w:ind w:left="10" w:right="0" w:hanging="10"/>
        <w:jc w:val="left"/>
      </w:pPr>
      <w:r>
        <w:rPr>
          <w:rFonts w:ascii="Calibri" w:eastAsia="Calibri" w:hAnsi="Calibri" w:cs="Calibri"/>
        </w:rPr>
        <w:t xml:space="preserve">Figure 10. </w:t>
      </w:r>
      <w:proofErr w:type="spellStart"/>
      <w:r>
        <w:rPr>
          <w:rFonts w:ascii="Calibri" w:eastAsia="Calibri" w:hAnsi="Calibri" w:cs="Calibri"/>
        </w:rPr>
        <w:t>Galimov</w:t>
      </w:r>
      <w:proofErr w:type="spellEnd"/>
      <w:r>
        <w:rPr>
          <w:rFonts w:ascii="Calibri" w:eastAsia="Calibri" w:hAnsi="Calibri" w:cs="Calibri"/>
        </w:rPr>
        <w:t xml:space="preserve">-type plot showing the variation in stable carbon isotope composition of extracted saturated (SAT), aromatic (ARO), polar (POL), and asphaltene (ASP) fractions; whole rock extract (EOM); kerogen (KER); and </w:t>
      </w:r>
      <w:proofErr w:type="spellStart"/>
      <w:r>
        <w:rPr>
          <w:rFonts w:ascii="Calibri" w:eastAsia="Calibri" w:hAnsi="Calibri" w:cs="Calibri"/>
        </w:rPr>
        <w:t>pyrolysate</w:t>
      </w:r>
      <w:proofErr w:type="spellEnd"/>
      <w:r>
        <w:rPr>
          <w:rFonts w:ascii="Calibri" w:eastAsia="Calibri" w:hAnsi="Calibri" w:cs="Calibri"/>
        </w:rPr>
        <w:t xml:space="preserve"> (PYR). Upper Permian siltstones </w:t>
      </w:r>
      <w:r>
        <w:rPr>
          <w:rFonts w:ascii="Calibri" w:eastAsia="Calibri" w:hAnsi="Calibri" w:cs="Calibri"/>
        </w:rPr>
        <w:t xml:space="preserve">(borehole 6611/09-U-01) are from the lower turbidite unit, oil staining from lower and upper turbidite units. Data for </w:t>
      </w:r>
      <w:proofErr w:type="spellStart"/>
      <w:r>
        <w:rPr>
          <w:rFonts w:ascii="Calibri" w:eastAsia="Calibri" w:hAnsi="Calibri" w:cs="Calibri"/>
        </w:rPr>
        <w:t>Ravnefjeld</w:t>
      </w:r>
      <w:proofErr w:type="spellEnd"/>
      <w:r>
        <w:rPr>
          <w:rFonts w:ascii="Calibri" w:eastAsia="Calibri" w:hAnsi="Calibri" w:cs="Calibri"/>
        </w:rPr>
        <w:t xml:space="preserve"> Formation, East</w:t>
      </w:r>
    </w:p>
    <w:p w14:paraId="5E614482" w14:textId="77777777" w:rsidR="00A978F6" w:rsidRDefault="001A5B1A">
      <w:pPr>
        <w:spacing w:after="5" w:line="248" w:lineRule="auto"/>
        <w:ind w:left="10" w:right="0" w:hanging="10"/>
        <w:jc w:val="left"/>
      </w:pPr>
      <w:r>
        <w:rPr>
          <w:rFonts w:ascii="Calibri" w:eastAsia="Calibri" w:hAnsi="Calibri" w:cs="Calibri"/>
        </w:rPr>
        <w:t>Greenland (</w:t>
      </w:r>
      <w:proofErr w:type="spellStart"/>
      <w:r>
        <w:rPr>
          <w:rFonts w:ascii="Calibri" w:eastAsia="Calibri" w:hAnsi="Calibri" w:cs="Calibri"/>
        </w:rPr>
        <w:t>Triaselv</w:t>
      </w:r>
      <w:proofErr w:type="spellEnd"/>
      <w:r>
        <w:rPr>
          <w:rFonts w:ascii="Calibri" w:eastAsia="Calibri" w:hAnsi="Calibri" w:cs="Calibri"/>
        </w:rPr>
        <w:t xml:space="preserve"> and Lille </w:t>
      </w:r>
      <w:proofErr w:type="spellStart"/>
      <w:r>
        <w:rPr>
          <w:rFonts w:ascii="Calibri" w:eastAsia="Calibri" w:hAnsi="Calibri" w:cs="Calibri"/>
        </w:rPr>
        <w:t>Kedelelv</w:t>
      </w:r>
      <w:proofErr w:type="spellEnd"/>
      <w:r>
        <w:rPr>
          <w:rFonts w:ascii="Calibri" w:eastAsia="Calibri" w:hAnsi="Calibri" w:cs="Calibri"/>
        </w:rPr>
        <w:t xml:space="preserve"> cores) from Christiansen et al. (1993). Data for well 6609/11-1, </w:t>
      </w:r>
      <w:proofErr w:type="spellStart"/>
      <w:r>
        <w:rPr>
          <w:rFonts w:ascii="Calibri" w:eastAsia="Calibri" w:hAnsi="Calibri" w:cs="Calibri"/>
        </w:rPr>
        <w:t>Helgel</w:t>
      </w:r>
      <w:r>
        <w:rPr>
          <w:rFonts w:ascii="Calibri" w:eastAsia="Calibri" w:hAnsi="Calibri" w:cs="Calibri"/>
        </w:rPr>
        <w:t>and</w:t>
      </w:r>
      <w:proofErr w:type="spellEnd"/>
      <w:r>
        <w:rPr>
          <w:rFonts w:ascii="Calibri" w:eastAsia="Calibri" w:hAnsi="Calibri" w:cs="Calibri"/>
        </w:rPr>
        <w:t xml:space="preserve"> Basin, is from Karlsen et al. (1995). </w:t>
      </w:r>
      <w:r>
        <w:t>with a low hydrogen index tend to contain the isotopically heaviest carbon, reflecting the increased input of reworked terrigenous material.</w:t>
      </w:r>
    </w:p>
    <w:p w14:paraId="548E0BFD" w14:textId="77777777" w:rsidR="00A978F6" w:rsidRDefault="001A5B1A">
      <w:pPr>
        <w:ind w:left="0" w:right="11"/>
      </w:pPr>
      <w:r>
        <w:t xml:space="preserve">The two laminated mudstone intervals may be </w:t>
      </w:r>
      <w:proofErr w:type="spellStart"/>
      <w:r>
        <w:t>lithostratigraphically</w:t>
      </w:r>
      <w:proofErr w:type="spellEnd"/>
      <w:r>
        <w:t xml:space="preserve"> correl</w:t>
      </w:r>
      <w:r>
        <w:t xml:space="preserve">ated with the </w:t>
      </w:r>
      <w:proofErr w:type="spellStart"/>
      <w:r>
        <w:t>Ravnefjeld</w:t>
      </w:r>
      <w:proofErr w:type="spellEnd"/>
      <w:r>
        <w:t xml:space="preserve"> Formation of East Greenland, which is also characterized by two laminated shale intervals (15–20 m total thickness). These have a good to excellent oil source potential (initial TOC content 4–5 wt. %, average 3.9 wt. %; initial hyd</w:t>
      </w:r>
      <w:r>
        <w:t xml:space="preserve">rogen index 300–400 mg/g TOC, average 326 mg/g TOC) (Christiansen et al., 1993). They are interbedded with three organic-lean, bioturbated siltstone units, </w:t>
      </w:r>
      <w:proofErr w:type="gramStart"/>
      <w:r>
        <w:t>similar to</w:t>
      </w:r>
      <w:proofErr w:type="gramEnd"/>
      <w:r>
        <w:t xml:space="preserve"> the cored succession from mid-Norway, and can be traced throughout the Upper Permian depo</w:t>
      </w:r>
      <w:r>
        <w:t>sitional basin of East Greenland (Christiansen et al., 1993).</w:t>
      </w:r>
    </w:p>
    <w:p w14:paraId="686EBDCD" w14:textId="77777777" w:rsidR="00A978F6" w:rsidRDefault="001A5B1A">
      <w:pPr>
        <w:ind w:left="0" w:right="11"/>
      </w:pPr>
      <w:r>
        <w:t xml:space="preserve">The </w:t>
      </w:r>
      <w:proofErr w:type="spellStart"/>
      <w:r>
        <w:t>Ravnefjeld</w:t>
      </w:r>
      <w:proofErr w:type="spellEnd"/>
      <w:r>
        <w:t xml:space="preserve"> Formation interfingers with carbonate buildups, and source rock quality varies depending on the local paleogeographic setting. The best source rock potential in the </w:t>
      </w:r>
      <w:proofErr w:type="spellStart"/>
      <w:r>
        <w:t>Ravnefjeld</w:t>
      </w:r>
      <w:proofErr w:type="spellEnd"/>
      <w:r>
        <w:t xml:space="preserve"> For</w:t>
      </w:r>
      <w:r>
        <w:t xml:space="preserve">mation is found in the deepest </w:t>
      </w:r>
      <w:proofErr w:type="spellStart"/>
      <w:r>
        <w:t>basinal</w:t>
      </w:r>
      <w:proofErr w:type="spellEnd"/>
      <w:r>
        <w:t xml:space="preserve"> areas where anoxic conditions could develop most easily during periods of high sea level (Christiansen et al., 1993). A similar model may reasonably be applied to the Norwegian side of the basin, such that the terrest</w:t>
      </w:r>
      <w:r>
        <w:t xml:space="preserve">rially dominated, laminated mudstone intervals found in the cores improve in source rock potential in more distal positions on the present </w:t>
      </w:r>
      <w:proofErr w:type="spellStart"/>
      <w:r>
        <w:t>Trøndelag</w:t>
      </w:r>
      <w:proofErr w:type="spellEnd"/>
      <w:r>
        <w:t xml:space="preserve"> Platform.</w:t>
      </w:r>
    </w:p>
    <w:p w14:paraId="7B7459F4" w14:textId="77777777" w:rsidR="00A978F6" w:rsidRDefault="001A5B1A">
      <w:pPr>
        <w:spacing w:after="260"/>
        <w:ind w:left="0" w:right="11"/>
      </w:pPr>
      <w:r>
        <w:t>The generally marine-dominated character of the kerogen in the laminated shales on East Greenland</w:t>
      </w:r>
      <w:r>
        <w:t xml:space="preserve"> is also reflected in the composition of the extractable hydrocarbons, for example, in a low wax </w:t>
      </w:r>
      <w:proofErr w:type="spellStart"/>
      <w:proofErr w:type="gramStart"/>
      <w:r>
        <w:t>content,smooth</w:t>
      </w:r>
      <w:proofErr w:type="spellEnd"/>
      <w:proofErr w:type="gramEnd"/>
      <w:r>
        <w:t xml:space="preserve"> n-alkane distributions even at low maturities, and rather low pristane/phytane ratios (1–2.5). Abundant tricyclic </w:t>
      </w:r>
      <w:proofErr w:type="spellStart"/>
      <w:r>
        <w:t>diterpanes</w:t>
      </w:r>
      <w:proofErr w:type="spellEnd"/>
      <w:r>
        <w:t xml:space="preserve"> (C</w:t>
      </w:r>
      <w:r>
        <w:rPr>
          <w:vertAlign w:val="subscript"/>
        </w:rPr>
        <w:t>23</w:t>
      </w:r>
      <w:r>
        <w:t>–C</w:t>
      </w:r>
      <w:r>
        <w:rPr>
          <w:vertAlign w:val="subscript"/>
        </w:rPr>
        <w:t>26</w:t>
      </w:r>
      <w:r>
        <w:t>) and relat</w:t>
      </w:r>
      <w:r>
        <w:t>ively high C</w:t>
      </w:r>
      <w:r>
        <w:rPr>
          <w:vertAlign w:val="subscript"/>
        </w:rPr>
        <w:t xml:space="preserve">33 </w:t>
      </w:r>
      <w:r>
        <w:t>and C</w:t>
      </w:r>
      <w:r>
        <w:rPr>
          <w:vertAlign w:val="subscript"/>
        </w:rPr>
        <w:t xml:space="preserve">35 </w:t>
      </w:r>
      <w:proofErr w:type="spellStart"/>
      <w:r>
        <w:t>homohopanes</w:t>
      </w:r>
      <w:proofErr w:type="spellEnd"/>
      <w:r>
        <w:t xml:space="preserve"> characterize the biomarkers from these rocks (Christiansen et al., 1993), </w:t>
      </w:r>
      <w:proofErr w:type="gramStart"/>
      <w:r>
        <w:t>similar to</w:t>
      </w:r>
      <w:proofErr w:type="gramEnd"/>
      <w:r>
        <w:t xml:space="preserve"> the mudstone extracts from mid-Norway. Carbon isotope ratios for the </w:t>
      </w:r>
      <w:proofErr w:type="spellStart"/>
      <w:r>
        <w:t>Ravnefjeld</w:t>
      </w:r>
      <w:proofErr w:type="spellEnd"/>
      <w:r>
        <w:t xml:space="preserve"> Formation partly overlap with those from the mid-Norwegi</w:t>
      </w:r>
      <w:r>
        <w:t>an mudstones but are generally somewhat lower than those (29.5 to 26.2‰ PDB for most samples) (Christiansen et al., 1993, figure 15). This is probably due to the more marine character, and mostly lower maturity, of the organic matter in East Greenland.</w:t>
      </w:r>
    </w:p>
    <w:p w14:paraId="39ABE8D7" w14:textId="77777777" w:rsidR="00A978F6" w:rsidRDefault="001A5B1A">
      <w:pPr>
        <w:pStyle w:val="1"/>
        <w:spacing w:after="255" w:line="259" w:lineRule="auto"/>
        <w:ind w:left="-5"/>
      </w:pPr>
      <w:r>
        <w:t>Sou</w:t>
      </w:r>
      <w:r>
        <w:t>rce Rock Potential of the Triassic Succession</w:t>
      </w:r>
    </w:p>
    <w:p w14:paraId="13105C0C" w14:textId="77777777" w:rsidR="00A978F6" w:rsidRDefault="001A5B1A">
      <w:pPr>
        <w:spacing w:after="260"/>
        <w:ind w:left="0" w:right="11" w:firstLine="0"/>
      </w:pPr>
      <w:r>
        <w:t>The only source rock potential in the Lower Triassic upper turbidite unit is represented by several thin (typically 0.5–1.5 cm), more organic-rich layers of slightly brownish mudstone with TOC contents of up to</w:t>
      </w:r>
      <w:r>
        <w:t xml:space="preserve"> 2.8 wt. %. Otherwise, this unit has no appreciable source rock potential (typical </w:t>
      </w:r>
      <w:r>
        <w:lastRenderedPageBreak/>
        <w:t xml:space="preserve">TOC </w:t>
      </w:r>
      <w:proofErr w:type="gramStart"/>
      <w:r>
        <w:t xml:space="preserve">content </w:t>
      </w:r>
      <w:r>
        <w:rPr>
          <w:rFonts w:ascii="Calibri" w:eastAsia="Calibri" w:hAnsi="Calibri" w:cs="Calibri"/>
        </w:rPr>
        <w:t xml:space="preserve"> </w:t>
      </w:r>
      <w:r>
        <w:t>0.5</w:t>
      </w:r>
      <w:proofErr w:type="gramEnd"/>
      <w:r>
        <w:t xml:space="preserve"> wt. % and typical hydrogen index </w:t>
      </w:r>
      <w:r>
        <w:rPr>
          <w:rFonts w:ascii="Calibri" w:eastAsia="Calibri" w:hAnsi="Calibri" w:cs="Calibri"/>
        </w:rPr>
        <w:t xml:space="preserve"> </w:t>
      </w:r>
      <w:r>
        <w:t>100 mg/g TOC). The thin organic-rich beds have hydrogen index values of less than 200 to 450 mg/g TOC. The richest of thes</w:t>
      </w:r>
      <w:r>
        <w:t xml:space="preserve">e (256 m in Figure 4) yielded a moderately aliphatic </w:t>
      </w:r>
      <w:proofErr w:type="spellStart"/>
      <w:r>
        <w:t>pyrolysate</w:t>
      </w:r>
      <w:proofErr w:type="spellEnd"/>
      <w:r>
        <w:t xml:space="preserve">. The kerogen from these samples is dominated by amorphous matter exhibiting faint or no fluorescence (75%), together with minor proportions of </w:t>
      </w:r>
      <w:proofErr w:type="spellStart"/>
      <w:r>
        <w:t>acritarchs</w:t>
      </w:r>
      <w:proofErr w:type="spellEnd"/>
      <w:r>
        <w:t xml:space="preserve"> (5%), black and degraded wood (5–10%),</w:t>
      </w:r>
      <w:r>
        <w:t xml:space="preserve"> </w:t>
      </w:r>
      <w:proofErr w:type="spellStart"/>
      <w:r>
        <w:t>bisaccate</w:t>
      </w:r>
      <w:proofErr w:type="spellEnd"/>
      <w:r>
        <w:t xml:space="preserve"> pollen (5%), and occasional </w:t>
      </w:r>
      <w:proofErr w:type="spellStart"/>
      <w:r>
        <w:rPr>
          <w:i/>
        </w:rPr>
        <w:t>Botryococcus</w:t>
      </w:r>
      <w:r>
        <w:t>type</w:t>
      </w:r>
      <w:proofErr w:type="spellEnd"/>
      <w:r>
        <w:t xml:space="preserve"> algae. The kerogen composition suggests a marine depositional environment relatively close to the coast. These beds may have thicker lateral equivalents in more </w:t>
      </w:r>
      <w:proofErr w:type="spellStart"/>
      <w:r>
        <w:t>basinal</w:t>
      </w:r>
      <w:proofErr w:type="spellEnd"/>
      <w:r>
        <w:t xml:space="preserve"> positions, but this remains to </w:t>
      </w:r>
      <w:r>
        <w:t>be proved.</w:t>
      </w:r>
    </w:p>
    <w:p w14:paraId="75A7E6F6" w14:textId="77777777" w:rsidR="00A978F6" w:rsidRDefault="001A5B1A">
      <w:pPr>
        <w:pStyle w:val="1"/>
        <w:spacing w:after="255" w:line="259" w:lineRule="auto"/>
        <w:ind w:left="-5"/>
      </w:pPr>
      <w:r>
        <w:t>Oil Staining</w:t>
      </w:r>
    </w:p>
    <w:p w14:paraId="45546AD2" w14:textId="77777777" w:rsidR="00A978F6" w:rsidRDefault="001A5B1A">
      <w:pPr>
        <w:ind w:left="0" w:right="11" w:firstLine="0"/>
      </w:pPr>
      <w:r>
        <w:t>Several intervals in the cored Permian and Triassic sandstones and siltstones are stained with light brown oil (Figure 8c). The visibly stained zones are typically 5–30 cm thick, and the distribution of the staining suggests that th</w:t>
      </w:r>
      <w:r>
        <w:t>e oil followed horizontal zones that had the highest permeabilities within these otherwise poor reservoir rocks. Oil emplacement occurred after the latest phase of authigenic mineral growth.</w:t>
      </w:r>
    </w:p>
    <w:p w14:paraId="5292D314" w14:textId="77777777" w:rsidR="00A978F6" w:rsidRDefault="001A5B1A">
      <w:pPr>
        <w:ind w:left="0" w:right="11"/>
      </w:pPr>
      <w:r>
        <w:t xml:space="preserve">A whole-oil gas chromatogram of this oil shows abundant, </w:t>
      </w:r>
      <w:proofErr w:type="spellStart"/>
      <w:r>
        <w:t>nonbiode</w:t>
      </w:r>
      <w:r>
        <w:t>graded</w:t>
      </w:r>
      <w:proofErr w:type="spellEnd"/>
      <w:r>
        <w:t xml:space="preserve"> paraffins (Figure 11). This is remarkable in view of the shallow depth (200 m below seabed) and may suggest either </w:t>
      </w:r>
      <w:proofErr w:type="spellStart"/>
      <w:r>
        <w:t>activepetroleum</w:t>
      </w:r>
      <w:proofErr w:type="spellEnd"/>
      <w:r>
        <w:t xml:space="preserve"> migration in this area or, alternatively, sterile preservation of the oil in relatively impermeable sandstone.</w:t>
      </w:r>
    </w:p>
    <w:p w14:paraId="65B88978" w14:textId="77777777" w:rsidR="00A978F6" w:rsidRDefault="001A5B1A">
      <w:pPr>
        <w:ind w:left="0" w:right="11"/>
      </w:pPr>
      <w:r>
        <w:t>Core ex</w:t>
      </w:r>
      <w:r>
        <w:t>tracts from these stained sandstones all have similar molecular and isotopic compositions and therefore probably share a common source. The saturated C</w:t>
      </w:r>
      <w:r>
        <w:rPr>
          <w:vertAlign w:val="subscript"/>
        </w:rPr>
        <w:t>15</w:t>
      </w:r>
      <w:r>
        <w:t>-hydrocarbon fraction is characterized by rather smooth n-alkane distributions (</w:t>
      </w:r>
      <w:proofErr w:type="gramStart"/>
      <w:r>
        <w:t xml:space="preserve">CPI </w:t>
      </w:r>
      <w:r>
        <w:rPr>
          <w:rFonts w:ascii="Calibri" w:eastAsia="Calibri" w:hAnsi="Calibri" w:cs="Calibri"/>
        </w:rPr>
        <w:t xml:space="preserve"> </w:t>
      </w:r>
      <w:r>
        <w:t>1.0</w:t>
      </w:r>
      <w:proofErr w:type="gramEnd"/>
      <w:r>
        <w:t>–1.1) and shows</w:t>
      </w:r>
      <w:r>
        <w:t xml:space="preserve"> a substantial fraction of waxy compounds and relatively abundant isoprenoids (</w:t>
      </w:r>
      <w:proofErr w:type="spellStart"/>
      <w:r>
        <w:t>Pr</w:t>
      </w:r>
      <w:proofErr w:type="spellEnd"/>
      <w:r>
        <w:t>/n-C</w:t>
      </w:r>
      <w:r>
        <w:rPr>
          <w:vertAlign w:val="subscript"/>
        </w:rPr>
        <w:t xml:space="preserve">17 </w:t>
      </w:r>
      <w:r>
        <w:rPr>
          <w:rFonts w:ascii="Calibri" w:eastAsia="Calibri" w:hAnsi="Calibri" w:cs="Calibri"/>
        </w:rPr>
        <w:t xml:space="preserve"> </w:t>
      </w:r>
      <w:r>
        <w:t>0.7– 1.2; Ph/n-C</w:t>
      </w:r>
      <w:r>
        <w:rPr>
          <w:vertAlign w:val="subscript"/>
        </w:rPr>
        <w:t xml:space="preserve">18 </w:t>
      </w:r>
      <w:r>
        <w:rPr>
          <w:rFonts w:ascii="Calibri" w:eastAsia="Calibri" w:hAnsi="Calibri" w:cs="Calibri"/>
        </w:rPr>
        <w:t xml:space="preserve"> </w:t>
      </w:r>
      <w:r>
        <w:t xml:space="preserve">0.5–0.9) that have low pristane/ phytane ratios (1.3–1.4). These features suggest very early maturity, some input from plant waxes, and possibly a </w:t>
      </w:r>
      <w:proofErr w:type="spellStart"/>
      <w:r>
        <w:t>dysoxic</w:t>
      </w:r>
      <w:proofErr w:type="spellEnd"/>
      <w:r>
        <w:t xml:space="preserve"> depositional environment of the source. </w:t>
      </w:r>
      <w:proofErr w:type="spellStart"/>
      <w:r>
        <w:t>Homohopane</w:t>
      </w:r>
      <w:proofErr w:type="spellEnd"/>
      <w:r>
        <w:t xml:space="preserve"> isomerization ratios (%32</w:t>
      </w:r>
      <w:proofErr w:type="gramStart"/>
      <w:r>
        <w:rPr>
          <w:rFonts w:ascii="Calibri" w:eastAsia="Calibri" w:hAnsi="Calibri" w:cs="Calibri"/>
        </w:rPr>
        <w:t>b</w:t>
      </w:r>
      <w:r>
        <w:t xml:space="preserve">S </w:t>
      </w:r>
      <w:r>
        <w:rPr>
          <w:rFonts w:ascii="Calibri" w:eastAsia="Calibri" w:hAnsi="Calibri" w:cs="Calibri"/>
        </w:rPr>
        <w:t xml:space="preserve"> </w:t>
      </w:r>
      <w:r>
        <w:t>60</w:t>
      </w:r>
      <w:proofErr w:type="gramEnd"/>
      <w:r>
        <w:t xml:space="preserve">–69) and sterane isomerization ratios (%29S </w:t>
      </w:r>
      <w:r>
        <w:rPr>
          <w:rFonts w:ascii="Calibri" w:eastAsia="Calibri" w:hAnsi="Calibri" w:cs="Calibri"/>
        </w:rPr>
        <w:t xml:space="preserve"> </w:t>
      </w:r>
      <w:r>
        <w:t>53–56), in combination with a slight predominance of 27T</w:t>
      </w:r>
      <w:r>
        <w:rPr>
          <w:vertAlign w:val="subscript"/>
        </w:rPr>
        <w:t xml:space="preserve">s </w:t>
      </w:r>
      <w:r>
        <w:t>over 27T</w:t>
      </w:r>
      <w:r>
        <w:rPr>
          <w:vertAlign w:val="subscript"/>
        </w:rPr>
        <w:t xml:space="preserve">m </w:t>
      </w:r>
      <w:r>
        <w:t>(%27T</w:t>
      </w:r>
      <w:r>
        <w:rPr>
          <w:vertAlign w:val="subscript"/>
        </w:rPr>
        <w:t xml:space="preserve">s </w:t>
      </w:r>
      <w:r>
        <w:rPr>
          <w:rFonts w:ascii="Calibri" w:eastAsia="Calibri" w:hAnsi="Calibri" w:cs="Calibri"/>
        </w:rPr>
        <w:t xml:space="preserve"> </w:t>
      </w:r>
      <w:r>
        <w:t>56–60) and arelativelysmallC</w:t>
      </w:r>
      <w:r>
        <w:rPr>
          <w:vertAlign w:val="subscript"/>
        </w:rPr>
        <w:t xml:space="preserve">30 </w:t>
      </w:r>
      <w:proofErr w:type="spellStart"/>
      <w:r>
        <w:t>diahopane</w:t>
      </w:r>
      <w:proofErr w:type="spellEnd"/>
      <w:r>
        <w:t xml:space="preserve"> peak</w:t>
      </w:r>
      <w:r>
        <w:t xml:space="preserve"> (Figure 12, m/z 191), are also consistent with an early mature oil.</w:t>
      </w:r>
    </w:p>
    <w:tbl>
      <w:tblPr>
        <w:tblStyle w:val="TableGrid"/>
        <w:tblpPr w:vertAnchor="text" w:horzAnchor="margin"/>
        <w:tblOverlap w:val="never"/>
        <w:tblW w:w="9832" w:type="dxa"/>
        <w:tblInd w:w="0" w:type="dxa"/>
        <w:tblCellMar>
          <w:top w:w="0" w:type="dxa"/>
          <w:left w:w="0" w:type="dxa"/>
          <w:bottom w:w="0" w:type="dxa"/>
          <w:right w:w="64" w:type="dxa"/>
        </w:tblCellMar>
        <w:tblLook w:val="04A0" w:firstRow="1" w:lastRow="0" w:firstColumn="1" w:lastColumn="0" w:noHBand="0" w:noVBand="1"/>
      </w:tblPr>
      <w:tblGrid>
        <w:gridCol w:w="9832"/>
      </w:tblGrid>
      <w:tr w:rsidR="00A978F6" w14:paraId="5DCBC568" w14:textId="77777777">
        <w:trPr>
          <w:trHeight w:val="1401"/>
        </w:trPr>
        <w:tc>
          <w:tcPr>
            <w:tcW w:w="2331" w:type="dxa"/>
            <w:tcBorders>
              <w:top w:val="nil"/>
              <w:left w:val="nil"/>
              <w:bottom w:val="nil"/>
              <w:right w:val="nil"/>
            </w:tcBorders>
          </w:tcPr>
          <w:p w14:paraId="737EAD50" w14:textId="77777777" w:rsidR="00A978F6" w:rsidRDefault="001A5B1A">
            <w:pPr>
              <w:spacing w:after="0" w:line="259" w:lineRule="auto"/>
              <w:ind w:left="7437" w:right="0" w:firstLine="0"/>
              <w:jc w:val="left"/>
            </w:pPr>
            <w:r>
              <w:rPr>
                <w:noProof/>
              </w:rPr>
              <w:drawing>
                <wp:anchor distT="0" distB="0" distL="114300" distR="114300" simplePos="0" relativeHeight="251664384" behindDoc="0" locked="0" layoutInCell="1" allowOverlap="0" wp14:anchorId="6DC2AAC9" wp14:editId="601ECAE4">
                  <wp:simplePos x="0" y="0"/>
                  <wp:positionH relativeFrom="column">
                    <wp:posOffset>0</wp:posOffset>
                  </wp:positionH>
                  <wp:positionV relativeFrom="paragraph">
                    <wp:posOffset>-33381</wp:posOffset>
                  </wp:positionV>
                  <wp:extent cx="4554919" cy="3194520"/>
                  <wp:effectExtent l="0" t="0" r="0" b="0"/>
                  <wp:wrapSquare wrapText="bothSides"/>
                  <wp:docPr id="1461" name="Picture 1461"/>
                  <wp:cNvGraphicFramePr/>
                  <a:graphic xmlns:a="http://schemas.openxmlformats.org/drawingml/2006/main">
                    <a:graphicData uri="http://schemas.openxmlformats.org/drawingml/2006/picture">
                      <pic:pic xmlns:pic="http://schemas.openxmlformats.org/drawingml/2006/picture">
                        <pic:nvPicPr>
                          <pic:cNvPr id="1461" name="Picture 1461"/>
                          <pic:cNvPicPr/>
                        </pic:nvPicPr>
                        <pic:blipFill>
                          <a:blip r:embed="rId23"/>
                          <a:stretch>
                            <a:fillRect/>
                          </a:stretch>
                        </pic:blipFill>
                        <pic:spPr>
                          <a:xfrm>
                            <a:off x="0" y="0"/>
                            <a:ext cx="4554919" cy="3194520"/>
                          </a:xfrm>
                          <a:prstGeom prst="rect">
                            <a:avLst/>
                          </a:prstGeom>
                        </pic:spPr>
                      </pic:pic>
                    </a:graphicData>
                  </a:graphic>
                </wp:anchor>
              </w:drawing>
            </w:r>
            <w:r>
              <w:rPr>
                <w:rFonts w:ascii="Calibri" w:eastAsia="Calibri" w:hAnsi="Calibri" w:cs="Calibri"/>
              </w:rPr>
              <w:t>Figure 11. Whole-oil gas chromatogram (GC-FID) of oil staining isolated from a frozen, canned sandstone sample from the basal part of the upper turbidite unit.</w:t>
            </w:r>
          </w:p>
        </w:tc>
      </w:tr>
    </w:tbl>
    <w:p w14:paraId="6D60FD9F" w14:textId="77777777" w:rsidR="00A978F6" w:rsidRDefault="001A5B1A">
      <w:pPr>
        <w:ind w:left="0" w:right="11"/>
      </w:pPr>
      <w:r>
        <w:t xml:space="preserve">The oil sample contains abundant tricyclic </w:t>
      </w:r>
      <w:proofErr w:type="spellStart"/>
      <w:r>
        <w:t>diterpanes</w:t>
      </w:r>
      <w:proofErr w:type="spellEnd"/>
      <w:r>
        <w:t xml:space="preserve"> and roughly equal quantities of steranes and </w:t>
      </w:r>
      <w:proofErr w:type="spellStart"/>
      <w:r>
        <w:t>diasteranes</w:t>
      </w:r>
      <w:proofErr w:type="spellEnd"/>
      <w:r>
        <w:t xml:space="preserve">. The presence of </w:t>
      </w:r>
      <w:proofErr w:type="spellStart"/>
      <w:r>
        <w:t>gammacerane</w:t>
      </w:r>
      <w:proofErr w:type="spellEnd"/>
      <w:r>
        <w:t xml:space="preserve"> and a slight predominance of odd-numbered over even-numbered </w:t>
      </w:r>
      <w:proofErr w:type="spellStart"/>
      <w:r>
        <w:t>homohopanes</w:t>
      </w:r>
      <w:proofErr w:type="spellEnd"/>
      <w:r>
        <w:t xml:space="preserve"> probably reflects a restricted </w:t>
      </w:r>
      <w:proofErr w:type="spellStart"/>
      <w:r>
        <w:t>andslightly</w:t>
      </w:r>
      <w:proofErr w:type="spellEnd"/>
      <w:r>
        <w:t xml:space="preserve"> </w:t>
      </w:r>
      <w:r>
        <w:t>hypersaline environment. Almost equal concentrations of C</w:t>
      </w:r>
      <w:r>
        <w:rPr>
          <w:vertAlign w:val="subscript"/>
        </w:rPr>
        <w:t xml:space="preserve">27 </w:t>
      </w:r>
      <w:r>
        <w:t>and C</w:t>
      </w:r>
      <w:r>
        <w:rPr>
          <w:vertAlign w:val="subscript"/>
        </w:rPr>
        <w:t xml:space="preserve">29 </w:t>
      </w:r>
      <w:r>
        <w:rPr>
          <w:rFonts w:ascii="Calibri" w:eastAsia="Calibri" w:hAnsi="Calibri" w:cs="Calibri"/>
        </w:rPr>
        <w:t>bb</w:t>
      </w:r>
      <w:r>
        <w:t>-steranes (Figure 13, m/z 218) and the significant C</w:t>
      </w:r>
      <w:r>
        <w:rPr>
          <w:vertAlign w:val="subscript"/>
        </w:rPr>
        <w:t xml:space="preserve">30 </w:t>
      </w:r>
      <w:r>
        <w:t xml:space="preserve">R sterane peak (Figure 13, m/z 217) are typical of a marine-dominated source. Similar features (except for </w:t>
      </w:r>
      <w:proofErr w:type="spellStart"/>
      <w:r>
        <w:t>gammacerane</w:t>
      </w:r>
      <w:proofErr w:type="spellEnd"/>
      <w:r>
        <w:t>) have been d</w:t>
      </w:r>
      <w:r>
        <w:t xml:space="preserve">escribed from the </w:t>
      </w:r>
      <w:proofErr w:type="spellStart"/>
      <w:r>
        <w:t>Ravnefjeld</w:t>
      </w:r>
      <w:proofErr w:type="spellEnd"/>
      <w:r>
        <w:t xml:space="preserve"> Formation of East Greenland (Christiansen et al., 1993).</w:t>
      </w:r>
    </w:p>
    <w:p w14:paraId="3CEEAA9B" w14:textId="77777777" w:rsidR="00A978F6" w:rsidRDefault="001A5B1A">
      <w:pPr>
        <w:ind w:left="0" w:right="11"/>
      </w:pPr>
      <w:r>
        <w:t xml:space="preserve">The stable carbon isotope ratios of the extracted oils and their chromatographic fractions show little variation (27.8‰ to 26.3‰ PDB; Figure 10) and are only slightly </w:t>
      </w:r>
      <w:r>
        <w:lastRenderedPageBreak/>
        <w:t>hig</w:t>
      </w:r>
      <w:r>
        <w:t xml:space="preserve">her than those obtained from most shales of the </w:t>
      </w:r>
      <w:proofErr w:type="spellStart"/>
      <w:r>
        <w:t>Ravnefjeld</w:t>
      </w:r>
      <w:proofErr w:type="spellEnd"/>
      <w:r>
        <w:t xml:space="preserve"> Formation (29.4‰ to 26.8‰ PDB; kerogen up to 26.2‰ PDB) (Christiansen et al., 1993, figure 15). This may reflect differences in maturity and possibly a higher terrigenous input to the source of the</w:t>
      </w:r>
      <w:r>
        <w:t xml:space="preserve"> </w:t>
      </w:r>
      <w:proofErr w:type="spellStart"/>
      <w:r>
        <w:t>Helgeland</w:t>
      </w:r>
      <w:proofErr w:type="spellEnd"/>
      <w:r>
        <w:t xml:space="preserve"> oil staining. A proper geochemical correlation between the oil staining in the sandstones and the bitumen in the cored organic-rich Upper Permian </w:t>
      </w:r>
      <w:proofErr w:type="spellStart"/>
      <w:r>
        <w:t>mudstonesispreventedby</w:t>
      </w:r>
      <w:proofErr w:type="spellEnd"/>
      <w:r>
        <w:t xml:space="preserve"> the partly nonindigenous origin of this bitumen. The geochemical signature o</w:t>
      </w:r>
      <w:r>
        <w:t>f the oil staining, however, clearly contrasts with the terrestrially dominated kerogen composition in these mudstones at the coring sites.</w:t>
      </w:r>
    </w:p>
    <w:p w14:paraId="2B13E13D" w14:textId="77777777" w:rsidR="00A978F6" w:rsidRDefault="001A5B1A">
      <w:pPr>
        <w:ind w:left="0" w:right="11"/>
      </w:pPr>
      <w:r>
        <w:t>When looking for alternative sources, a contribution from the widespread Upper Jurassic shales should not be complet</w:t>
      </w:r>
      <w:r>
        <w:t>ely ruled out on a purely geochemical basis, although oils from the Upper Jurassic on the mid-Norwegian shelf commonly show higher C</w:t>
      </w:r>
      <w:r>
        <w:rPr>
          <w:vertAlign w:val="subscript"/>
        </w:rPr>
        <w:t>30</w:t>
      </w:r>
      <w:r>
        <w:t>diahopane/</w:t>
      </w:r>
      <w:proofErr w:type="spellStart"/>
      <w:r>
        <w:t>hopane</w:t>
      </w:r>
      <w:proofErr w:type="spellEnd"/>
      <w:r>
        <w:t xml:space="preserve"> ratios than the Permian samples (Figure 14) and contain neither </w:t>
      </w:r>
      <w:proofErr w:type="spellStart"/>
      <w:r>
        <w:t>gammacerane</w:t>
      </w:r>
      <w:proofErr w:type="spellEnd"/>
      <w:r>
        <w:t xml:space="preserve"> nor prominent C</w:t>
      </w:r>
      <w:r>
        <w:rPr>
          <w:vertAlign w:val="subscript"/>
        </w:rPr>
        <w:t>28</w:t>
      </w:r>
      <w:r>
        <w:t>–C</w:t>
      </w:r>
      <w:r>
        <w:rPr>
          <w:vertAlign w:val="subscript"/>
        </w:rPr>
        <w:t xml:space="preserve">30 </w:t>
      </w:r>
      <w:r>
        <w:t>tricycl</w:t>
      </w:r>
      <w:r>
        <w:t>ics. Upper Jurassic rocks are also unlikely to have been sufficiently deeply buried in areas adjacent to the coring sites. In addition, the structural setting appears to preclude migration from the known Upper Jurassic source rocks into the drilled Upper P</w:t>
      </w:r>
      <w:r>
        <w:t>ermian sandstones. Migration from either the Upper Permian section or the thick Triassic section to the west of the drill sites is more geologically conceivable.</w:t>
      </w:r>
    </w:p>
    <w:p w14:paraId="34B4AE56" w14:textId="77777777" w:rsidR="00A978F6" w:rsidRDefault="001A5B1A">
      <w:pPr>
        <w:ind w:left="0" w:right="11"/>
      </w:pPr>
      <w:r>
        <w:t xml:space="preserve">This narrows the alternatives for the source of the </w:t>
      </w:r>
      <w:proofErr w:type="spellStart"/>
      <w:r>
        <w:t>Helgeland</w:t>
      </w:r>
      <w:proofErr w:type="spellEnd"/>
      <w:r>
        <w:t xml:space="preserve"> oil staining down to either a mo</w:t>
      </w:r>
      <w:r>
        <w:t xml:space="preserve">re marine equivalent of the laminated Upper Permian mudstones or possibly a Lower Triassic source rock. Apparently indigenous extracts from some of the thin, </w:t>
      </w:r>
      <w:proofErr w:type="spellStart"/>
      <w:r>
        <w:t>organicrich</w:t>
      </w:r>
      <w:proofErr w:type="spellEnd"/>
      <w:r>
        <w:t xml:space="preserve"> layers in the cored upper turbidite unit contain the abundant C</w:t>
      </w:r>
      <w:r>
        <w:rPr>
          <w:vertAlign w:val="subscript"/>
        </w:rPr>
        <w:t>21</w:t>
      </w:r>
      <w:r>
        <w:t>–C</w:t>
      </w:r>
      <w:r>
        <w:rPr>
          <w:vertAlign w:val="subscript"/>
        </w:rPr>
        <w:t xml:space="preserve">30 </w:t>
      </w:r>
      <w:r>
        <w:t xml:space="preserve">tricyclic </w:t>
      </w:r>
      <w:proofErr w:type="spellStart"/>
      <w:r>
        <w:t>diterpanes</w:t>
      </w:r>
      <w:proofErr w:type="spellEnd"/>
      <w:r>
        <w:t>, low concentrations of C</w:t>
      </w:r>
      <w:r>
        <w:rPr>
          <w:vertAlign w:val="subscript"/>
        </w:rPr>
        <w:t xml:space="preserve">30 </w:t>
      </w:r>
      <w:proofErr w:type="spellStart"/>
      <w:r>
        <w:t>diahopane</w:t>
      </w:r>
      <w:proofErr w:type="spellEnd"/>
      <w:r>
        <w:t xml:space="preserve">, and traces of </w:t>
      </w:r>
      <w:proofErr w:type="spellStart"/>
      <w:r>
        <w:t>gammacerane</w:t>
      </w:r>
      <w:proofErr w:type="spellEnd"/>
      <w:r>
        <w:t>, which are so characteristic of the oil staining. The light carbon isotope composition, however, strongly contrasts with that of the oil staining (Figure 10). Note that th</w:t>
      </w:r>
      <w:r>
        <w:t xml:space="preserve">e isotopic composition of this Triassic rock extract is very similar to that of oil staining extracted from a sandstone core from exploration well </w:t>
      </w:r>
      <w:r>
        <w:rPr>
          <w:rFonts w:ascii="Calibri" w:eastAsia="Calibri" w:hAnsi="Calibri" w:cs="Calibri"/>
        </w:rPr>
        <w:t xml:space="preserve">Figure 12. </w:t>
      </w:r>
      <w:proofErr w:type="spellStart"/>
      <w:r>
        <w:rPr>
          <w:rFonts w:ascii="Calibri" w:eastAsia="Calibri" w:hAnsi="Calibri" w:cs="Calibri"/>
        </w:rPr>
        <w:t>Terpane</w:t>
      </w:r>
      <w:proofErr w:type="spellEnd"/>
      <w:r>
        <w:rPr>
          <w:rFonts w:ascii="Calibri" w:eastAsia="Calibri" w:hAnsi="Calibri" w:cs="Calibri"/>
        </w:rPr>
        <w:t xml:space="preserve"> (m/z 191) mass </w:t>
      </w:r>
      <w:proofErr w:type="spellStart"/>
      <w:r>
        <w:rPr>
          <w:rFonts w:ascii="Calibri" w:eastAsia="Calibri" w:hAnsi="Calibri" w:cs="Calibri"/>
        </w:rPr>
        <w:t>fragmentogram</w:t>
      </w:r>
      <w:proofErr w:type="spellEnd"/>
      <w:r>
        <w:rPr>
          <w:rFonts w:ascii="Calibri" w:eastAsia="Calibri" w:hAnsi="Calibri" w:cs="Calibri"/>
        </w:rPr>
        <w:t xml:space="preserve"> of oil staining (SAT fraction), extracted from a sandstone, b</w:t>
      </w:r>
      <w:r>
        <w:rPr>
          <w:rFonts w:ascii="Calibri" w:eastAsia="Calibri" w:hAnsi="Calibri" w:cs="Calibri"/>
        </w:rPr>
        <w:t xml:space="preserve">orehole 6611/09-U-01, lower turbidite unit. Compound assignment according to the Norwegian Industry Guide to Organic Geochemical Analyses (NIGOGA) (Weiss et al., 2000): number of carbon atoms; /3 </w:t>
      </w:r>
    </w:p>
    <w:p w14:paraId="1290F688" w14:textId="77777777" w:rsidR="00A978F6" w:rsidRDefault="001A5B1A">
      <w:pPr>
        <w:spacing w:after="30" w:line="248" w:lineRule="auto"/>
        <w:ind w:left="10" w:right="0" w:hanging="10"/>
        <w:jc w:val="left"/>
      </w:pPr>
      <w:r>
        <w:rPr>
          <w:rFonts w:ascii="Calibri" w:eastAsia="Calibri" w:hAnsi="Calibri" w:cs="Calibri"/>
        </w:rPr>
        <w:t xml:space="preserve">tricyclic </w:t>
      </w:r>
      <w:proofErr w:type="spellStart"/>
      <w:r>
        <w:rPr>
          <w:rFonts w:ascii="Calibri" w:eastAsia="Calibri" w:hAnsi="Calibri" w:cs="Calibri"/>
        </w:rPr>
        <w:t>terpanes</w:t>
      </w:r>
      <w:proofErr w:type="spellEnd"/>
      <w:r>
        <w:rPr>
          <w:rFonts w:ascii="Calibri" w:eastAsia="Calibri" w:hAnsi="Calibri" w:cs="Calibri"/>
        </w:rPr>
        <w:t>; /</w:t>
      </w:r>
      <w:proofErr w:type="gramStart"/>
      <w:r>
        <w:rPr>
          <w:rFonts w:ascii="Calibri" w:eastAsia="Calibri" w:hAnsi="Calibri" w:cs="Calibri"/>
        </w:rPr>
        <w:t>4  tetracyclic</w:t>
      </w:r>
      <w:proofErr w:type="gramEnd"/>
      <w:r>
        <w:rPr>
          <w:rFonts w:ascii="Calibri" w:eastAsia="Calibri" w:hAnsi="Calibri" w:cs="Calibri"/>
        </w:rPr>
        <w:t xml:space="preserve"> </w:t>
      </w:r>
      <w:proofErr w:type="spellStart"/>
      <w:r>
        <w:rPr>
          <w:rFonts w:ascii="Calibri" w:eastAsia="Calibri" w:hAnsi="Calibri" w:cs="Calibri"/>
        </w:rPr>
        <w:t>terpanes</w:t>
      </w:r>
      <w:proofErr w:type="spellEnd"/>
      <w:r>
        <w:rPr>
          <w:rFonts w:ascii="Calibri" w:eastAsia="Calibri" w:hAnsi="Calibri" w:cs="Calibri"/>
        </w:rPr>
        <w:t>; 27T</w:t>
      </w:r>
      <w:r>
        <w:rPr>
          <w:rFonts w:ascii="Calibri" w:eastAsia="Calibri" w:hAnsi="Calibri" w:cs="Calibri"/>
          <w:vertAlign w:val="subscript"/>
        </w:rPr>
        <w:t xml:space="preserve">s </w:t>
      </w:r>
      <w:r>
        <w:rPr>
          <w:rFonts w:ascii="Calibri" w:eastAsia="Calibri" w:hAnsi="Calibri" w:cs="Calibri"/>
        </w:rPr>
        <w:t xml:space="preserve"> C</w:t>
      </w:r>
      <w:r>
        <w:rPr>
          <w:rFonts w:ascii="Calibri" w:eastAsia="Calibri" w:hAnsi="Calibri" w:cs="Calibri"/>
          <w:vertAlign w:val="subscript"/>
        </w:rPr>
        <w:t xml:space="preserve">27 </w:t>
      </w:r>
      <w:r>
        <w:rPr>
          <w:rFonts w:ascii="Calibri" w:eastAsia="Calibri" w:hAnsi="Calibri" w:cs="Calibri"/>
        </w:rPr>
        <w:t>18(</w:t>
      </w:r>
      <w:r>
        <w:rPr>
          <w:rFonts w:ascii="Calibri" w:eastAsia="Calibri" w:hAnsi="Calibri" w:cs="Calibri"/>
        </w:rPr>
        <w:t>H)-22,29,30-trisnorneoho-</w:t>
      </w:r>
    </w:p>
    <w:p w14:paraId="5E4E785A" w14:textId="77777777" w:rsidR="00A978F6" w:rsidRDefault="001A5B1A">
      <w:pPr>
        <w:spacing w:after="5" w:line="248" w:lineRule="auto"/>
        <w:ind w:left="10" w:right="0" w:hanging="10"/>
        <w:jc w:val="left"/>
      </w:pPr>
      <w:r>
        <w:rPr>
          <w:rFonts w:ascii="Calibri" w:eastAsia="Calibri" w:hAnsi="Calibri" w:cs="Calibri"/>
        </w:rPr>
        <w:t>pane; 27</w:t>
      </w:r>
      <w:proofErr w:type="gramStart"/>
      <w:r>
        <w:rPr>
          <w:rFonts w:ascii="Calibri" w:eastAsia="Calibri" w:hAnsi="Calibri" w:cs="Calibri"/>
        </w:rPr>
        <w:t>T</w:t>
      </w:r>
      <w:r>
        <w:rPr>
          <w:rFonts w:ascii="Calibri" w:eastAsia="Calibri" w:hAnsi="Calibri" w:cs="Calibri"/>
          <w:vertAlign w:val="subscript"/>
        </w:rPr>
        <w:t xml:space="preserve">m </w:t>
      </w:r>
      <w:r>
        <w:rPr>
          <w:rFonts w:ascii="Calibri" w:eastAsia="Calibri" w:hAnsi="Calibri" w:cs="Calibri"/>
        </w:rPr>
        <w:t xml:space="preserve"> C</w:t>
      </w:r>
      <w:proofErr w:type="gramEnd"/>
      <w:r>
        <w:rPr>
          <w:rFonts w:ascii="Calibri" w:eastAsia="Calibri" w:hAnsi="Calibri" w:cs="Calibri"/>
          <w:vertAlign w:val="subscript"/>
        </w:rPr>
        <w:t>27</w:t>
      </w:r>
    </w:p>
    <w:p w14:paraId="036BF056" w14:textId="77777777" w:rsidR="00A978F6" w:rsidRDefault="001A5B1A">
      <w:pPr>
        <w:spacing w:after="5" w:line="248" w:lineRule="auto"/>
        <w:ind w:left="10" w:right="0" w:hanging="10"/>
        <w:jc w:val="left"/>
      </w:pPr>
      <w:r>
        <w:rPr>
          <w:noProof/>
        </w:rPr>
        <w:drawing>
          <wp:anchor distT="0" distB="0" distL="114300" distR="114300" simplePos="0" relativeHeight="251665408" behindDoc="0" locked="0" layoutInCell="1" allowOverlap="0" wp14:anchorId="185A7FFF" wp14:editId="62ED1414">
            <wp:simplePos x="0" y="0"/>
            <wp:positionH relativeFrom="margin">
              <wp:posOffset>1655543</wp:posOffset>
            </wp:positionH>
            <wp:positionV relativeFrom="paragraph">
              <wp:posOffset>-2285000</wp:posOffset>
            </wp:positionV>
            <wp:extent cx="4554918" cy="3136824"/>
            <wp:effectExtent l="0" t="0" r="0" b="0"/>
            <wp:wrapSquare wrapText="bothSides"/>
            <wp:docPr id="1642" name="Picture 1642"/>
            <wp:cNvGraphicFramePr/>
            <a:graphic xmlns:a="http://schemas.openxmlformats.org/drawingml/2006/main">
              <a:graphicData uri="http://schemas.openxmlformats.org/drawingml/2006/picture">
                <pic:pic xmlns:pic="http://schemas.openxmlformats.org/drawingml/2006/picture">
                  <pic:nvPicPr>
                    <pic:cNvPr id="1642" name="Picture 1642"/>
                    <pic:cNvPicPr/>
                  </pic:nvPicPr>
                  <pic:blipFill>
                    <a:blip r:embed="rId24"/>
                    <a:stretch>
                      <a:fillRect/>
                    </a:stretch>
                  </pic:blipFill>
                  <pic:spPr>
                    <a:xfrm>
                      <a:off x="0" y="0"/>
                      <a:ext cx="4554918" cy="3136824"/>
                    </a:xfrm>
                    <a:prstGeom prst="rect">
                      <a:avLst/>
                    </a:prstGeom>
                  </pic:spPr>
                </pic:pic>
              </a:graphicData>
            </a:graphic>
          </wp:anchor>
        </w:drawing>
      </w:r>
      <w:r>
        <w:rPr>
          <w:rFonts w:ascii="Calibri" w:eastAsia="Calibri" w:hAnsi="Calibri" w:cs="Calibri"/>
        </w:rPr>
        <w:t>17(H),21b(H)-25,28,30-trisnorhopane; 29</w:t>
      </w:r>
      <w:proofErr w:type="gramStart"/>
      <w:r>
        <w:rPr>
          <w:rFonts w:ascii="Calibri" w:eastAsia="Calibri" w:hAnsi="Calibri" w:cs="Calibri"/>
        </w:rPr>
        <w:t>T</w:t>
      </w:r>
      <w:r>
        <w:rPr>
          <w:rFonts w:ascii="Calibri" w:eastAsia="Calibri" w:hAnsi="Calibri" w:cs="Calibri"/>
          <w:vertAlign w:val="subscript"/>
        </w:rPr>
        <w:t xml:space="preserve">s </w:t>
      </w:r>
      <w:r>
        <w:rPr>
          <w:rFonts w:ascii="Calibri" w:eastAsia="Calibri" w:hAnsi="Calibri" w:cs="Calibri"/>
        </w:rPr>
        <w:t xml:space="preserve"> 18</w:t>
      </w:r>
      <w:proofErr w:type="gramEnd"/>
      <w:r>
        <w:rPr>
          <w:rFonts w:ascii="Calibri" w:eastAsia="Calibri" w:hAnsi="Calibri" w:cs="Calibri"/>
        </w:rPr>
        <w:t>(H)-30norneohopane; 30d  15methyl-17(H)-27-norhopane</w:t>
      </w:r>
    </w:p>
    <w:p w14:paraId="5EEFCC56" w14:textId="77777777" w:rsidR="00A978F6" w:rsidRDefault="001A5B1A">
      <w:pPr>
        <w:spacing w:after="425" w:line="248" w:lineRule="auto"/>
        <w:ind w:left="10" w:right="0" w:hanging="10"/>
        <w:jc w:val="left"/>
      </w:pPr>
      <w:r>
        <w:rPr>
          <w:rFonts w:ascii="Calibri" w:eastAsia="Calibri" w:hAnsi="Calibri" w:cs="Calibri"/>
        </w:rPr>
        <w:t>(C</w:t>
      </w:r>
      <w:r>
        <w:rPr>
          <w:rFonts w:ascii="Calibri" w:eastAsia="Calibri" w:hAnsi="Calibri" w:cs="Calibri"/>
          <w:vertAlign w:val="subscript"/>
        </w:rPr>
        <w:t xml:space="preserve">30 </w:t>
      </w:r>
      <w:proofErr w:type="spellStart"/>
      <w:r>
        <w:rPr>
          <w:rFonts w:ascii="Calibri" w:eastAsia="Calibri" w:hAnsi="Calibri" w:cs="Calibri"/>
        </w:rPr>
        <w:t>diahopane</w:t>
      </w:r>
      <w:proofErr w:type="spellEnd"/>
      <w:r>
        <w:rPr>
          <w:rFonts w:ascii="Calibri" w:eastAsia="Calibri" w:hAnsi="Calibri" w:cs="Calibri"/>
        </w:rPr>
        <w:t>); 30</w:t>
      </w:r>
      <w:proofErr w:type="gramStart"/>
      <w:r>
        <w:rPr>
          <w:rFonts w:ascii="Calibri" w:eastAsia="Calibri" w:hAnsi="Calibri" w:cs="Calibri"/>
        </w:rPr>
        <w:t xml:space="preserve">G  </w:t>
      </w:r>
      <w:proofErr w:type="spellStart"/>
      <w:r>
        <w:rPr>
          <w:rFonts w:ascii="Calibri" w:eastAsia="Calibri" w:hAnsi="Calibri" w:cs="Calibri"/>
        </w:rPr>
        <w:t>gammacerane</w:t>
      </w:r>
      <w:proofErr w:type="spellEnd"/>
      <w:proofErr w:type="gramEnd"/>
      <w:r>
        <w:rPr>
          <w:rFonts w:ascii="Calibri" w:eastAsia="Calibri" w:hAnsi="Calibri" w:cs="Calibri"/>
        </w:rPr>
        <w:t>;  and b refer to positions 17 and 21, S and R to position 22.</w:t>
      </w:r>
    </w:p>
    <w:p w14:paraId="307EE8D1" w14:textId="77777777" w:rsidR="00A978F6" w:rsidRDefault="001A5B1A">
      <w:pPr>
        <w:ind w:left="0" w:right="11" w:firstLine="0"/>
      </w:pPr>
      <w:r>
        <w:t>6609/11-1 in the we</w:t>
      </w:r>
      <w:r>
        <w:t xml:space="preserve">stern part of the </w:t>
      </w:r>
      <w:proofErr w:type="spellStart"/>
      <w:r>
        <w:t>Helgeland</w:t>
      </w:r>
      <w:proofErr w:type="spellEnd"/>
      <w:r>
        <w:t xml:space="preserve"> Basin (Figure 1). Karlsen et al. (1995) suggested, </w:t>
      </w:r>
      <w:proofErr w:type="gramStart"/>
      <w:r>
        <w:t>on the basis of</w:t>
      </w:r>
      <w:proofErr w:type="gramEnd"/>
      <w:r>
        <w:t xml:space="preserve"> the molecular (high wax, low vanadium/nickel [V/Ni], low sulfur [S], high </w:t>
      </w:r>
      <w:proofErr w:type="spellStart"/>
      <w:r>
        <w:t>hopane</w:t>
      </w:r>
      <w:proofErr w:type="spellEnd"/>
      <w:r>
        <w:t>/sterane) and isotopic composition (</w:t>
      </w:r>
      <w:r>
        <w:rPr>
          <w:rFonts w:ascii="Calibri" w:eastAsia="Calibri" w:hAnsi="Calibri" w:cs="Calibri"/>
        </w:rPr>
        <w:t>d</w:t>
      </w:r>
      <w:r>
        <w:rPr>
          <w:vertAlign w:val="superscript"/>
        </w:rPr>
        <w:t>13</w:t>
      </w:r>
      <w:r>
        <w:t>C</w:t>
      </w:r>
      <w:r>
        <w:rPr>
          <w:vertAlign w:val="subscript"/>
        </w:rPr>
        <w:t xml:space="preserve">oil </w:t>
      </w:r>
      <w:r>
        <w:t xml:space="preserve">32.2‰ PDB; </w:t>
      </w:r>
      <w:r>
        <w:rPr>
          <w:rFonts w:ascii="Calibri" w:eastAsia="Calibri" w:hAnsi="Calibri" w:cs="Calibri"/>
        </w:rPr>
        <w:t>d</w:t>
      </w:r>
      <w:r>
        <w:rPr>
          <w:vertAlign w:val="superscript"/>
        </w:rPr>
        <w:t>2</w:t>
      </w:r>
      <w:r>
        <w:t>H</w:t>
      </w:r>
      <w:r>
        <w:rPr>
          <w:vertAlign w:val="subscript"/>
        </w:rPr>
        <w:t xml:space="preserve">oil </w:t>
      </w:r>
      <w:r>
        <w:t xml:space="preserve">153‰ standard mean </w:t>
      </w:r>
      <w:r>
        <w:t>ocean water [SMOW]), that this staining was derived from a terrestrial source rock, possibly of Triassic or Paleozoic age.</w:t>
      </w:r>
    </w:p>
    <w:p w14:paraId="0FB67125" w14:textId="77777777" w:rsidR="00A978F6" w:rsidRDefault="001A5B1A">
      <w:pPr>
        <w:ind w:left="0" w:right="11"/>
      </w:pPr>
      <w:r>
        <w:t>For Lower Triassic mudstones to be the source for the oil encountered in the shallow drilling would require a significant distal thic</w:t>
      </w:r>
      <w:r>
        <w:t>kening of the thin (0.5–1.5 cm thick) layers of mudstone in the core. No obvious proof exists for such a thickening, and there are no known Lower Triassic source rocks in East Greenland.</w:t>
      </w:r>
    </w:p>
    <w:p w14:paraId="651F5C66" w14:textId="77777777" w:rsidR="00A978F6" w:rsidRDefault="001A5B1A">
      <w:pPr>
        <w:ind w:left="0" w:right="11"/>
      </w:pPr>
      <w:r>
        <w:lastRenderedPageBreak/>
        <w:t>Therefore, because the oil staining shares some features with the roc</w:t>
      </w:r>
      <w:r>
        <w:t xml:space="preserve">k extracts from the </w:t>
      </w:r>
      <w:proofErr w:type="spellStart"/>
      <w:r>
        <w:t>Ravnefjeld</w:t>
      </w:r>
      <w:proofErr w:type="spellEnd"/>
    </w:p>
    <w:p w14:paraId="7F28AB96" w14:textId="77777777" w:rsidR="00A978F6" w:rsidRDefault="00A978F6">
      <w:pPr>
        <w:sectPr w:rsidR="00A978F6">
          <w:type w:val="continuous"/>
          <w:pgSz w:w="12240" w:h="15840"/>
          <w:pgMar w:top="1327" w:right="1116" w:bottom="1309" w:left="1316" w:header="720" w:footer="720" w:gutter="0"/>
          <w:cols w:num="2" w:space="473"/>
        </w:sectPr>
      </w:pPr>
    </w:p>
    <w:p w14:paraId="564BA755" w14:textId="77777777" w:rsidR="00A978F6" w:rsidRDefault="001A5B1A">
      <w:pPr>
        <w:spacing w:after="5" w:line="248" w:lineRule="auto"/>
        <w:ind w:left="10" w:right="0" w:hanging="10"/>
        <w:jc w:val="left"/>
      </w:pPr>
      <w:r>
        <w:rPr>
          <w:noProof/>
        </w:rPr>
        <w:drawing>
          <wp:anchor distT="0" distB="0" distL="114300" distR="114300" simplePos="0" relativeHeight="251666432" behindDoc="0" locked="0" layoutInCell="1" allowOverlap="0" wp14:anchorId="3C28372E" wp14:editId="6DD9B979">
            <wp:simplePos x="0" y="0"/>
            <wp:positionH relativeFrom="column">
              <wp:posOffset>1649622</wp:posOffset>
            </wp:positionH>
            <wp:positionV relativeFrom="paragraph">
              <wp:posOffset>-1301021</wp:posOffset>
            </wp:positionV>
            <wp:extent cx="4554918" cy="3070022"/>
            <wp:effectExtent l="0" t="0" r="0" b="0"/>
            <wp:wrapSquare wrapText="bothSides"/>
            <wp:docPr id="1662" name="Picture 1662"/>
            <wp:cNvGraphicFramePr/>
            <a:graphic xmlns:a="http://schemas.openxmlformats.org/drawingml/2006/main">
              <a:graphicData uri="http://schemas.openxmlformats.org/drawingml/2006/picture">
                <pic:pic xmlns:pic="http://schemas.openxmlformats.org/drawingml/2006/picture">
                  <pic:nvPicPr>
                    <pic:cNvPr id="1662" name="Picture 1662"/>
                    <pic:cNvPicPr/>
                  </pic:nvPicPr>
                  <pic:blipFill>
                    <a:blip r:embed="rId25"/>
                    <a:stretch>
                      <a:fillRect/>
                    </a:stretch>
                  </pic:blipFill>
                  <pic:spPr>
                    <a:xfrm>
                      <a:off x="0" y="0"/>
                      <a:ext cx="4554918" cy="3070022"/>
                    </a:xfrm>
                    <a:prstGeom prst="rect">
                      <a:avLst/>
                    </a:prstGeom>
                  </pic:spPr>
                </pic:pic>
              </a:graphicData>
            </a:graphic>
          </wp:anchor>
        </w:drawing>
      </w:r>
      <w:r>
        <w:rPr>
          <w:rFonts w:ascii="Calibri" w:eastAsia="Calibri" w:hAnsi="Calibri" w:cs="Calibri"/>
        </w:rPr>
        <w:t xml:space="preserve">Figure 13. </w:t>
      </w:r>
      <w:r>
        <w:rPr>
          <w:rFonts w:ascii="Calibri" w:eastAsia="Calibri" w:hAnsi="Calibri" w:cs="Calibri"/>
        </w:rPr>
        <w:t xml:space="preserve">Sterane (m/z 217 and 218) mass </w:t>
      </w:r>
      <w:proofErr w:type="spellStart"/>
      <w:r>
        <w:rPr>
          <w:rFonts w:ascii="Calibri" w:eastAsia="Calibri" w:hAnsi="Calibri" w:cs="Calibri"/>
        </w:rPr>
        <w:t>fragmentograms</w:t>
      </w:r>
      <w:proofErr w:type="spellEnd"/>
      <w:r>
        <w:rPr>
          <w:rFonts w:ascii="Calibri" w:eastAsia="Calibri" w:hAnsi="Calibri" w:cs="Calibri"/>
        </w:rPr>
        <w:t xml:space="preserve"> of oil staining (SAT fraction), extracted from a sandstone, borehole 6611/09-U-01, lower turbidite unit. Compound assignment according to NIGOGA: number of carbon atoms; </w:t>
      </w:r>
      <w:proofErr w:type="gramStart"/>
      <w:r>
        <w:rPr>
          <w:rFonts w:ascii="Calibri" w:eastAsia="Calibri" w:hAnsi="Calibri" w:cs="Calibri"/>
        </w:rPr>
        <w:t xml:space="preserve">d  </w:t>
      </w:r>
      <w:proofErr w:type="spellStart"/>
      <w:r>
        <w:rPr>
          <w:rFonts w:ascii="Calibri" w:eastAsia="Calibri" w:hAnsi="Calibri" w:cs="Calibri"/>
        </w:rPr>
        <w:t>diasterane</w:t>
      </w:r>
      <w:proofErr w:type="spellEnd"/>
      <w:proofErr w:type="gramEnd"/>
      <w:r>
        <w:rPr>
          <w:rFonts w:ascii="Calibri" w:eastAsia="Calibri" w:hAnsi="Calibri" w:cs="Calibri"/>
        </w:rPr>
        <w:t>;  and b refer to positions</w:t>
      </w:r>
      <w:r>
        <w:rPr>
          <w:rFonts w:ascii="Calibri" w:eastAsia="Calibri" w:hAnsi="Calibri" w:cs="Calibri"/>
        </w:rPr>
        <w:t xml:space="preserve"> 13 (</w:t>
      </w:r>
      <w:proofErr w:type="spellStart"/>
      <w:r>
        <w:rPr>
          <w:rFonts w:ascii="Calibri" w:eastAsia="Calibri" w:hAnsi="Calibri" w:cs="Calibri"/>
        </w:rPr>
        <w:t>diasteranes</w:t>
      </w:r>
      <w:proofErr w:type="spellEnd"/>
      <w:r>
        <w:rPr>
          <w:rFonts w:ascii="Calibri" w:eastAsia="Calibri" w:hAnsi="Calibri" w:cs="Calibri"/>
        </w:rPr>
        <w:t>), 14, and 17 (regular steranes), S and R to position 20.</w:t>
      </w:r>
    </w:p>
    <w:p w14:paraId="2F5F3BE0" w14:textId="77777777" w:rsidR="00A978F6" w:rsidRDefault="001A5B1A">
      <w:pPr>
        <w:spacing w:after="5" w:line="248" w:lineRule="auto"/>
        <w:ind w:left="10" w:right="0" w:hanging="10"/>
        <w:jc w:val="left"/>
      </w:pPr>
      <w:r>
        <w:rPr>
          <w:noProof/>
        </w:rPr>
        <w:drawing>
          <wp:anchor distT="0" distB="0" distL="114300" distR="114300" simplePos="0" relativeHeight="251667456" behindDoc="0" locked="0" layoutInCell="1" allowOverlap="0" wp14:anchorId="54AD4806" wp14:editId="16B0EBC5">
            <wp:simplePos x="0" y="0"/>
            <wp:positionH relativeFrom="column">
              <wp:posOffset>-4722313</wp:posOffset>
            </wp:positionH>
            <wp:positionV relativeFrom="paragraph">
              <wp:posOffset>-13655</wp:posOffset>
            </wp:positionV>
            <wp:extent cx="4556392" cy="2824048"/>
            <wp:effectExtent l="0" t="0" r="0" b="0"/>
            <wp:wrapSquare wrapText="bothSides"/>
            <wp:docPr id="1726" name="Picture 1726"/>
            <wp:cNvGraphicFramePr/>
            <a:graphic xmlns:a="http://schemas.openxmlformats.org/drawingml/2006/main">
              <a:graphicData uri="http://schemas.openxmlformats.org/drawingml/2006/picture">
                <pic:pic xmlns:pic="http://schemas.openxmlformats.org/drawingml/2006/picture">
                  <pic:nvPicPr>
                    <pic:cNvPr id="1726" name="Picture 1726"/>
                    <pic:cNvPicPr/>
                  </pic:nvPicPr>
                  <pic:blipFill>
                    <a:blip r:embed="rId26"/>
                    <a:stretch>
                      <a:fillRect/>
                    </a:stretch>
                  </pic:blipFill>
                  <pic:spPr>
                    <a:xfrm>
                      <a:off x="0" y="0"/>
                      <a:ext cx="4556392" cy="2824048"/>
                    </a:xfrm>
                    <a:prstGeom prst="rect">
                      <a:avLst/>
                    </a:prstGeom>
                  </pic:spPr>
                </pic:pic>
              </a:graphicData>
            </a:graphic>
          </wp:anchor>
        </w:drawing>
      </w:r>
      <w:r>
        <w:rPr>
          <w:rFonts w:ascii="Calibri" w:eastAsia="Calibri" w:hAnsi="Calibri" w:cs="Calibri"/>
        </w:rPr>
        <w:t>Figure 14. Peak height ratios C</w:t>
      </w:r>
      <w:r>
        <w:rPr>
          <w:rFonts w:ascii="Calibri" w:eastAsia="Calibri" w:hAnsi="Calibri" w:cs="Calibri"/>
          <w:vertAlign w:val="subscript"/>
        </w:rPr>
        <w:t xml:space="preserve">30 </w:t>
      </w:r>
      <w:proofErr w:type="spellStart"/>
      <w:r>
        <w:rPr>
          <w:rFonts w:ascii="Calibri" w:eastAsia="Calibri" w:hAnsi="Calibri" w:cs="Calibri"/>
        </w:rPr>
        <w:t>diahopane</w:t>
      </w:r>
      <w:proofErr w:type="spellEnd"/>
      <w:r>
        <w:rPr>
          <w:rFonts w:ascii="Calibri" w:eastAsia="Calibri" w:hAnsi="Calibri" w:cs="Calibri"/>
        </w:rPr>
        <w:t>/</w:t>
      </w:r>
      <w:proofErr w:type="spellStart"/>
      <w:r>
        <w:rPr>
          <w:rFonts w:ascii="Calibri" w:eastAsia="Calibri" w:hAnsi="Calibri" w:cs="Calibri"/>
        </w:rPr>
        <w:t>hopane</w:t>
      </w:r>
      <w:proofErr w:type="spellEnd"/>
      <w:r>
        <w:rPr>
          <w:rFonts w:ascii="Calibri" w:eastAsia="Calibri" w:hAnsi="Calibri" w:cs="Calibri"/>
        </w:rPr>
        <w:t xml:space="preserve"> vs. C</w:t>
      </w:r>
      <w:r>
        <w:rPr>
          <w:rFonts w:ascii="Calibri" w:eastAsia="Calibri" w:hAnsi="Calibri" w:cs="Calibri"/>
          <w:vertAlign w:val="subscript"/>
        </w:rPr>
        <w:t xml:space="preserve">23 </w:t>
      </w:r>
      <w:r>
        <w:rPr>
          <w:rFonts w:ascii="Calibri" w:eastAsia="Calibri" w:hAnsi="Calibri" w:cs="Calibri"/>
        </w:rPr>
        <w:t xml:space="preserve">tricyclic </w:t>
      </w:r>
      <w:proofErr w:type="spellStart"/>
      <w:r>
        <w:rPr>
          <w:rFonts w:ascii="Calibri" w:eastAsia="Calibri" w:hAnsi="Calibri" w:cs="Calibri"/>
        </w:rPr>
        <w:t>diterpane</w:t>
      </w:r>
      <w:proofErr w:type="spellEnd"/>
      <w:r>
        <w:rPr>
          <w:rFonts w:ascii="Calibri" w:eastAsia="Calibri" w:hAnsi="Calibri" w:cs="Calibri"/>
        </w:rPr>
        <w:t>/</w:t>
      </w:r>
      <w:proofErr w:type="spellStart"/>
      <w:r>
        <w:rPr>
          <w:rFonts w:ascii="Calibri" w:eastAsia="Calibri" w:hAnsi="Calibri" w:cs="Calibri"/>
        </w:rPr>
        <w:t>hopane</w:t>
      </w:r>
      <w:proofErr w:type="spellEnd"/>
      <w:r>
        <w:rPr>
          <w:rFonts w:ascii="Calibri" w:eastAsia="Calibri" w:hAnsi="Calibri" w:cs="Calibri"/>
        </w:rPr>
        <w:t xml:space="preserve">. </w:t>
      </w:r>
      <w:proofErr w:type="spellStart"/>
      <w:r>
        <w:rPr>
          <w:rFonts w:ascii="Calibri" w:eastAsia="Calibri" w:hAnsi="Calibri" w:cs="Calibri"/>
        </w:rPr>
        <w:t>Helgeland</w:t>
      </w:r>
      <w:proofErr w:type="spellEnd"/>
      <w:r>
        <w:rPr>
          <w:rFonts w:ascii="Calibri" w:eastAsia="Calibri" w:hAnsi="Calibri" w:cs="Calibri"/>
        </w:rPr>
        <w:t xml:space="preserve"> designates the coring sites 6611/09-U-01 and 6611/ 09-U-02. Data from </w:t>
      </w:r>
      <w:proofErr w:type="spellStart"/>
      <w:r>
        <w:rPr>
          <w:rFonts w:ascii="Calibri" w:eastAsia="Calibri" w:hAnsi="Calibri" w:cs="Calibri"/>
        </w:rPr>
        <w:t>Ravnefjeld</w:t>
      </w:r>
      <w:proofErr w:type="spellEnd"/>
      <w:r>
        <w:rPr>
          <w:rFonts w:ascii="Calibri" w:eastAsia="Calibri" w:hAnsi="Calibri" w:cs="Calibri"/>
        </w:rPr>
        <w:t xml:space="preserve"> For</w:t>
      </w:r>
      <w:r>
        <w:rPr>
          <w:rFonts w:ascii="Calibri" w:eastAsia="Calibri" w:hAnsi="Calibri" w:cs="Calibri"/>
        </w:rPr>
        <w:t>mation is from Christiansen et al. (1993) and F. G.</w:t>
      </w:r>
    </w:p>
    <w:p w14:paraId="7388CB9A" w14:textId="77777777" w:rsidR="00A978F6" w:rsidRDefault="001A5B1A">
      <w:pPr>
        <w:spacing w:after="5" w:line="248" w:lineRule="auto"/>
        <w:ind w:left="10" w:right="0" w:hanging="10"/>
        <w:jc w:val="left"/>
      </w:pPr>
      <w:r>
        <w:rPr>
          <w:rFonts w:ascii="Calibri" w:eastAsia="Calibri" w:hAnsi="Calibri" w:cs="Calibri"/>
        </w:rPr>
        <w:t>Christiansen (1993, personal communication). Data for well 6609/11-1 is from Karlsen et al. (1995).</w:t>
      </w:r>
    </w:p>
    <w:p w14:paraId="61F7BADE" w14:textId="77777777" w:rsidR="00A978F6" w:rsidRDefault="00A978F6">
      <w:pPr>
        <w:sectPr w:rsidR="00A978F6">
          <w:type w:val="continuous"/>
          <w:pgSz w:w="12240" w:h="15840"/>
          <w:pgMar w:top="1380" w:right="1136" w:bottom="1311" w:left="1125" w:header="720" w:footer="720" w:gutter="0"/>
          <w:cols w:space="720"/>
        </w:sectPr>
      </w:pPr>
    </w:p>
    <w:p w14:paraId="77C8D473" w14:textId="77777777" w:rsidR="00A978F6" w:rsidRDefault="001A5B1A">
      <w:pPr>
        <w:spacing w:after="519"/>
        <w:ind w:left="0" w:right="11" w:firstLine="0"/>
      </w:pPr>
      <w:r>
        <w:t xml:space="preserve">Formation of East Greenland (e.g., high tricyclics, slight odd-dominance in </w:t>
      </w:r>
      <w:proofErr w:type="spellStart"/>
      <w:r>
        <w:t>homohopanes</w:t>
      </w:r>
      <w:proofErr w:type="spellEnd"/>
      <w:r>
        <w:t>, sim</w:t>
      </w:r>
      <w:r>
        <w:t xml:space="preserve">ilar carbon isotope composition), and despite the existing geochemical differences (e.g., </w:t>
      </w:r>
      <w:proofErr w:type="spellStart"/>
      <w:r>
        <w:t>gammacerane</w:t>
      </w:r>
      <w:proofErr w:type="spellEnd"/>
      <w:r>
        <w:t>, C</w:t>
      </w:r>
      <w:r>
        <w:rPr>
          <w:vertAlign w:val="subscript"/>
        </w:rPr>
        <w:t xml:space="preserve">30 </w:t>
      </w:r>
      <w:proofErr w:type="spellStart"/>
      <w:r>
        <w:t>diahopane</w:t>
      </w:r>
      <w:proofErr w:type="spellEnd"/>
      <w:r>
        <w:t xml:space="preserve">, </w:t>
      </w:r>
      <w:proofErr w:type="spellStart"/>
      <w:r>
        <w:t>diasteranes</w:t>
      </w:r>
      <w:proofErr w:type="spellEnd"/>
      <w:r>
        <w:t>?), a more marine equivalent of the cored Upper Permian mudstones seems to be the most likely source for the oil staining.</w:t>
      </w:r>
    </w:p>
    <w:p w14:paraId="6E8B3F01" w14:textId="77777777" w:rsidR="00A978F6" w:rsidRDefault="001A5B1A">
      <w:pPr>
        <w:pStyle w:val="1"/>
        <w:ind w:left="-5" w:right="46"/>
      </w:pPr>
      <w:r>
        <w:lastRenderedPageBreak/>
        <w:t>STRA</w:t>
      </w:r>
      <w:r>
        <w:t>TIGRAPHIC CORRELATION AND PALEOGEOGRAPHY</w:t>
      </w:r>
    </w:p>
    <w:tbl>
      <w:tblPr>
        <w:tblStyle w:val="TableGrid"/>
        <w:tblpPr w:vertAnchor="text" w:horzAnchor="margin" w:tblpY="4164"/>
        <w:tblOverlap w:val="never"/>
        <w:tblW w:w="9964" w:type="dxa"/>
        <w:tblInd w:w="0" w:type="dxa"/>
        <w:tblCellMar>
          <w:top w:w="0" w:type="dxa"/>
          <w:left w:w="191" w:type="dxa"/>
          <w:bottom w:w="0" w:type="dxa"/>
          <w:right w:w="0" w:type="dxa"/>
        </w:tblCellMar>
        <w:tblLook w:val="04A0" w:firstRow="1" w:lastRow="0" w:firstColumn="1" w:lastColumn="0" w:noHBand="0" w:noVBand="1"/>
      </w:tblPr>
      <w:tblGrid>
        <w:gridCol w:w="9964"/>
      </w:tblGrid>
      <w:tr w:rsidR="00A978F6" w14:paraId="7A723497" w14:textId="77777777">
        <w:trPr>
          <w:trHeight w:val="922"/>
        </w:trPr>
        <w:tc>
          <w:tcPr>
            <w:tcW w:w="9807" w:type="dxa"/>
            <w:tcBorders>
              <w:top w:val="nil"/>
              <w:left w:val="nil"/>
              <w:bottom w:val="nil"/>
              <w:right w:val="nil"/>
            </w:tcBorders>
            <w:vAlign w:val="bottom"/>
          </w:tcPr>
          <w:p w14:paraId="6EFCF3AF" w14:textId="77777777" w:rsidR="00A978F6" w:rsidRDefault="001A5B1A">
            <w:pPr>
              <w:spacing w:after="164" w:line="259" w:lineRule="auto"/>
              <w:ind w:left="38" w:right="0" w:firstLine="0"/>
              <w:jc w:val="left"/>
            </w:pPr>
            <w:r>
              <w:rPr>
                <w:noProof/>
              </w:rPr>
              <w:drawing>
                <wp:inline distT="0" distB="0" distL="0" distR="0" wp14:anchorId="1C519306" wp14:editId="00821856">
                  <wp:extent cx="6181821" cy="1952536"/>
                  <wp:effectExtent l="0" t="0" r="0" b="0"/>
                  <wp:docPr id="1772" name="Picture 1772"/>
                  <wp:cNvGraphicFramePr/>
                  <a:graphic xmlns:a="http://schemas.openxmlformats.org/drawingml/2006/main">
                    <a:graphicData uri="http://schemas.openxmlformats.org/drawingml/2006/picture">
                      <pic:pic xmlns:pic="http://schemas.openxmlformats.org/drawingml/2006/picture">
                        <pic:nvPicPr>
                          <pic:cNvPr id="1772" name="Picture 1772"/>
                          <pic:cNvPicPr/>
                        </pic:nvPicPr>
                        <pic:blipFill>
                          <a:blip r:embed="rId27"/>
                          <a:stretch>
                            <a:fillRect/>
                          </a:stretch>
                        </pic:blipFill>
                        <pic:spPr>
                          <a:xfrm>
                            <a:off x="0" y="0"/>
                            <a:ext cx="6181821" cy="1952536"/>
                          </a:xfrm>
                          <a:prstGeom prst="rect">
                            <a:avLst/>
                          </a:prstGeom>
                        </pic:spPr>
                      </pic:pic>
                    </a:graphicData>
                  </a:graphic>
                </wp:inline>
              </w:drawing>
            </w:r>
          </w:p>
          <w:p w14:paraId="791D772F" w14:textId="77777777" w:rsidR="00A978F6" w:rsidRDefault="001A5B1A">
            <w:pPr>
              <w:spacing w:after="0" w:line="259" w:lineRule="auto"/>
              <w:ind w:left="0" w:right="-34" w:firstLine="0"/>
            </w:pPr>
            <w:r>
              <w:rPr>
                <w:rFonts w:ascii="Calibri" w:eastAsia="Calibri" w:hAnsi="Calibri" w:cs="Calibri"/>
              </w:rPr>
              <w:t xml:space="preserve">Figure 15. Schematic reconstruction of the Late Permian–Early Triassic basin between Norway and Greenland. All the cored units on the Norwegian side can be recognized in East Greenland. In the Late Permian, the </w:t>
            </w:r>
            <w:proofErr w:type="spellStart"/>
            <w:r>
              <w:rPr>
                <w:rFonts w:ascii="Calibri" w:eastAsia="Calibri" w:hAnsi="Calibri" w:cs="Calibri"/>
              </w:rPr>
              <w:t>Tr</w:t>
            </w:r>
            <w:r>
              <w:rPr>
                <w:rFonts w:ascii="Calibri" w:eastAsia="Calibri" w:hAnsi="Calibri" w:cs="Calibri"/>
              </w:rPr>
              <w:t>øndelag</w:t>
            </w:r>
            <w:proofErr w:type="spellEnd"/>
            <w:r>
              <w:rPr>
                <w:rFonts w:ascii="Calibri" w:eastAsia="Calibri" w:hAnsi="Calibri" w:cs="Calibri"/>
              </w:rPr>
              <w:t xml:space="preserve"> Platform was probably characterized by local basins that had deposition of organic-rich, oil-prone mudstones and local structural highs with carbonate deposition and reef building.</w:t>
            </w:r>
          </w:p>
        </w:tc>
      </w:tr>
    </w:tbl>
    <w:p w14:paraId="0A588210" w14:textId="77777777" w:rsidR="00A978F6" w:rsidRDefault="001A5B1A">
      <w:pPr>
        <w:ind w:left="0" w:right="11" w:firstLine="0"/>
      </w:pPr>
      <w:r>
        <w:t xml:space="preserve">By the middle Permian, a seaway had opened between Greenland and Norway. Marine sediments on East Greenland show that this seaway was open during the Late Permian and Early Triassic. Existing paleogeographic reconstructions suggest </w:t>
      </w:r>
      <w:proofErr w:type="spellStart"/>
      <w:r>
        <w:t>paleocoastlines</w:t>
      </w:r>
      <w:proofErr w:type="spellEnd"/>
      <w:r>
        <w:t xml:space="preserve"> some dis</w:t>
      </w:r>
      <w:r>
        <w:t>tance westward of the present Norwegian coastline (e.g., Ziegler, 1990; Dore´, 1991). This article shows, however, that marine sediments were deposited very close to the present coast, thus indicating that one major basin existed between Norway and Greenla</w:t>
      </w:r>
      <w:r>
        <w:t>nd and that the basin extended eastward to the present-day coastline. In following paragraphs, we discuss the many similarities between the cored succession and the sediments exposed in East Greenland. A schematic illustration of this is presented in Figur</w:t>
      </w:r>
      <w:r>
        <w:t>e 15.</w:t>
      </w:r>
    </w:p>
    <w:p w14:paraId="00826760" w14:textId="77777777" w:rsidR="00A978F6" w:rsidRDefault="001A5B1A">
      <w:pPr>
        <w:ind w:left="0" w:right="11"/>
      </w:pPr>
      <w:r>
        <w:t xml:space="preserve">The Upper Permian </w:t>
      </w:r>
      <w:proofErr w:type="spellStart"/>
      <w:r>
        <w:t>Foldvik</w:t>
      </w:r>
      <w:proofErr w:type="spellEnd"/>
      <w:r>
        <w:t xml:space="preserve"> Creek Group is divided into five different formations (Figure 2) (</w:t>
      </w:r>
      <w:proofErr w:type="spellStart"/>
      <w:r>
        <w:t>Surlyk</w:t>
      </w:r>
      <w:proofErr w:type="spellEnd"/>
      <w:r>
        <w:t xml:space="preserve"> et al., 1986; </w:t>
      </w:r>
      <w:proofErr w:type="spellStart"/>
      <w:r>
        <w:t>Stemmerik</w:t>
      </w:r>
      <w:proofErr w:type="spellEnd"/>
      <w:r>
        <w:t>, 1987) and is marine except for the lowermost part of the group. The Lower Triassic is fully marine and comprises the Wordie Cr</w:t>
      </w:r>
      <w:r>
        <w:t xml:space="preserve">eek Formation (Perch-Nielsen et al., 1974). The shallow-marine sandstone unit described in this article comprises the lower 170 m of the cored succession and probably rests directly on Caledonian basement. The basal conglomerate is overlain by a series of </w:t>
      </w:r>
      <w:r>
        <w:t xml:space="preserve">variably bioturbated brownish-gray sandstones with a muddy interval on top. This unit is correlated with the </w:t>
      </w:r>
      <w:proofErr w:type="spellStart"/>
      <w:r>
        <w:t>Huledal</w:t>
      </w:r>
      <w:proofErr w:type="spellEnd"/>
      <w:r>
        <w:t xml:space="preserve"> Formation in East Greenland, which consists of drab-colored, poorly sorted, immature fluvial conglomerates and sandstone sheet deposits. Bo</w:t>
      </w:r>
      <w:r>
        <w:t xml:space="preserve">th units are texturally immature and appear to have been deposited rapidly. Marine fossils in </w:t>
      </w:r>
      <w:r>
        <w:t xml:space="preserve">the uppermost meter of the </w:t>
      </w:r>
      <w:proofErr w:type="spellStart"/>
      <w:r>
        <w:t>Huledal</w:t>
      </w:r>
      <w:proofErr w:type="spellEnd"/>
      <w:r>
        <w:t xml:space="preserve"> Formation conglomerate complex suggest a maximum flooding event on top of the formation (</w:t>
      </w:r>
      <w:proofErr w:type="spellStart"/>
      <w:r>
        <w:t>Surlyk</w:t>
      </w:r>
      <w:proofErr w:type="spellEnd"/>
      <w:r>
        <w:t xml:space="preserve"> et al., 1986). The upper siltst</w:t>
      </w:r>
      <w:r>
        <w:t xml:space="preserve">one-mudstone part of the overall transgressive shallow-marine sandstone unit could correspond to the otherwise continental </w:t>
      </w:r>
      <w:proofErr w:type="spellStart"/>
      <w:r>
        <w:t>Huledal</w:t>
      </w:r>
      <w:proofErr w:type="spellEnd"/>
      <w:r>
        <w:t xml:space="preserve"> Formation.</w:t>
      </w:r>
    </w:p>
    <w:p w14:paraId="25C46CE6" w14:textId="77777777" w:rsidR="00A978F6" w:rsidRDefault="001A5B1A">
      <w:pPr>
        <w:ind w:left="0" w:right="11"/>
      </w:pPr>
      <w:r>
        <w:t xml:space="preserve">The anhydrite unit is interpreted as redeposited and reworked sabkha deposits derived from an </w:t>
      </w:r>
      <w:proofErr w:type="spellStart"/>
      <w:r>
        <w:t>updip</w:t>
      </w:r>
      <w:proofErr w:type="spellEnd"/>
      <w:r>
        <w:t xml:space="preserve"> sabkha environ</w:t>
      </w:r>
      <w:r>
        <w:t xml:space="preserve">ment. The sediments show similarities with the </w:t>
      </w:r>
      <w:proofErr w:type="spellStart"/>
      <w:r>
        <w:t>Karstryggen</w:t>
      </w:r>
      <w:proofErr w:type="spellEnd"/>
      <w:r>
        <w:t xml:space="preserve"> Formation, which is the most widespread of the Upper Permian units in East Greenland. The </w:t>
      </w:r>
      <w:proofErr w:type="spellStart"/>
      <w:r>
        <w:t>Karstryggen</w:t>
      </w:r>
      <w:proofErr w:type="spellEnd"/>
      <w:r>
        <w:t xml:space="preserve"> Formation is generally represented by limestones, with gypsum deposited under hypersaline condi</w:t>
      </w:r>
      <w:r>
        <w:t xml:space="preserve">tions, resting either on the </w:t>
      </w:r>
      <w:proofErr w:type="spellStart"/>
      <w:r>
        <w:t>Huledal</w:t>
      </w:r>
      <w:proofErr w:type="spellEnd"/>
      <w:r>
        <w:t xml:space="preserve"> Formation or on pre–Upper Permian rocks (</w:t>
      </w:r>
      <w:proofErr w:type="spellStart"/>
      <w:r>
        <w:t>Stemmerik</w:t>
      </w:r>
      <w:proofErr w:type="spellEnd"/>
      <w:r>
        <w:t xml:space="preserve">, 1987). </w:t>
      </w:r>
      <w:proofErr w:type="spellStart"/>
      <w:r>
        <w:t>Stemmerik</w:t>
      </w:r>
      <w:proofErr w:type="spellEnd"/>
      <w:r>
        <w:t xml:space="preserve"> (1987) subdivided the </w:t>
      </w:r>
      <w:proofErr w:type="spellStart"/>
      <w:r>
        <w:t>Karstryggen</w:t>
      </w:r>
      <w:proofErr w:type="spellEnd"/>
      <w:r>
        <w:t xml:space="preserve"> Formation into four contrasting facies within a shallow-marine environment: shallow lagoonal, intertidal, high-energ</w:t>
      </w:r>
      <w:r>
        <w:t xml:space="preserve">y setting, and a shallow subtidal high-energy setting. The anhydrite unit contains more siliciclastic material than the </w:t>
      </w:r>
      <w:proofErr w:type="spellStart"/>
      <w:r>
        <w:t>Karstryggen</w:t>
      </w:r>
      <w:proofErr w:type="spellEnd"/>
      <w:r>
        <w:t xml:space="preserve"> Formation, but this may be due to deposition in a more distal position of the </w:t>
      </w:r>
      <w:proofErr w:type="spellStart"/>
      <w:r>
        <w:t>Helgeland</w:t>
      </w:r>
      <w:proofErr w:type="spellEnd"/>
      <w:r>
        <w:t xml:space="preserve"> Basin. More optimal conditions for e</w:t>
      </w:r>
      <w:r>
        <w:t xml:space="preserve">vaporite formation thus could have occurred in more proximal areas, that is, on the present </w:t>
      </w:r>
      <w:proofErr w:type="spellStart"/>
      <w:r>
        <w:t>Trøndelag</w:t>
      </w:r>
      <w:proofErr w:type="spellEnd"/>
      <w:r>
        <w:t xml:space="preserve"> Platform.</w:t>
      </w:r>
    </w:p>
    <w:p w14:paraId="7B926EAC" w14:textId="77777777" w:rsidR="00A978F6" w:rsidRDefault="001A5B1A">
      <w:pPr>
        <w:ind w:left="0" w:right="11"/>
      </w:pPr>
      <w:r>
        <w:t xml:space="preserve">The lower turbidite unit is divided into three subunits: a lower sandy part dominated by </w:t>
      </w:r>
      <w:proofErr w:type="spellStart"/>
      <w:r>
        <w:t>upwardfining</w:t>
      </w:r>
      <w:proofErr w:type="spellEnd"/>
      <w:r>
        <w:t xml:space="preserve"> turbidite beds; a middle part that has </w:t>
      </w:r>
      <w:proofErr w:type="spellStart"/>
      <w:r>
        <w:t>org</w:t>
      </w:r>
      <w:r>
        <w:t>anicrich</w:t>
      </w:r>
      <w:proofErr w:type="spellEnd"/>
      <w:r>
        <w:t xml:space="preserve"> siltstones/mudstones; and an upper part where laminated, dark-gray siltstones are interbedded with massive, fine-grained sandstones. The middle interval is correlated with the </w:t>
      </w:r>
      <w:proofErr w:type="spellStart"/>
      <w:r>
        <w:t>Ravnefjeld</w:t>
      </w:r>
      <w:proofErr w:type="spellEnd"/>
      <w:r>
        <w:t xml:space="preserve"> Formation of East Greenland, whereas the </w:t>
      </w:r>
      <w:r>
        <w:lastRenderedPageBreak/>
        <w:t>upper interval show</w:t>
      </w:r>
      <w:r>
        <w:t xml:space="preserve">s many similarities with the </w:t>
      </w:r>
      <w:proofErr w:type="spellStart"/>
      <w:r>
        <w:t>Schuchert</w:t>
      </w:r>
      <w:proofErr w:type="spellEnd"/>
      <w:r>
        <w:t xml:space="preserve"> Dal Formation.</w:t>
      </w:r>
    </w:p>
    <w:p w14:paraId="3BACADE4" w14:textId="77777777" w:rsidR="00A978F6" w:rsidRDefault="001A5B1A">
      <w:pPr>
        <w:ind w:left="0" w:right="11"/>
      </w:pPr>
      <w:r>
        <w:t xml:space="preserve">The </w:t>
      </w:r>
      <w:proofErr w:type="spellStart"/>
      <w:r>
        <w:t>Ravnefjeld</w:t>
      </w:r>
      <w:proofErr w:type="spellEnd"/>
      <w:r>
        <w:t xml:space="preserve"> Formation is a lateral equivalent to the Wegener </w:t>
      </w:r>
      <w:proofErr w:type="spellStart"/>
      <w:r>
        <w:t>Halvø</w:t>
      </w:r>
      <w:proofErr w:type="spellEnd"/>
      <w:r>
        <w:t xml:space="preserve"> Formation in East Greenland (Figure 15), and deposition of these formations was strongly dependent on basin configuration. The Wegen</w:t>
      </w:r>
      <w:r>
        <w:t xml:space="preserve">er </w:t>
      </w:r>
      <w:proofErr w:type="spellStart"/>
      <w:r>
        <w:t>Halvø</w:t>
      </w:r>
      <w:proofErr w:type="spellEnd"/>
      <w:r>
        <w:t xml:space="preserve"> Formation occurs in an </w:t>
      </w:r>
      <w:proofErr w:type="spellStart"/>
      <w:r>
        <w:t>areally</w:t>
      </w:r>
      <w:proofErr w:type="spellEnd"/>
      <w:r>
        <w:t xml:space="preserve"> restricted depositional environment, reflecting infill of the earlier karstic surfaces during the rapid transgression that restricted carbonate production to the basin margins (</w:t>
      </w:r>
      <w:proofErr w:type="spellStart"/>
      <w:r>
        <w:t>Stemmerik</w:t>
      </w:r>
      <w:proofErr w:type="spellEnd"/>
      <w:r>
        <w:t xml:space="preserve"> et al., 1990). Recent studies</w:t>
      </w:r>
      <w:r>
        <w:t xml:space="preserve"> in East Greenland show that sand assigned to the </w:t>
      </w:r>
      <w:proofErr w:type="spellStart"/>
      <w:r>
        <w:t>Bredehorn</w:t>
      </w:r>
      <w:proofErr w:type="spellEnd"/>
      <w:r>
        <w:t xml:space="preserve"> Member occurs as </w:t>
      </w:r>
      <w:proofErr w:type="spellStart"/>
      <w:r>
        <w:t>lowstand</w:t>
      </w:r>
      <w:proofErr w:type="spellEnd"/>
      <w:r>
        <w:t xml:space="preserve"> deposits laterally to the organic-rich shales of the </w:t>
      </w:r>
      <w:proofErr w:type="spellStart"/>
      <w:r>
        <w:t>Ravnefjeld</w:t>
      </w:r>
      <w:proofErr w:type="spellEnd"/>
      <w:r>
        <w:t xml:space="preserve"> Formation and the carbonates of the Wegener </w:t>
      </w:r>
      <w:proofErr w:type="spellStart"/>
      <w:r>
        <w:t>Halvø</w:t>
      </w:r>
      <w:proofErr w:type="spellEnd"/>
      <w:r>
        <w:t xml:space="preserve"> Formation and within the siltstones of the overlying </w:t>
      </w:r>
      <w:proofErr w:type="spellStart"/>
      <w:r>
        <w:t>Sch</w:t>
      </w:r>
      <w:r>
        <w:t>uchert</w:t>
      </w:r>
      <w:proofErr w:type="spellEnd"/>
      <w:r>
        <w:t xml:space="preserve"> Dal Formation (</w:t>
      </w:r>
      <w:proofErr w:type="spellStart"/>
      <w:r>
        <w:t>Stemmerik</w:t>
      </w:r>
      <w:proofErr w:type="spellEnd"/>
      <w:r>
        <w:t xml:space="preserve"> et al., 1997; </w:t>
      </w:r>
      <w:proofErr w:type="spellStart"/>
      <w:r>
        <w:t>Kreiner-Møller</w:t>
      </w:r>
      <w:proofErr w:type="spellEnd"/>
      <w:r>
        <w:t xml:space="preserve"> and </w:t>
      </w:r>
      <w:proofErr w:type="spellStart"/>
      <w:r>
        <w:t>Stemmerik</w:t>
      </w:r>
      <w:proofErr w:type="spellEnd"/>
      <w:r>
        <w:t>, 2001).</w:t>
      </w:r>
    </w:p>
    <w:p w14:paraId="6A97C730" w14:textId="77777777" w:rsidR="00A978F6" w:rsidRDefault="001A5B1A">
      <w:pPr>
        <w:ind w:left="0" w:right="11"/>
      </w:pPr>
      <w:r>
        <w:t xml:space="preserve">An equivalent to the Wegener </w:t>
      </w:r>
      <w:proofErr w:type="spellStart"/>
      <w:r>
        <w:t>Halvø</w:t>
      </w:r>
      <w:proofErr w:type="spellEnd"/>
      <w:r>
        <w:t xml:space="preserve"> Formation may be absent in the study area off Norway because the transgression here could have been even more rapid because of local tecto</w:t>
      </w:r>
      <w:r>
        <w:t xml:space="preserve">nic influence. This may have resulted in clastic deposition instead of carbonate production. The presence of carbonate clasts, specifically of skeletal </w:t>
      </w:r>
      <w:proofErr w:type="spellStart"/>
      <w:r>
        <w:t>grainstone</w:t>
      </w:r>
      <w:proofErr w:type="spellEnd"/>
      <w:r>
        <w:t xml:space="preserve"> clasts, and fragments of reef-building organisms in the overlying units and of algal-coated </w:t>
      </w:r>
      <w:proofErr w:type="spellStart"/>
      <w:r>
        <w:t>f</w:t>
      </w:r>
      <w:r>
        <w:t>orams</w:t>
      </w:r>
      <w:proofErr w:type="spellEnd"/>
      <w:r>
        <w:t xml:space="preserve">, tabulate coral fragments, and bryozoans in cutting samples in well 6609/7-1 on the </w:t>
      </w:r>
      <w:proofErr w:type="spellStart"/>
      <w:r>
        <w:t>Nordland</w:t>
      </w:r>
      <w:proofErr w:type="spellEnd"/>
      <w:r>
        <w:t xml:space="preserve"> Ridge clearly show that areas of carbonate deposition and possibly reef development did occur on the mid-Norwegian shelf area. The most likely position for a</w:t>
      </w:r>
      <w:r>
        <w:t xml:space="preserve"> carbonate platform to develop was on structural highs, for example, on the </w:t>
      </w:r>
      <w:proofErr w:type="spellStart"/>
      <w:r>
        <w:t>Trøndelag</w:t>
      </w:r>
      <w:proofErr w:type="spellEnd"/>
      <w:r>
        <w:t xml:space="preserve"> Platform and on the </w:t>
      </w:r>
      <w:proofErr w:type="spellStart"/>
      <w:r>
        <w:t>Nordland</w:t>
      </w:r>
      <w:proofErr w:type="spellEnd"/>
      <w:r>
        <w:t xml:space="preserve"> Ridge, with clastic material being trapped in the </w:t>
      </w:r>
      <w:proofErr w:type="spellStart"/>
      <w:r>
        <w:t>Helgeland</w:t>
      </w:r>
      <w:proofErr w:type="spellEnd"/>
      <w:r>
        <w:t xml:space="preserve"> Basin and local subbasins. Drill breaks experienced when drilling through the car</w:t>
      </w:r>
      <w:r>
        <w:t xml:space="preserve">bonates in well 6609/7-1 on the </w:t>
      </w:r>
      <w:proofErr w:type="spellStart"/>
      <w:r>
        <w:t>Nordland</w:t>
      </w:r>
      <w:proofErr w:type="spellEnd"/>
      <w:r>
        <w:t xml:space="preserve"> Ridge could be due to karstic cavities in the carbonates. Karst development would indicate subaerial exposure and thereby support the assumption of reef development on the </w:t>
      </w:r>
      <w:proofErr w:type="spellStart"/>
      <w:r>
        <w:t>Nordland</w:t>
      </w:r>
      <w:proofErr w:type="spellEnd"/>
      <w:r>
        <w:t xml:space="preserve"> Ridge.</w:t>
      </w:r>
    </w:p>
    <w:p w14:paraId="5BC16197" w14:textId="77777777" w:rsidR="00A978F6" w:rsidRDefault="001A5B1A">
      <w:pPr>
        <w:ind w:left="0" w:right="11"/>
      </w:pPr>
      <w:r>
        <w:t xml:space="preserve">The </w:t>
      </w:r>
      <w:proofErr w:type="spellStart"/>
      <w:r>
        <w:t>Ravnefjeld</w:t>
      </w:r>
      <w:proofErr w:type="spellEnd"/>
      <w:r>
        <w:t xml:space="preserve"> Formation is</w:t>
      </w:r>
      <w:r>
        <w:t xml:space="preserve"> a black, bituminous, laminated mudstone that occurs throughout the East Greenland basin (</w:t>
      </w:r>
      <w:proofErr w:type="spellStart"/>
      <w:r>
        <w:t>Surlyk</w:t>
      </w:r>
      <w:proofErr w:type="spellEnd"/>
      <w:r>
        <w:t xml:space="preserve"> et al., 1986). It accumulated contemporaneously with the limestones of the Wegener </w:t>
      </w:r>
      <w:proofErr w:type="spellStart"/>
      <w:r>
        <w:t>Halvø</w:t>
      </w:r>
      <w:proofErr w:type="spellEnd"/>
      <w:r>
        <w:t xml:space="preserve"> Formation and thus interfingers with this formation toward the basin m</w:t>
      </w:r>
      <w:r>
        <w:t xml:space="preserve">argins. </w:t>
      </w:r>
      <w:proofErr w:type="spellStart"/>
      <w:r>
        <w:t>Surlyk</w:t>
      </w:r>
      <w:proofErr w:type="spellEnd"/>
      <w:r>
        <w:t xml:space="preserve"> et al. (1986) suggested that the mudstones of the </w:t>
      </w:r>
      <w:proofErr w:type="spellStart"/>
      <w:r>
        <w:t>Ravnefjeld</w:t>
      </w:r>
      <w:proofErr w:type="spellEnd"/>
      <w:r>
        <w:t xml:space="preserve"> Formation were deposited in anoxic conditions under a stratified water column that had </w:t>
      </w:r>
      <w:proofErr w:type="gramStart"/>
      <w:r>
        <w:t>fairly shallow</w:t>
      </w:r>
      <w:proofErr w:type="gramEnd"/>
      <w:r>
        <w:t xml:space="preserve"> water depths. This relates to two organic-rich, laminated mudstone units, wher</w:t>
      </w:r>
      <w:r>
        <w:t xml:space="preserve">eas the remaining bioturbated siltstones represent periods with more </w:t>
      </w:r>
      <w:r>
        <w:t>oxygenated bottom-water conditions (</w:t>
      </w:r>
      <w:proofErr w:type="spellStart"/>
      <w:r>
        <w:t>Piasecki</w:t>
      </w:r>
      <w:proofErr w:type="spellEnd"/>
      <w:r>
        <w:t xml:space="preserve"> and </w:t>
      </w:r>
      <w:proofErr w:type="spellStart"/>
      <w:r>
        <w:t>Stemmerik</w:t>
      </w:r>
      <w:proofErr w:type="spellEnd"/>
      <w:r>
        <w:t xml:space="preserve">, 1991; Christiansen et al., 1993). The two organic-rich units commonly contain </w:t>
      </w:r>
      <w:proofErr w:type="spellStart"/>
      <w:r>
        <w:rPr>
          <w:i/>
        </w:rPr>
        <w:t>Tasmanites</w:t>
      </w:r>
      <w:proofErr w:type="spellEnd"/>
      <w:r>
        <w:t>, and the upper unit seems to represent</w:t>
      </w:r>
      <w:r>
        <w:t xml:space="preserve"> a major flooding event, which also transgressed basement highs (L. </w:t>
      </w:r>
      <w:proofErr w:type="spellStart"/>
      <w:r>
        <w:t>Stemmerik</w:t>
      </w:r>
      <w:proofErr w:type="spellEnd"/>
      <w:r>
        <w:t>, 1993, personal communication). The two organic-rich, high-gamma intervals in the cored succession off Norway have been correlated with these two units. The upper interval contai</w:t>
      </w:r>
      <w:r>
        <w:t xml:space="preserve">ns </w:t>
      </w:r>
      <w:proofErr w:type="spellStart"/>
      <w:r>
        <w:rPr>
          <w:i/>
        </w:rPr>
        <w:t>Tasmanites</w:t>
      </w:r>
      <w:proofErr w:type="spellEnd"/>
      <w:r>
        <w:rPr>
          <w:i/>
        </w:rPr>
        <w:t xml:space="preserve"> </w:t>
      </w:r>
      <w:r>
        <w:t xml:space="preserve">and may correspond with the flooding event described in the upper unit of the </w:t>
      </w:r>
      <w:proofErr w:type="spellStart"/>
      <w:r>
        <w:t>Ravnefjeld</w:t>
      </w:r>
      <w:proofErr w:type="spellEnd"/>
      <w:r>
        <w:t xml:space="preserve"> Formation on East Greenland. A widespread flooding and deposition of organic-rich, possibly oil-prone, mudstones could thus be suggested for most of the </w:t>
      </w:r>
      <w:proofErr w:type="spellStart"/>
      <w:r>
        <w:t>Trøndelag</w:t>
      </w:r>
      <w:proofErr w:type="spellEnd"/>
      <w:r>
        <w:t xml:space="preserve"> Platform. Simultaneous carbonate deposition and reef building probably occurred on structural highs. This paleogeographic setting is illustrated in Figure 15.</w:t>
      </w:r>
    </w:p>
    <w:p w14:paraId="24C9BFF0" w14:textId="77777777" w:rsidR="00A978F6" w:rsidRDefault="001A5B1A">
      <w:pPr>
        <w:ind w:left="0" w:right="11"/>
      </w:pPr>
      <w:r>
        <w:t>The siltstones and fine-grained sandstones in the upper part of the lower turbidite unit show signs of partial oxidation, indicating deposition in shallow water under more oxygenated conditions. A similar environment and similar lithologies are recorded in</w:t>
      </w:r>
      <w:r>
        <w:t xml:space="preserve"> the </w:t>
      </w:r>
      <w:proofErr w:type="spellStart"/>
      <w:r>
        <w:t>Schuchert</w:t>
      </w:r>
      <w:proofErr w:type="spellEnd"/>
      <w:r>
        <w:t xml:space="preserve"> Dal Formation on East Greenland. The previously mentioned sandy </w:t>
      </w:r>
      <w:proofErr w:type="spellStart"/>
      <w:r>
        <w:t>lowstand</w:t>
      </w:r>
      <w:proofErr w:type="spellEnd"/>
      <w:r>
        <w:t xml:space="preserve"> deposits of the </w:t>
      </w:r>
      <w:proofErr w:type="spellStart"/>
      <w:r>
        <w:t>Bredehorn</w:t>
      </w:r>
      <w:proofErr w:type="spellEnd"/>
      <w:r>
        <w:t xml:space="preserve"> Member on East Greenland seem to be lithological equivalents to the sandy turbidites in the lower part of the lower turbidite unit. Considerin</w:t>
      </w:r>
      <w:r>
        <w:t>g the proximal position of the core locations, the lower turbidite facies probably represents a period of low relative sea level before a rapid sea level rise that culminated in maximum flooding and deposition of the upper organic-rich interval. A relative</w:t>
      </w:r>
      <w:r>
        <w:t xml:space="preserve"> shallowing throughout the latest Permian is represented by the overlying siltstone/fine-grained sandstone interval.</w:t>
      </w:r>
    </w:p>
    <w:p w14:paraId="6AD52B1C" w14:textId="77777777" w:rsidR="00A978F6" w:rsidRDefault="001A5B1A">
      <w:pPr>
        <w:ind w:left="0" w:right="11"/>
      </w:pPr>
      <w:r>
        <w:t>The upper turbidite unit, which is characterized by massive and fining-upward sandy turbidites interbedded with laminated dark-gray siltsto</w:t>
      </w:r>
      <w:r>
        <w:t xml:space="preserve">nes, is correlated with the Wordie </w:t>
      </w:r>
      <w:proofErr w:type="spellStart"/>
      <w:r>
        <w:t>CreekFormationonEastGreenland</w:t>
      </w:r>
      <w:proofErr w:type="spellEnd"/>
      <w:r>
        <w:t>. They are of similar age, Early Triassic</w:t>
      </w:r>
    </w:p>
    <w:p w14:paraId="0EE3B19C" w14:textId="77777777" w:rsidR="00A978F6" w:rsidRDefault="001A5B1A">
      <w:pPr>
        <w:ind w:left="0" w:right="11" w:firstLine="0"/>
      </w:pPr>
      <w:r>
        <w:t>(</w:t>
      </w:r>
      <w:proofErr w:type="spellStart"/>
      <w:r>
        <w:t>Griesbachian</w:t>
      </w:r>
      <w:proofErr w:type="spellEnd"/>
      <w:r>
        <w:t xml:space="preserve">), and comprise turbidites deposited in a </w:t>
      </w:r>
      <w:proofErr w:type="spellStart"/>
      <w:r>
        <w:t>basinal</w:t>
      </w:r>
      <w:proofErr w:type="spellEnd"/>
      <w:r>
        <w:t xml:space="preserve"> slope setting. The main difference is that the basal shaly facies present in the Wordie</w:t>
      </w:r>
      <w:r>
        <w:t xml:space="preserve"> Creek Formation is not present in the cored section. The presence of evaporitic facies in the lower part of the upper turbidite unit suggests that the depositional basin was at least partially closed and subject to restricted water movements.</w:t>
      </w:r>
    </w:p>
    <w:p w14:paraId="50215875" w14:textId="77777777" w:rsidR="00A978F6" w:rsidRDefault="001A5B1A">
      <w:pPr>
        <w:pStyle w:val="1"/>
        <w:ind w:left="-5" w:right="46"/>
      </w:pPr>
      <w:r>
        <w:t xml:space="preserve">SUMMARY AND </w:t>
      </w:r>
      <w:r>
        <w:t>CONCLUSIONS</w:t>
      </w:r>
    </w:p>
    <w:p w14:paraId="2A4B4F7B" w14:textId="77777777" w:rsidR="00A978F6" w:rsidRDefault="001A5B1A">
      <w:pPr>
        <w:numPr>
          <w:ilvl w:val="0"/>
          <w:numId w:val="2"/>
        </w:numPr>
        <w:ind w:right="11" w:hanging="265"/>
      </w:pPr>
      <w:r>
        <w:t xml:space="preserve">Marine conditions prevailed on the </w:t>
      </w:r>
      <w:proofErr w:type="spellStart"/>
      <w:r>
        <w:t>Trøndelag</w:t>
      </w:r>
      <w:proofErr w:type="spellEnd"/>
      <w:r>
        <w:t xml:space="preserve"> Platform on the mid-Norwegian shelf during the Late Permian–Early Triassic. Shallow stratigraphic drilling close to the </w:t>
      </w:r>
      <w:r>
        <w:lastRenderedPageBreak/>
        <w:t>coast of Norway cored a 750 m– thick succession resting on Caledonian crystalli</w:t>
      </w:r>
      <w:r>
        <w:t>ne basement. The lower part of the succession is dated as Upper Permian (</w:t>
      </w:r>
      <w:proofErr w:type="spellStart"/>
      <w:r>
        <w:t>Ufimian</w:t>
      </w:r>
      <w:proofErr w:type="spellEnd"/>
      <w:r>
        <w:t>–lower Tatarian?) and the upper part as Lower Triassic (</w:t>
      </w:r>
      <w:proofErr w:type="spellStart"/>
      <w:r>
        <w:t>Griesbachian</w:t>
      </w:r>
      <w:proofErr w:type="spellEnd"/>
      <w:r>
        <w:t>).</w:t>
      </w:r>
    </w:p>
    <w:p w14:paraId="2634E665" w14:textId="77777777" w:rsidR="00A978F6" w:rsidRDefault="001A5B1A">
      <w:pPr>
        <w:numPr>
          <w:ilvl w:val="0"/>
          <w:numId w:val="2"/>
        </w:numPr>
        <w:ind w:right="11" w:hanging="265"/>
      </w:pPr>
      <w:r>
        <w:t xml:space="preserve">The cored succession is </w:t>
      </w:r>
      <w:proofErr w:type="gramStart"/>
      <w:r>
        <w:t>similar to</w:t>
      </w:r>
      <w:proofErr w:type="gramEnd"/>
      <w:r>
        <w:t xml:space="preserve"> the succession </w:t>
      </w:r>
      <w:proofErr w:type="spellStart"/>
      <w:r>
        <w:t>ofthe</w:t>
      </w:r>
      <w:proofErr w:type="spellEnd"/>
      <w:r>
        <w:t xml:space="preserve"> same age outcropping onshore in East Greenland. T</w:t>
      </w:r>
      <w:r>
        <w:t xml:space="preserve">he cored units are correlated with the </w:t>
      </w:r>
      <w:proofErr w:type="spellStart"/>
      <w:r>
        <w:t>Huledal</w:t>
      </w:r>
      <w:proofErr w:type="spellEnd"/>
      <w:r>
        <w:t xml:space="preserve">, </w:t>
      </w:r>
      <w:proofErr w:type="spellStart"/>
      <w:r>
        <w:t>Karstryggen</w:t>
      </w:r>
      <w:proofErr w:type="spellEnd"/>
      <w:r>
        <w:t xml:space="preserve">, </w:t>
      </w:r>
      <w:proofErr w:type="spellStart"/>
      <w:r>
        <w:t>Ravnefjeld</w:t>
      </w:r>
      <w:proofErr w:type="spellEnd"/>
      <w:r>
        <w:t xml:space="preserve">, </w:t>
      </w:r>
      <w:proofErr w:type="spellStart"/>
      <w:r>
        <w:t>Schuchert</w:t>
      </w:r>
      <w:proofErr w:type="spellEnd"/>
      <w:r>
        <w:t xml:space="preserve"> Dal, and Wordie Creek formations. This suggests that East Greenland and the mid-Norwegian shelf formed the western and eastern margins of the same sedimentary basin during t</w:t>
      </w:r>
      <w:r>
        <w:t>he Late Permian–Early Triassic. The eastern boundary extended much farther east than previously assumed and probably coincided with the present coastline.</w:t>
      </w:r>
    </w:p>
    <w:p w14:paraId="567779D2" w14:textId="77777777" w:rsidR="00A978F6" w:rsidRDefault="001A5B1A">
      <w:pPr>
        <w:numPr>
          <w:ilvl w:val="0"/>
          <w:numId w:val="2"/>
        </w:numPr>
        <w:ind w:right="11" w:hanging="265"/>
      </w:pPr>
      <w:r>
        <w:t xml:space="preserve">The cored sediments were deposited in a </w:t>
      </w:r>
      <w:proofErr w:type="spellStart"/>
      <w:r>
        <w:t>proximalposition</w:t>
      </w:r>
      <w:proofErr w:type="spellEnd"/>
      <w:r>
        <w:t xml:space="preserve"> close to the </w:t>
      </w:r>
      <w:proofErr w:type="spellStart"/>
      <w:r>
        <w:t>paleocoastline</w:t>
      </w:r>
      <w:proofErr w:type="spellEnd"/>
      <w:r>
        <w:t xml:space="preserve"> and are characte</w:t>
      </w:r>
      <w:r>
        <w:t>rized by high terrestrial input and provenance from the local bedrock, including the Caledonian basement. The lower 170 m comprise a reddish shallow-marine sandstone, which probably had its provenance in an older fine-grained sandstone that probably rested</w:t>
      </w:r>
      <w:r>
        <w:t xml:space="preserve"> on the Caledonian basement in the present-day skerry zone, where no sedimentary rocks are known to exist today. The most likely age of the provenance sandstone is Late Devonian– Early Permian.</w:t>
      </w:r>
    </w:p>
    <w:p w14:paraId="408951EB" w14:textId="77777777" w:rsidR="00A978F6" w:rsidRDefault="001A5B1A">
      <w:pPr>
        <w:numPr>
          <w:ilvl w:val="0"/>
          <w:numId w:val="2"/>
        </w:numPr>
        <w:ind w:right="11" w:hanging="265"/>
      </w:pPr>
      <w:r>
        <w:t xml:space="preserve">Two high-gamma, organic-rich intervals occur </w:t>
      </w:r>
      <w:proofErr w:type="spellStart"/>
      <w:r>
        <w:t>inthe</w:t>
      </w:r>
      <w:proofErr w:type="spellEnd"/>
      <w:r>
        <w:t xml:space="preserve"> upper part </w:t>
      </w:r>
      <w:r>
        <w:t xml:space="preserve">of the Permian succession. This clearly demonstrates that potential source rocks occur in the Upper Paleozoic succession on the </w:t>
      </w:r>
      <w:proofErr w:type="spellStart"/>
      <w:r>
        <w:t>midNorwegian</w:t>
      </w:r>
      <w:proofErr w:type="spellEnd"/>
      <w:r>
        <w:t xml:space="preserve"> shelf. They have at best a moderate liquid hydrocarbon potential at the coring site but can be correlated with the </w:t>
      </w:r>
      <w:r>
        <w:t xml:space="preserve">oil-prone source rocks of the </w:t>
      </w:r>
      <w:proofErr w:type="spellStart"/>
      <w:r>
        <w:t>Ravnefjeld</w:t>
      </w:r>
      <w:proofErr w:type="spellEnd"/>
      <w:r>
        <w:t xml:space="preserve"> Formation of East Greenland. The </w:t>
      </w:r>
      <w:proofErr w:type="spellStart"/>
      <w:r>
        <w:t>Ravnefjeld</w:t>
      </w:r>
      <w:proofErr w:type="spellEnd"/>
      <w:r>
        <w:t xml:space="preserve"> Formation is a </w:t>
      </w:r>
      <w:proofErr w:type="spellStart"/>
      <w:r>
        <w:t>basinal</w:t>
      </w:r>
      <w:proofErr w:type="spellEnd"/>
      <w:r>
        <w:t xml:space="preserve"> equivalent to the carbonates and reefs of the Wegener </w:t>
      </w:r>
      <w:proofErr w:type="spellStart"/>
      <w:r>
        <w:t>Halvø</w:t>
      </w:r>
      <w:proofErr w:type="spellEnd"/>
      <w:r>
        <w:t xml:space="preserve"> Formation deposited on structural highs. The cores did not penetrate any carbonates </w:t>
      </w:r>
      <w:proofErr w:type="spellStart"/>
      <w:r>
        <w:t>equi</w:t>
      </w:r>
      <w:r>
        <w:t>valenttotheWegener</w:t>
      </w:r>
      <w:proofErr w:type="spellEnd"/>
      <w:r>
        <w:t xml:space="preserve"> </w:t>
      </w:r>
      <w:proofErr w:type="spellStart"/>
      <w:r>
        <w:t>Halvø</w:t>
      </w:r>
      <w:proofErr w:type="spellEnd"/>
      <w:r>
        <w:t xml:space="preserve"> Formation, but carbonates and reworked reef-building organisms are found in an exploration well (6609/7-1) on the </w:t>
      </w:r>
      <w:proofErr w:type="spellStart"/>
      <w:r>
        <w:t>Nordland</w:t>
      </w:r>
      <w:proofErr w:type="spellEnd"/>
      <w:r>
        <w:t xml:space="preserve"> Ridge, as well as in rock fragments in the cored sandstones at the studied localities. This suggests a paleo</w:t>
      </w:r>
      <w:r>
        <w:t xml:space="preserve">geographic model for the </w:t>
      </w:r>
      <w:proofErr w:type="spellStart"/>
      <w:r>
        <w:t>Trøndelag</w:t>
      </w:r>
      <w:proofErr w:type="spellEnd"/>
      <w:r>
        <w:t xml:space="preserve"> Platform with local basins and structural highs. Source rocks equivalent to the </w:t>
      </w:r>
      <w:proofErr w:type="spellStart"/>
      <w:r>
        <w:t>Ravnefjeld</w:t>
      </w:r>
      <w:proofErr w:type="spellEnd"/>
      <w:r>
        <w:t xml:space="preserve"> Formation were probably deposited in local basins having periodic anoxic conditions, and carbonates were deposited on the </w:t>
      </w:r>
      <w:proofErr w:type="spellStart"/>
      <w:proofErr w:type="gramStart"/>
      <w:r>
        <w:t>highs,wh</w:t>
      </w:r>
      <w:r>
        <w:t>erereefbuilding</w:t>
      </w:r>
      <w:proofErr w:type="spellEnd"/>
      <w:proofErr w:type="gramEnd"/>
      <w:r>
        <w:t xml:space="preserve"> also occurred.</w:t>
      </w:r>
    </w:p>
    <w:p w14:paraId="6F187C09" w14:textId="77777777" w:rsidR="00A978F6" w:rsidRDefault="001A5B1A">
      <w:pPr>
        <w:numPr>
          <w:ilvl w:val="0"/>
          <w:numId w:val="2"/>
        </w:numPr>
        <w:ind w:right="11" w:hanging="265"/>
      </w:pPr>
      <w:r>
        <w:t xml:space="preserve">Several sandstone intervals were stained with </w:t>
      </w:r>
      <w:proofErr w:type="spellStart"/>
      <w:proofErr w:type="gramStart"/>
      <w:r>
        <w:t>light,nonbiodegraded</w:t>
      </w:r>
      <w:proofErr w:type="spellEnd"/>
      <w:proofErr w:type="gramEnd"/>
      <w:r>
        <w:t xml:space="preserve"> oil. No possible migration route exists for hydrocarbons from the known Jurassic source rocks in the area into the Upper Permian sandstones. Geochemical corre</w:t>
      </w:r>
      <w:r>
        <w:t xml:space="preserve">lation analyses allow no definite conclusion, but it is suggested that the oil was generated in Upper Permian mudstones or in </w:t>
      </w:r>
      <w:proofErr w:type="spellStart"/>
      <w:r>
        <w:t>basinal</w:t>
      </w:r>
      <w:proofErr w:type="spellEnd"/>
      <w:r>
        <w:t xml:space="preserve"> equivalents to the thin, organic-rich siltstone layers in the Lower Triassic succession.</w:t>
      </w:r>
    </w:p>
    <w:p w14:paraId="195B530B" w14:textId="77777777" w:rsidR="00A978F6" w:rsidRDefault="001A5B1A">
      <w:pPr>
        <w:numPr>
          <w:ilvl w:val="0"/>
          <w:numId w:val="2"/>
        </w:numPr>
        <w:spacing w:after="516"/>
        <w:ind w:right="11" w:hanging="265"/>
      </w:pPr>
      <w:r>
        <w:t>The present article has proved th</w:t>
      </w:r>
      <w:r>
        <w:t xml:space="preserve">e possibility </w:t>
      </w:r>
      <w:proofErr w:type="spellStart"/>
      <w:r>
        <w:t>fornew</w:t>
      </w:r>
      <w:proofErr w:type="spellEnd"/>
      <w:r>
        <w:t xml:space="preserve"> play concepts on the </w:t>
      </w:r>
      <w:proofErr w:type="spellStart"/>
      <w:r>
        <w:t>Trøndelag</w:t>
      </w:r>
      <w:proofErr w:type="spellEnd"/>
      <w:r>
        <w:t xml:space="preserve"> Platform that have an Upper Permian oil-prone source rock substituting for the typical Upper Jurassic source rock, which is generally immature in this area. Reservoirs could be in Permian carbonates/reefs</w:t>
      </w:r>
      <w:r>
        <w:t xml:space="preserve"> on local structural highs or in Middle–Lower Jurassic, Triassic, or Upper Permian sandstones.</w:t>
      </w:r>
    </w:p>
    <w:p w14:paraId="5F8D8484" w14:textId="77777777" w:rsidR="00A978F6" w:rsidRDefault="001A5B1A">
      <w:pPr>
        <w:pStyle w:val="1"/>
        <w:ind w:left="-5" w:right="46"/>
      </w:pPr>
      <w:r>
        <w:t>REFERENCES CITED</w:t>
      </w:r>
    </w:p>
    <w:p w14:paraId="5321ACA5" w14:textId="77777777" w:rsidR="00A978F6" w:rsidRDefault="001A5B1A">
      <w:pPr>
        <w:spacing w:after="3" w:line="259" w:lineRule="auto"/>
        <w:ind w:left="354" w:right="-8" w:hanging="369"/>
      </w:pPr>
      <w:proofErr w:type="spellStart"/>
      <w:r>
        <w:rPr>
          <w:sz w:val="16"/>
        </w:rPr>
        <w:t>Blystad</w:t>
      </w:r>
      <w:proofErr w:type="spellEnd"/>
      <w:r>
        <w:rPr>
          <w:sz w:val="16"/>
        </w:rPr>
        <w:t xml:space="preserve">, P., H. Brekke, R. B. </w:t>
      </w:r>
      <w:proofErr w:type="spellStart"/>
      <w:r>
        <w:rPr>
          <w:sz w:val="16"/>
        </w:rPr>
        <w:t>Færseth</w:t>
      </w:r>
      <w:proofErr w:type="spellEnd"/>
      <w:r>
        <w:rPr>
          <w:sz w:val="16"/>
        </w:rPr>
        <w:t xml:space="preserve">, B. T. Larsen, J. </w:t>
      </w:r>
      <w:proofErr w:type="spellStart"/>
      <w:r>
        <w:rPr>
          <w:sz w:val="16"/>
        </w:rPr>
        <w:t>Skogseid</w:t>
      </w:r>
      <w:proofErr w:type="spellEnd"/>
      <w:r>
        <w:rPr>
          <w:sz w:val="16"/>
        </w:rPr>
        <w:t xml:space="preserve">, and B. </w:t>
      </w:r>
      <w:proofErr w:type="spellStart"/>
      <w:r>
        <w:rPr>
          <w:sz w:val="16"/>
        </w:rPr>
        <w:t>Tørudbakken</w:t>
      </w:r>
      <w:proofErr w:type="spellEnd"/>
      <w:r>
        <w:rPr>
          <w:sz w:val="16"/>
        </w:rPr>
        <w:t>, 1995, Structural elements of the Norwegian continental she</w:t>
      </w:r>
      <w:r>
        <w:rPr>
          <w:sz w:val="16"/>
        </w:rPr>
        <w:t xml:space="preserve">lf, part II: the Norwegian Sea </w:t>
      </w:r>
      <w:proofErr w:type="spellStart"/>
      <w:proofErr w:type="gramStart"/>
      <w:r>
        <w:rPr>
          <w:sz w:val="16"/>
        </w:rPr>
        <w:t>region:Norwegian</w:t>
      </w:r>
      <w:proofErr w:type="spellEnd"/>
      <w:proofErr w:type="gramEnd"/>
      <w:r>
        <w:rPr>
          <w:sz w:val="16"/>
        </w:rPr>
        <w:t xml:space="preserve"> Petroleum Directorate Bulletin 8, 45 p.</w:t>
      </w:r>
    </w:p>
    <w:p w14:paraId="4DE916F9" w14:textId="77777777" w:rsidR="00A978F6" w:rsidRDefault="001A5B1A">
      <w:pPr>
        <w:spacing w:after="3" w:line="259" w:lineRule="auto"/>
        <w:ind w:left="354" w:right="-8" w:hanging="369"/>
      </w:pPr>
      <w:r>
        <w:rPr>
          <w:sz w:val="16"/>
        </w:rPr>
        <w:t xml:space="preserve">Bouma, A. H., 1962, Sedimentology of some flysch deposits: a graphic approach to facies </w:t>
      </w:r>
      <w:proofErr w:type="spellStart"/>
      <w:proofErr w:type="gramStart"/>
      <w:r>
        <w:rPr>
          <w:sz w:val="16"/>
        </w:rPr>
        <w:t>interpretation:Amsterdam</w:t>
      </w:r>
      <w:proofErr w:type="gramEnd"/>
      <w:r>
        <w:rPr>
          <w:sz w:val="16"/>
        </w:rPr>
        <w:t>,Elsevier</w:t>
      </w:r>
      <w:proofErr w:type="spellEnd"/>
      <w:r>
        <w:rPr>
          <w:sz w:val="16"/>
        </w:rPr>
        <w:t>, 168 p.</w:t>
      </w:r>
    </w:p>
    <w:p w14:paraId="022330EB" w14:textId="77777777" w:rsidR="00A978F6" w:rsidRDefault="001A5B1A">
      <w:pPr>
        <w:spacing w:after="3" w:line="259" w:lineRule="auto"/>
        <w:ind w:left="354" w:right="-8" w:hanging="369"/>
      </w:pPr>
      <w:proofErr w:type="spellStart"/>
      <w:r>
        <w:rPr>
          <w:sz w:val="16"/>
        </w:rPr>
        <w:t>Bugge</w:t>
      </w:r>
      <w:proofErr w:type="spellEnd"/>
      <w:r>
        <w:rPr>
          <w:sz w:val="16"/>
        </w:rPr>
        <w:t xml:space="preserve">, T., R. </w:t>
      </w:r>
      <w:proofErr w:type="spellStart"/>
      <w:r>
        <w:rPr>
          <w:sz w:val="16"/>
        </w:rPr>
        <w:t>Knarud</w:t>
      </w:r>
      <w:proofErr w:type="spellEnd"/>
      <w:r>
        <w:rPr>
          <w:sz w:val="16"/>
        </w:rPr>
        <w:t xml:space="preserve">, and A. </w:t>
      </w:r>
      <w:proofErr w:type="spellStart"/>
      <w:r>
        <w:rPr>
          <w:sz w:val="16"/>
        </w:rPr>
        <w:t>Mørk</w:t>
      </w:r>
      <w:proofErr w:type="spellEnd"/>
      <w:r>
        <w:rPr>
          <w:sz w:val="16"/>
        </w:rPr>
        <w:t xml:space="preserve">, 1984, Bedrock geology on the mid-Norwegian continental shelf, </w:t>
      </w:r>
      <w:r>
        <w:rPr>
          <w:i/>
          <w:sz w:val="16"/>
        </w:rPr>
        <w:t xml:space="preserve">in </w:t>
      </w:r>
      <w:r>
        <w:rPr>
          <w:sz w:val="16"/>
        </w:rPr>
        <w:t>A. M. Spencer et al., eds., Petroleum geology of the north European margin: Norwegian Petroleum Society and London, Graham and Trotman, p. 271– 283.</w:t>
      </w:r>
    </w:p>
    <w:p w14:paraId="1B184E69" w14:textId="77777777" w:rsidR="00A978F6" w:rsidRDefault="001A5B1A">
      <w:pPr>
        <w:spacing w:after="3" w:line="259" w:lineRule="auto"/>
        <w:ind w:left="354" w:right="-8" w:hanging="369"/>
      </w:pPr>
      <w:proofErr w:type="spellStart"/>
      <w:r>
        <w:rPr>
          <w:sz w:val="16"/>
        </w:rPr>
        <w:t>Bugge</w:t>
      </w:r>
      <w:proofErr w:type="spellEnd"/>
      <w:r>
        <w:rPr>
          <w:sz w:val="16"/>
        </w:rPr>
        <w:t xml:space="preserve">, </w:t>
      </w:r>
      <w:r>
        <w:rPr>
          <w:sz w:val="16"/>
        </w:rPr>
        <w:t xml:space="preserve">T., G. </w:t>
      </w:r>
      <w:proofErr w:type="spellStart"/>
      <w:r>
        <w:rPr>
          <w:sz w:val="16"/>
        </w:rPr>
        <w:t>Mangerud</w:t>
      </w:r>
      <w:proofErr w:type="spellEnd"/>
      <w:r>
        <w:rPr>
          <w:sz w:val="16"/>
        </w:rPr>
        <w:t xml:space="preserve">, A. </w:t>
      </w:r>
      <w:proofErr w:type="spellStart"/>
      <w:r>
        <w:rPr>
          <w:sz w:val="16"/>
        </w:rPr>
        <w:t>Mørk</w:t>
      </w:r>
      <w:proofErr w:type="spellEnd"/>
      <w:r>
        <w:rPr>
          <w:sz w:val="16"/>
        </w:rPr>
        <w:t xml:space="preserve">, I. Nilsson, G. </w:t>
      </w:r>
      <w:proofErr w:type="spellStart"/>
      <w:r>
        <w:rPr>
          <w:sz w:val="16"/>
        </w:rPr>
        <w:t>Elvebakk</w:t>
      </w:r>
      <w:proofErr w:type="spellEnd"/>
      <w:r>
        <w:rPr>
          <w:sz w:val="16"/>
        </w:rPr>
        <w:t xml:space="preserve">, S. </w:t>
      </w:r>
      <w:proofErr w:type="spellStart"/>
      <w:r>
        <w:rPr>
          <w:sz w:val="16"/>
        </w:rPr>
        <w:t>Fanavoll</w:t>
      </w:r>
      <w:proofErr w:type="spellEnd"/>
      <w:r>
        <w:rPr>
          <w:sz w:val="16"/>
        </w:rPr>
        <w:t xml:space="preserve">, and J. O. </w:t>
      </w:r>
      <w:proofErr w:type="spellStart"/>
      <w:r>
        <w:rPr>
          <w:sz w:val="16"/>
        </w:rPr>
        <w:t>Vigran</w:t>
      </w:r>
      <w:proofErr w:type="spellEnd"/>
      <w:r>
        <w:rPr>
          <w:sz w:val="16"/>
        </w:rPr>
        <w:t xml:space="preserve">, 1995, The upper Paleozoic succession on the </w:t>
      </w:r>
      <w:proofErr w:type="spellStart"/>
      <w:r>
        <w:rPr>
          <w:sz w:val="16"/>
        </w:rPr>
        <w:t>Finnmark</w:t>
      </w:r>
      <w:proofErr w:type="spellEnd"/>
      <w:r>
        <w:rPr>
          <w:sz w:val="16"/>
        </w:rPr>
        <w:t xml:space="preserve"> Platform, Barents Sea: </w:t>
      </w:r>
      <w:proofErr w:type="spellStart"/>
      <w:r>
        <w:rPr>
          <w:sz w:val="16"/>
        </w:rPr>
        <w:t>Norsk</w:t>
      </w:r>
      <w:proofErr w:type="spellEnd"/>
      <w:r>
        <w:rPr>
          <w:sz w:val="16"/>
        </w:rPr>
        <w:t xml:space="preserve"> </w:t>
      </w:r>
      <w:proofErr w:type="spellStart"/>
      <w:r>
        <w:rPr>
          <w:sz w:val="16"/>
        </w:rPr>
        <w:t>Geologisk</w:t>
      </w:r>
      <w:proofErr w:type="spellEnd"/>
      <w:r>
        <w:rPr>
          <w:sz w:val="16"/>
        </w:rPr>
        <w:t xml:space="preserve"> </w:t>
      </w:r>
      <w:proofErr w:type="spellStart"/>
      <w:r>
        <w:rPr>
          <w:sz w:val="16"/>
        </w:rPr>
        <w:t>Tidsskrift</w:t>
      </w:r>
      <w:proofErr w:type="spellEnd"/>
      <w:r>
        <w:rPr>
          <w:sz w:val="16"/>
        </w:rPr>
        <w:t>, v. 75, p. 3–30.</w:t>
      </w:r>
    </w:p>
    <w:p w14:paraId="0E84DDFA" w14:textId="77777777" w:rsidR="00A978F6" w:rsidRDefault="001A5B1A">
      <w:pPr>
        <w:spacing w:after="3" w:line="259" w:lineRule="auto"/>
        <w:ind w:left="354" w:right="-8" w:hanging="369"/>
      </w:pPr>
      <w:proofErr w:type="spellStart"/>
      <w:r>
        <w:rPr>
          <w:sz w:val="16"/>
        </w:rPr>
        <w:t>Bukovics</w:t>
      </w:r>
      <w:proofErr w:type="spellEnd"/>
      <w:r>
        <w:rPr>
          <w:sz w:val="16"/>
        </w:rPr>
        <w:t>, C., and P. A. Ziegler, 1985, Tectonic develo</w:t>
      </w:r>
      <w:r>
        <w:rPr>
          <w:sz w:val="16"/>
        </w:rPr>
        <w:t xml:space="preserve">pment of the mid-Norwegian continental margin: Marine </w:t>
      </w:r>
      <w:proofErr w:type="spellStart"/>
      <w:r>
        <w:rPr>
          <w:sz w:val="16"/>
        </w:rPr>
        <w:t>andPetroleumGeology</w:t>
      </w:r>
      <w:proofErr w:type="spellEnd"/>
      <w:r>
        <w:rPr>
          <w:sz w:val="16"/>
        </w:rPr>
        <w:t>, v. 2, p. 2–22.</w:t>
      </w:r>
    </w:p>
    <w:p w14:paraId="1A448369" w14:textId="77777777" w:rsidR="00A978F6" w:rsidRDefault="001A5B1A">
      <w:pPr>
        <w:spacing w:after="3" w:line="259" w:lineRule="auto"/>
        <w:ind w:left="354" w:right="-8" w:hanging="369"/>
      </w:pPr>
      <w:r>
        <w:rPr>
          <w:sz w:val="16"/>
        </w:rPr>
        <w:t xml:space="preserve">Christiansen, F. G., S. </w:t>
      </w:r>
      <w:proofErr w:type="spellStart"/>
      <w:r>
        <w:rPr>
          <w:sz w:val="16"/>
        </w:rPr>
        <w:t>Piasecki</w:t>
      </w:r>
      <w:proofErr w:type="spellEnd"/>
      <w:r>
        <w:rPr>
          <w:sz w:val="16"/>
        </w:rPr>
        <w:t xml:space="preserve">, L. </w:t>
      </w:r>
      <w:proofErr w:type="spellStart"/>
      <w:r>
        <w:rPr>
          <w:sz w:val="16"/>
        </w:rPr>
        <w:t>Stemmerik</w:t>
      </w:r>
      <w:proofErr w:type="spellEnd"/>
      <w:r>
        <w:rPr>
          <w:sz w:val="16"/>
        </w:rPr>
        <w:t xml:space="preserve">, and N. </w:t>
      </w:r>
      <w:proofErr w:type="spellStart"/>
      <w:r>
        <w:rPr>
          <w:sz w:val="16"/>
        </w:rPr>
        <w:t>Telnæs</w:t>
      </w:r>
      <w:proofErr w:type="spellEnd"/>
      <w:r>
        <w:rPr>
          <w:sz w:val="16"/>
        </w:rPr>
        <w:t xml:space="preserve">, 1993, Depositional environment and organic geochemistry of </w:t>
      </w:r>
      <w:proofErr w:type="spellStart"/>
      <w:r>
        <w:rPr>
          <w:sz w:val="16"/>
        </w:rPr>
        <w:t>theUpper</w:t>
      </w:r>
      <w:proofErr w:type="spellEnd"/>
      <w:r>
        <w:rPr>
          <w:sz w:val="16"/>
        </w:rPr>
        <w:t xml:space="preserve"> Permian </w:t>
      </w:r>
      <w:proofErr w:type="spellStart"/>
      <w:r>
        <w:rPr>
          <w:sz w:val="16"/>
        </w:rPr>
        <w:t>Ravnefjeld</w:t>
      </w:r>
      <w:proofErr w:type="spellEnd"/>
      <w:r>
        <w:rPr>
          <w:sz w:val="16"/>
        </w:rPr>
        <w:t xml:space="preserve"> Formation source</w:t>
      </w:r>
      <w:r>
        <w:rPr>
          <w:sz w:val="16"/>
        </w:rPr>
        <w:t xml:space="preserve"> rock in East Greenland: AAPG Bulletin, v. 77, p. 1519–1537.</w:t>
      </w:r>
    </w:p>
    <w:p w14:paraId="5172007A" w14:textId="77777777" w:rsidR="00A978F6" w:rsidRDefault="001A5B1A">
      <w:pPr>
        <w:spacing w:after="3" w:line="259" w:lineRule="auto"/>
        <w:ind w:left="354" w:right="-8" w:hanging="369"/>
      </w:pPr>
      <w:r>
        <w:rPr>
          <w:sz w:val="16"/>
        </w:rPr>
        <w:t xml:space="preserve">Clifton, H. E., and J. K. Thompson, 1978, </w:t>
      </w:r>
      <w:proofErr w:type="spellStart"/>
      <w:r>
        <w:rPr>
          <w:i/>
          <w:sz w:val="16"/>
        </w:rPr>
        <w:t>Macaronichnus</w:t>
      </w:r>
      <w:proofErr w:type="spellEnd"/>
      <w:r>
        <w:rPr>
          <w:i/>
          <w:sz w:val="16"/>
        </w:rPr>
        <w:t xml:space="preserve"> </w:t>
      </w:r>
      <w:proofErr w:type="spellStart"/>
      <w:r>
        <w:rPr>
          <w:i/>
          <w:sz w:val="16"/>
        </w:rPr>
        <w:t>segregatis</w:t>
      </w:r>
      <w:proofErr w:type="spellEnd"/>
      <w:r>
        <w:rPr>
          <w:sz w:val="16"/>
        </w:rPr>
        <w:t xml:space="preserve">—a feeding structure of shallow marine </w:t>
      </w:r>
      <w:proofErr w:type="spellStart"/>
      <w:r>
        <w:rPr>
          <w:sz w:val="16"/>
        </w:rPr>
        <w:t>polychaetes</w:t>
      </w:r>
      <w:proofErr w:type="spellEnd"/>
      <w:r>
        <w:rPr>
          <w:sz w:val="16"/>
        </w:rPr>
        <w:t>: Journal of Sedimentary Petrology, v. 48, p. 1293–1302.</w:t>
      </w:r>
    </w:p>
    <w:p w14:paraId="1D891E0A" w14:textId="77777777" w:rsidR="00A978F6" w:rsidRDefault="001A5B1A">
      <w:pPr>
        <w:spacing w:after="0" w:line="256" w:lineRule="auto"/>
        <w:ind w:left="359" w:right="0" w:hanging="359"/>
        <w:jc w:val="left"/>
      </w:pPr>
      <w:r>
        <w:rPr>
          <w:sz w:val="16"/>
        </w:rPr>
        <w:t>Dore´, A. G., 1991, Th</w:t>
      </w:r>
      <w:r>
        <w:rPr>
          <w:sz w:val="16"/>
        </w:rPr>
        <w:t xml:space="preserve">e structural foundation and evolution of Mesozoic seaways between Europe and the Arctic: </w:t>
      </w:r>
      <w:proofErr w:type="spellStart"/>
      <w:r>
        <w:rPr>
          <w:sz w:val="16"/>
        </w:rPr>
        <w:t>Palaeogeography</w:t>
      </w:r>
      <w:proofErr w:type="spellEnd"/>
      <w:r>
        <w:rPr>
          <w:sz w:val="16"/>
        </w:rPr>
        <w:t xml:space="preserve">, Palaeoclimatology, </w:t>
      </w:r>
      <w:proofErr w:type="spellStart"/>
      <w:r>
        <w:rPr>
          <w:sz w:val="16"/>
        </w:rPr>
        <w:t>Palaeoecology</w:t>
      </w:r>
      <w:proofErr w:type="spellEnd"/>
      <w:r>
        <w:rPr>
          <w:sz w:val="16"/>
        </w:rPr>
        <w:t>, v. 87, p. 441–492.</w:t>
      </w:r>
    </w:p>
    <w:p w14:paraId="305237AE" w14:textId="77777777" w:rsidR="00A978F6" w:rsidRDefault="001A5B1A">
      <w:pPr>
        <w:spacing w:after="3" w:line="259" w:lineRule="auto"/>
        <w:ind w:left="354" w:right="-8" w:hanging="369"/>
      </w:pPr>
      <w:r>
        <w:rPr>
          <w:sz w:val="16"/>
        </w:rPr>
        <w:t>Jacobsen, V. W., and P. van Veen, 1984, The Triassic offshore Norway north of 62</w:t>
      </w:r>
      <w:r>
        <w:rPr>
          <w:rFonts w:ascii="Calibri" w:eastAsia="Calibri" w:hAnsi="Calibri" w:cs="Calibri"/>
          <w:sz w:val="16"/>
          <w:vertAlign w:val="superscript"/>
        </w:rPr>
        <w:t>o</w:t>
      </w:r>
      <w:r>
        <w:rPr>
          <w:sz w:val="16"/>
        </w:rPr>
        <w:t xml:space="preserve">N, </w:t>
      </w:r>
      <w:r>
        <w:rPr>
          <w:i/>
          <w:sz w:val="16"/>
        </w:rPr>
        <w:t xml:space="preserve">in </w:t>
      </w:r>
      <w:r>
        <w:rPr>
          <w:sz w:val="16"/>
        </w:rPr>
        <w:t>A. M. Spen</w:t>
      </w:r>
      <w:r>
        <w:rPr>
          <w:sz w:val="16"/>
        </w:rPr>
        <w:t>cer et al., eds., Petroleum geology of the north European margin: Norwegian Petroleum Society and London, Graham and Trotman, p. 319–327.</w:t>
      </w:r>
    </w:p>
    <w:p w14:paraId="5D2EE414" w14:textId="77777777" w:rsidR="00A978F6" w:rsidRDefault="001A5B1A">
      <w:pPr>
        <w:spacing w:after="3" w:line="259" w:lineRule="auto"/>
        <w:ind w:left="354" w:right="-8" w:hanging="369"/>
      </w:pPr>
      <w:r>
        <w:rPr>
          <w:sz w:val="16"/>
        </w:rPr>
        <w:t>Karlsen, D. A., B. Nyland, B. Flood, S. E. Ohm, T. Brekke, S. Olsen, and K. Backer-Owe, 1995, Petroleum geochemistry o</w:t>
      </w:r>
      <w:r>
        <w:rPr>
          <w:sz w:val="16"/>
        </w:rPr>
        <w:t xml:space="preserve">f </w:t>
      </w:r>
      <w:proofErr w:type="spellStart"/>
      <w:r>
        <w:rPr>
          <w:sz w:val="16"/>
        </w:rPr>
        <w:t>theHaltenbanken</w:t>
      </w:r>
      <w:proofErr w:type="spellEnd"/>
      <w:r>
        <w:rPr>
          <w:sz w:val="16"/>
        </w:rPr>
        <w:t xml:space="preserve">, Norwegian continental shelf., </w:t>
      </w:r>
      <w:r>
        <w:rPr>
          <w:i/>
          <w:sz w:val="16"/>
        </w:rPr>
        <w:t xml:space="preserve">in </w:t>
      </w:r>
      <w:r>
        <w:rPr>
          <w:sz w:val="16"/>
        </w:rPr>
        <w:t xml:space="preserve">J. M. E. </w:t>
      </w:r>
      <w:proofErr w:type="spellStart"/>
      <w:r>
        <w:rPr>
          <w:sz w:val="16"/>
        </w:rPr>
        <w:t>Cubittand</w:t>
      </w:r>
      <w:proofErr w:type="spellEnd"/>
      <w:r>
        <w:rPr>
          <w:sz w:val="16"/>
        </w:rPr>
        <w:t xml:space="preserve"> W. A. England, eds., The </w:t>
      </w:r>
      <w:proofErr w:type="spellStart"/>
      <w:proofErr w:type="gramStart"/>
      <w:r>
        <w:rPr>
          <w:sz w:val="16"/>
        </w:rPr>
        <w:t>geochemistryofreservoirs:Geological</w:t>
      </w:r>
      <w:proofErr w:type="spellEnd"/>
      <w:proofErr w:type="gramEnd"/>
      <w:r>
        <w:rPr>
          <w:sz w:val="16"/>
        </w:rPr>
        <w:t xml:space="preserve"> Society Special Publication 86, p. 203–256.</w:t>
      </w:r>
    </w:p>
    <w:p w14:paraId="6AF0B33F" w14:textId="77777777" w:rsidR="00A978F6" w:rsidRDefault="001A5B1A">
      <w:pPr>
        <w:spacing w:after="3" w:line="259" w:lineRule="auto"/>
        <w:ind w:left="354" w:right="-8" w:hanging="369"/>
      </w:pPr>
      <w:proofErr w:type="spellStart"/>
      <w:r>
        <w:rPr>
          <w:sz w:val="16"/>
        </w:rPr>
        <w:t>Kreiner-Møller</w:t>
      </w:r>
      <w:proofErr w:type="spellEnd"/>
      <w:r>
        <w:rPr>
          <w:sz w:val="16"/>
        </w:rPr>
        <w:t xml:space="preserve">, M., and L. </w:t>
      </w:r>
      <w:proofErr w:type="spellStart"/>
      <w:r>
        <w:rPr>
          <w:sz w:val="16"/>
        </w:rPr>
        <w:t>Stemmerik</w:t>
      </w:r>
      <w:proofErr w:type="spellEnd"/>
      <w:r>
        <w:rPr>
          <w:sz w:val="16"/>
        </w:rPr>
        <w:t xml:space="preserve">, 2001, Upper Permian </w:t>
      </w:r>
      <w:proofErr w:type="spellStart"/>
      <w:r>
        <w:rPr>
          <w:sz w:val="16"/>
        </w:rPr>
        <w:t>lowstand</w:t>
      </w:r>
      <w:proofErr w:type="spellEnd"/>
      <w:r>
        <w:rPr>
          <w:sz w:val="16"/>
        </w:rPr>
        <w:t xml:space="preserve"> fans of the </w:t>
      </w:r>
      <w:proofErr w:type="spellStart"/>
      <w:r>
        <w:rPr>
          <w:sz w:val="16"/>
        </w:rPr>
        <w:t>B</w:t>
      </w:r>
      <w:r>
        <w:rPr>
          <w:sz w:val="16"/>
        </w:rPr>
        <w:t>redehorn</w:t>
      </w:r>
      <w:proofErr w:type="spellEnd"/>
      <w:r>
        <w:rPr>
          <w:sz w:val="16"/>
        </w:rPr>
        <w:t xml:space="preserve"> Member, </w:t>
      </w:r>
      <w:proofErr w:type="spellStart"/>
      <w:r>
        <w:rPr>
          <w:sz w:val="16"/>
        </w:rPr>
        <w:t>Schuchert</w:t>
      </w:r>
      <w:proofErr w:type="spellEnd"/>
      <w:r>
        <w:rPr>
          <w:sz w:val="16"/>
        </w:rPr>
        <w:t xml:space="preserve"> Dal Formation, East Greenland, </w:t>
      </w:r>
      <w:r>
        <w:rPr>
          <w:i/>
          <w:sz w:val="16"/>
        </w:rPr>
        <w:lastRenderedPageBreak/>
        <w:t xml:space="preserve">in </w:t>
      </w:r>
      <w:r>
        <w:rPr>
          <w:sz w:val="16"/>
        </w:rPr>
        <w:t>O. J. Martinsen and T. Dreyer, eds., Sedimentary environments offshore Norway—</w:t>
      </w:r>
      <w:proofErr w:type="spellStart"/>
      <w:r>
        <w:rPr>
          <w:sz w:val="16"/>
        </w:rPr>
        <w:t>Palaeozoic</w:t>
      </w:r>
      <w:proofErr w:type="spellEnd"/>
      <w:r>
        <w:rPr>
          <w:sz w:val="16"/>
        </w:rPr>
        <w:t xml:space="preserve"> to Recent: Norwegian Petroleum Society (NPF) Special Publication 10, p. 51–65.</w:t>
      </w:r>
    </w:p>
    <w:p w14:paraId="2F196BE1" w14:textId="77777777" w:rsidR="00A978F6" w:rsidRDefault="001A5B1A">
      <w:pPr>
        <w:spacing w:after="3" w:line="259" w:lineRule="auto"/>
        <w:ind w:left="354" w:right="-8" w:hanging="369"/>
      </w:pPr>
      <w:proofErr w:type="spellStart"/>
      <w:r>
        <w:rPr>
          <w:sz w:val="16"/>
        </w:rPr>
        <w:t>Nemec</w:t>
      </w:r>
      <w:proofErr w:type="spellEnd"/>
      <w:r>
        <w:rPr>
          <w:sz w:val="16"/>
        </w:rPr>
        <w:t>, W., and R. J. Steel,</w:t>
      </w:r>
      <w:r>
        <w:rPr>
          <w:sz w:val="16"/>
        </w:rPr>
        <w:t xml:space="preserve"> eds., 1988, Fan deltas: sedimentology and tectonic settings: Glasgow and London, Blackie, 430 p.</w:t>
      </w:r>
    </w:p>
    <w:p w14:paraId="7D4C511B" w14:textId="77777777" w:rsidR="00A978F6" w:rsidRDefault="001A5B1A">
      <w:pPr>
        <w:spacing w:after="3" w:line="259" w:lineRule="auto"/>
        <w:ind w:left="354" w:right="-8" w:hanging="369"/>
      </w:pPr>
      <w:r>
        <w:rPr>
          <w:sz w:val="16"/>
        </w:rPr>
        <w:t xml:space="preserve">Pemberton, S. G., and T. D. A. Saunders, 1990, On the palaeoecological significance of the trace fossil </w:t>
      </w:r>
      <w:proofErr w:type="spellStart"/>
      <w:r>
        <w:rPr>
          <w:i/>
          <w:sz w:val="16"/>
        </w:rPr>
        <w:t>Macaronichnus</w:t>
      </w:r>
      <w:proofErr w:type="spellEnd"/>
      <w:r>
        <w:rPr>
          <w:i/>
          <w:sz w:val="16"/>
        </w:rPr>
        <w:t xml:space="preserve"> </w:t>
      </w:r>
      <w:r>
        <w:rPr>
          <w:sz w:val="16"/>
        </w:rPr>
        <w:t xml:space="preserve">(abs.), </w:t>
      </w:r>
      <w:r>
        <w:rPr>
          <w:i/>
          <w:sz w:val="16"/>
        </w:rPr>
        <w:t xml:space="preserve">in </w:t>
      </w:r>
      <w:r>
        <w:rPr>
          <w:sz w:val="16"/>
        </w:rPr>
        <w:t>13th International Sedimentol</w:t>
      </w:r>
      <w:r>
        <w:rPr>
          <w:sz w:val="16"/>
        </w:rPr>
        <w:t xml:space="preserve">ogical Congress Program: International Association of </w:t>
      </w:r>
      <w:proofErr w:type="spellStart"/>
      <w:r>
        <w:rPr>
          <w:sz w:val="16"/>
        </w:rPr>
        <w:t>Sedimentologists</w:t>
      </w:r>
      <w:proofErr w:type="spellEnd"/>
      <w:r>
        <w:rPr>
          <w:sz w:val="16"/>
        </w:rPr>
        <w:t>, p. 26–31.</w:t>
      </w:r>
    </w:p>
    <w:p w14:paraId="73D065C0" w14:textId="77777777" w:rsidR="00A978F6" w:rsidRDefault="001A5B1A">
      <w:pPr>
        <w:spacing w:after="3" w:line="259" w:lineRule="auto"/>
        <w:ind w:left="354" w:right="-8" w:hanging="369"/>
      </w:pPr>
      <w:r>
        <w:rPr>
          <w:sz w:val="16"/>
        </w:rPr>
        <w:t xml:space="preserve">Perch-Nielsen, K., K. </w:t>
      </w:r>
      <w:proofErr w:type="spellStart"/>
      <w:r>
        <w:rPr>
          <w:sz w:val="16"/>
        </w:rPr>
        <w:t>Birkenmajer</w:t>
      </w:r>
      <w:proofErr w:type="spellEnd"/>
      <w:r>
        <w:rPr>
          <w:sz w:val="16"/>
        </w:rPr>
        <w:t xml:space="preserve">, T. </w:t>
      </w:r>
      <w:proofErr w:type="spellStart"/>
      <w:r>
        <w:rPr>
          <w:sz w:val="16"/>
        </w:rPr>
        <w:t>Birkelund</w:t>
      </w:r>
      <w:proofErr w:type="spellEnd"/>
      <w:r>
        <w:rPr>
          <w:sz w:val="16"/>
        </w:rPr>
        <w:t xml:space="preserve">, and M. </w:t>
      </w:r>
      <w:proofErr w:type="spellStart"/>
      <w:r>
        <w:rPr>
          <w:sz w:val="16"/>
        </w:rPr>
        <w:t>Aellen</w:t>
      </w:r>
      <w:proofErr w:type="spellEnd"/>
      <w:r>
        <w:rPr>
          <w:sz w:val="16"/>
        </w:rPr>
        <w:t xml:space="preserve">, 1974, </w:t>
      </w:r>
      <w:proofErr w:type="spellStart"/>
      <w:r>
        <w:rPr>
          <w:sz w:val="16"/>
        </w:rPr>
        <w:t>RevisionofTriassic</w:t>
      </w:r>
      <w:proofErr w:type="spellEnd"/>
      <w:r>
        <w:rPr>
          <w:sz w:val="16"/>
        </w:rPr>
        <w:t xml:space="preserve"> </w:t>
      </w:r>
      <w:proofErr w:type="spellStart"/>
      <w:r>
        <w:rPr>
          <w:sz w:val="16"/>
        </w:rPr>
        <w:t>stratigraphyoftheScoresbyLandand</w:t>
      </w:r>
      <w:proofErr w:type="spellEnd"/>
      <w:r>
        <w:rPr>
          <w:sz w:val="16"/>
        </w:rPr>
        <w:t xml:space="preserve"> Jameson Land region: East Greenland: </w:t>
      </w:r>
      <w:proofErr w:type="spellStart"/>
      <w:r>
        <w:rPr>
          <w:sz w:val="16"/>
        </w:rPr>
        <w:t>Grønlands</w:t>
      </w:r>
      <w:proofErr w:type="spellEnd"/>
      <w:r>
        <w:rPr>
          <w:sz w:val="16"/>
        </w:rPr>
        <w:t xml:space="preserve"> </w:t>
      </w:r>
      <w:proofErr w:type="spellStart"/>
      <w:r>
        <w:rPr>
          <w:sz w:val="16"/>
        </w:rPr>
        <w:t>Geolo</w:t>
      </w:r>
      <w:r>
        <w:rPr>
          <w:sz w:val="16"/>
        </w:rPr>
        <w:t>giske</w:t>
      </w:r>
      <w:proofErr w:type="spellEnd"/>
      <w:r>
        <w:rPr>
          <w:sz w:val="16"/>
        </w:rPr>
        <w:t xml:space="preserve"> </w:t>
      </w:r>
      <w:proofErr w:type="spellStart"/>
      <w:r>
        <w:rPr>
          <w:sz w:val="16"/>
        </w:rPr>
        <w:t>Undersøgelse</w:t>
      </w:r>
      <w:proofErr w:type="spellEnd"/>
      <w:r>
        <w:rPr>
          <w:sz w:val="16"/>
        </w:rPr>
        <w:t xml:space="preserve"> Bulletin, v. 109, 51 p.</w:t>
      </w:r>
    </w:p>
    <w:p w14:paraId="1CDC7B27" w14:textId="77777777" w:rsidR="00A978F6" w:rsidRDefault="001A5B1A">
      <w:pPr>
        <w:spacing w:after="3" w:line="259" w:lineRule="auto"/>
        <w:ind w:left="354" w:right="-8" w:hanging="369"/>
      </w:pPr>
      <w:proofErr w:type="spellStart"/>
      <w:r>
        <w:rPr>
          <w:sz w:val="16"/>
        </w:rPr>
        <w:t>Piasecki</w:t>
      </w:r>
      <w:proofErr w:type="spellEnd"/>
      <w:r>
        <w:rPr>
          <w:sz w:val="16"/>
        </w:rPr>
        <w:t xml:space="preserve">, S., 1984, Preliminary </w:t>
      </w:r>
      <w:proofErr w:type="spellStart"/>
      <w:r>
        <w:rPr>
          <w:sz w:val="16"/>
        </w:rPr>
        <w:t>palynostratigraphy</w:t>
      </w:r>
      <w:proofErr w:type="spellEnd"/>
      <w:r>
        <w:rPr>
          <w:sz w:val="16"/>
        </w:rPr>
        <w:t xml:space="preserve"> of the Permian– Lower Triassic sediments in Jameson Land and Scoresby Land, East Greenland: Geological Society of Denmark Bulletin, v.32, p. 139–144.</w:t>
      </w:r>
    </w:p>
    <w:p w14:paraId="516D3925" w14:textId="77777777" w:rsidR="00A978F6" w:rsidRDefault="001A5B1A">
      <w:pPr>
        <w:spacing w:after="3" w:line="259" w:lineRule="auto"/>
        <w:ind w:left="354" w:right="-8" w:hanging="369"/>
      </w:pPr>
      <w:proofErr w:type="spellStart"/>
      <w:r>
        <w:rPr>
          <w:sz w:val="16"/>
        </w:rPr>
        <w:t>Piasecki</w:t>
      </w:r>
      <w:proofErr w:type="spellEnd"/>
      <w:r>
        <w:rPr>
          <w:sz w:val="16"/>
        </w:rPr>
        <w:t>, S.</w:t>
      </w:r>
      <w:r>
        <w:rPr>
          <w:sz w:val="16"/>
        </w:rPr>
        <w:t xml:space="preserve">, and L. </w:t>
      </w:r>
      <w:proofErr w:type="spellStart"/>
      <w:r>
        <w:rPr>
          <w:sz w:val="16"/>
        </w:rPr>
        <w:t>Stemmerik</w:t>
      </w:r>
      <w:proofErr w:type="spellEnd"/>
      <w:r>
        <w:rPr>
          <w:sz w:val="16"/>
        </w:rPr>
        <w:t xml:space="preserve">, 1991, Late Permian anoxia </w:t>
      </w:r>
      <w:proofErr w:type="spellStart"/>
      <w:r>
        <w:rPr>
          <w:sz w:val="16"/>
        </w:rPr>
        <w:t>incentral</w:t>
      </w:r>
      <w:proofErr w:type="spellEnd"/>
      <w:r>
        <w:rPr>
          <w:sz w:val="16"/>
        </w:rPr>
        <w:t xml:space="preserve"> East Greenland, </w:t>
      </w:r>
      <w:r>
        <w:rPr>
          <w:i/>
          <w:sz w:val="16"/>
        </w:rPr>
        <w:t xml:space="preserve">in </w:t>
      </w:r>
      <w:r>
        <w:rPr>
          <w:sz w:val="16"/>
        </w:rPr>
        <w:t xml:space="preserve">R. V. Tyson and T. H. </w:t>
      </w:r>
      <w:proofErr w:type="spellStart"/>
      <w:proofErr w:type="gramStart"/>
      <w:r>
        <w:rPr>
          <w:sz w:val="16"/>
        </w:rPr>
        <w:t>Pearson,eds.</w:t>
      </w:r>
      <w:proofErr w:type="gramEnd"/>
      <w:r>
        <w:rPr>
          <w:sz w:val="16"/>
        </w:rPr>
        <w:t>,Modern</w:t>
      </w:r>
      <w:proofErr w:type="spellEnd"/>
      <w:r>
        <w:rPr>
          <w:sz w:val="16"/>
        </w:rPr>
        <w:t xml:space="preserve"> and ancient continental shelf </w:t>
      </w:r>
      <w:proofErr w:type="spellStart"/>
      <w:r>
        <w:rPr>
          <w:sz w:val="16"/>
        </w:rPr>
        <w:t>anoxia:GeologicalSocietySpecial</w:t>
      </w:r>
      <w:proofErr w:type="spellEnd"/>
      <w:r>
        <w:rPr>
          <w:sz w:val="16"/>
        </w:rPr>
        <w:t xml:space="preserve"> Publication 58, p. 275–290.</w:t>
      </w:r>
    </w:p>
    <w:p w14:paraId="66362033" w14:textId="77777777" w:rsidR="00A978F6" w:rsidRDefault="001A5B1A">
      <w:pPr>
        <w:spacing w:after="3" w:line="259" w:lineRule="auto"/>
        <w:ind w:left="354" w:right="-8" w:hanging="369"/>
      </w:pPr>
      <w:r>
        <w:rPr>
          <w:sz w:val="16"/>
        </w:rPr>
        <w:t>Saunders, T., and S. G. Pemberton, 1986, Trace fo</w:t>
      </w:r>
      <w:r>
        <w:rPr>
          <w:sz w:val="16"/>
        </w:rPr>
        <w:t xml:space="preserve">ssils </w:t>
      </w:r>
      <w:proofErr w:type="spellStart"/>
      <w:r>
        <w:rPr>
          <w:sz w:val="16"/>
        </w:rPr>
        <w:t>andsedimentology</w:t>
      </w:r>
      <w:proofErr w:type="spellEnd"/>
      <w:r>
        <w:rPr>
          <w:sz w:val="16"/>
        </w:rPr>
        <w:t xml:space="preserve"> of the Appaloosa Sandstone: Bearpaw–Horseshoe Canyon Formation transition: Society </w:t>
      </w:r>
      <w:proofErr w:type="spellStart"/>
      <w:r>
        <w:rPr>
          <w:sz w:val="16"/>
        </w:rPr>
        <w:t>ofPetroleumGeologistsField</w:t>
      </w:r>
      <w:proofErr w:type="spellEnd"/>
      <w:r>
        <w:rPr>
          <w:sz w:val="16"/>
        </w:rPr>
        <w:t xml:space="preserve"> Trip Guide Book, Dorothy, Alberta, Canada, 117 p.</w:t>
      </w:r>
    </w:p>
    <w:p w14:paraId="457E239D" w14:textId="77777777" w:rsidR="00A978F6" w:rsidRDefault="001A5B1A">
      <w:pPr>
        <w:spacing w:after="3" w:line="259" w:lineRule="auto"/>
        <w:ind w:left="354" w:right="-8" w:hanging="369"/>
      </w:pPr>
      <w:r>
        <w:rPr>
          <w:sz w:val="16"/>
        </w:rPr>
        <w:t xml:space="preserve">Schmidt, M., 1992, Structure of the mid-Norway </w:t>
      </w:r>
      <w:proofErr w:type="spellStart"/>
      <w:r>
        <w:rPr>
          <w:sz w:val="16"/>
        </w:rPr>
        <w:t>Heidrun</w:t>
      </w:r>
      <w:proofErr w:type="spellEnd"/>
      <w:r>
        <w:rPr>
          <w:sz w:val="16"/>
        </w:rPr>
        <w:t xml:space="preserve"> field and its regi</w:t>
      </w:r>
      <w:r>
        <w:rPr>
          <w:sz w:val="16"/>
        </w:rPr>
        <w:t xml:space="preserve">onal implications, </w:t>
      </w:r>
      <w:r>
        <w:rPr>
          <w:i/>
          <w:sz w:val="16"/>
        </w:rPr>
        <w:t xml:space="preserve">in </w:t>
      </w:r>
      <w:r>
        <w:rPr>
          <w:sz w:val="16"/>
        </w:rPr>
        <w:t xml:space="preserve">R. M. Larsen, H. Brekke, B. T. Larsen, and E. </w:t>
      </w:r>
      <w:proofErr w:type="spellStart"/>
      <w:r>
        <w:rPr>
          <w:sz w:val="16"/>
        </w:rPr>
        <w:t>Talleraas</w:t>
      </w:r>
      <w:proofErr w:type="spellEnd"/>
      <w:r>
        <w:rPr>
          <w:sz w:val="16"/>
        </w:rPr>
        <w:t xml:space="preserve">, eds., </w:t>
      </w:r>
      <w:proofErr w:type="spellStart"/>
      <w:r>
        <w:rPr>
          <w:sz w:val="16"/>
        </w:rPr>
        <w:t>Structuralandtectonicmodelling</w:t>
      </w:r>
      <w:proofErr w:type="spellEnd"/>
      <w:r>
        <w:rPr>
          <w:sz w:val="16"/>
        </w:rPr>
        <w:t xml:space="preserve"> and its implications to petroleum geology: Norwegian Petroleum Society Special Publication 1, p. 381–395.</w:t>
      </w:r>
    </w:p>
    <w:p w14:paraId="132904C5" w14:textId="77777777" w:rsidR="00A978F6" w:rsidRDefault="001A5B1A">
      <w:pPr>
        <w:spacing w:after="3" w:line="259" w:lineRule="auto"/>
        <w:ind w:left="354" w:right="-8" w:hanging="369"/>
      </w:pPr>
      <w:r>
        <w:rPr>
          <w:sz w:val="16"/>
        </w:rPr>
        <w:t>Sigmond, E. M. O., 1992, Bedrock m</w:t>
      </w:r>
      <w:r>
        <w:rPr>
          <w:sz w:val="16"/>
        </w:rPr>
        <w:t>ap of Norway and adjacent ocean areas: Geological Survey of Norway, scale 1:3 million, 1 sheet.</w:t>
      </w:r>
    </w:p>
    <w:p w14:paraId="27A8BF07" w14:textId="77777777" w:rsidR="00A978F6" w:rsidRDefault="001A5B1A">
      <w:pPr>
        <w:spacing w:after="3" w:line="259" w:lineRule="auto"/>
        <w:ind w:left="354" w:right="-8" w:hanging="369"/>
      </w:pPr>
      <w:proofErr w:type="spellStart"/>
      <w:r>
        <w:rPr>
          <w:sz w:val="16"/>
        </w:rPr>
        <w:t>Stemmerik</w:t>
      </w:r>
      <w:proofErr w:type="spellEnd"/>
      <w:r>
        <w:rPr>
          <w:sz w:val="16"/>
        </w:rPr>
        <w:t xml:space="preserve">, L., 1987, Cyclic carbonate and sulphate from the Upper Permian </w:t>
      </w:r>
      <w:proofErr w:type="spellStart"/>
      <w:r>
        <w:rPr>
          <w:sz w:val="16"/>
        </w:rPr>
        <w:t>Karstryggen</w:t>
      </w:r>
      <w:proofErr w:type="spellEnd"/>
      <w:r>
        <w:rPr>
          <w:sz w:val="16"/>
        </w:rPr>
        <w:t xml:space="preserve"> Formation, East Greenland, </w:t>
      </w:r>
      <w:r>
        <w:rPr>
          <w:i/>
          <w:sz w:val="16"/>
        </w:rPr>
        <w:t xml:space="preserve">in </w:t>
      </w:r>
      <w:r>
        <w:rPr>
          <w:sz w:val="16"/>
        </w:rPr>
        <w:t xml:space="preserve">T. M. </w:t>
      </w:r>
      <w:proofErr w:type="spellStart"/>
      <w:r>
        <w:rPr>
          <w:sz w:val="16"/>
        </w:rPr>
        <w:t>Peryt</w:t>
      </w:r>
      <w:proofErr w:type="spellEnd"/>
      <w:r>
        <w:rPr>
          <w:sz w:val="16"/>
        </w:rPr>
        <w:t>, ed., Lecture notes in Earth sci</w:t>
      </w:r>
      <w:r>
        <w:rPr>
          <w:sz w:val="16"/>
        </w:rPr>
        <w:t xml:space="preserve">ences 10: Berlin, </w:t>
      </w:r>
      <w:proofErr w:type="spellStart"/>
      <w:r>
        <w:rPr>
          <w:sz w:val="16"/>
        </w:rPr>
        <w:t>SpringerVerlag</w:t>
      </w:r>
      <w:proofErr w:type="spellEnd"/>
      <w:r>
        <w:rPr>
          <w:sz w:val="16"/>
        </w:rPr>
        <w:t>, p. 5–22.</w:t>
      </w:r>
    </w:p>
    <w:p w14:paraId="0FB531A2" w14:textId="77777777" w:rsidR="00A978F6" w:rsidRDefault="001A5B1A">
      <w:pPr>
        <w:spacing w:after="3" w:line="259" w:lineRule="auto"/>
        <w:ind w:left="354" w:right="-8" w:hanging="369"/>
      </w:pPr>
      <w:proofErr w:type="spellStart"/>
      <w:r>
        <w:rPr>
          <w:sz w:val="16"/>
        </w:rPr>
        <w:t>Stemmerik</w:t>
      </w:r>
      <w:proofErr w:type="spellEnd"/>
      <w:r>
        <w:rPr>
          <w:sz w:val="16"/>
        </w:rPr>
        <w:t xml:space="preserve">, L., and D. Worsley, 1989, Late Paleozoic </w:t>
      </w:r>
      <w:proofErr w:type="spellStart"/>
      <w:r>
        <w:rPr>
          <w:sz w:val="16"/>
        </w:rPr>
        <w:t>sequencecorrelations</w:t>
      </w:r>
      <w:proofErr w:type="spellEnd"/>
      <w:r>
        <w:rPr>
          <w:sz w:val="16"/>
        </w:rPr>
        <w:t xml:space="preserve">, north Greenland, </w:t>
      </w:r>
      <w:proofErr w:type="gramStart"/>
      <w:r>
        <w:rPr>
          <w:sz w:val="16"/>
        </w:rPr>
        <w:t>Svalbard</w:t>
      </w:r>
      <w:proofErr w:type="gramEnd"/>
      <w:r>
        <w:rPr>
          <w:sz w:val="16"/>
        </w:rPr>
        <w:t xml:space="preserve"> and the Barents Shelf, </w:t>
      </w:r>
      <w:r>
        <w:rPr>
          <w:i/>
          <w:sz w:val="16"/>
        </w:rPr>
        <w:t xml:space="preserve">in </w:t>
      </w:r>
      <w:r>
        <w:rPr>
          <w:sz w:val="16"/>
        </w:rPr>
        <w:t>J. D. Collinson, ed., Correlations in hydrocarbon exploration: London, Graham and Trotm</w:t>
      </w:r>
      <w:r>
        <w:rPr>
          <w:sz w:val="16"/>
        </w:rPr>
        <w:t>an, p. 99–111.</w:t>
      </w:r>
    </w:p>
    <w:p w14:paraId="353DCF45" w14:textId="77777777" w:rsidR="00A978F6" w:rsidRDefault="001A5B1A">
      <w:pPr>
        <w:spacing w:after="3" w:line="259" w:lineRule="auto"/>
        <w:ind w:left="354" w:right="-8" w:hanging="369"/>
      </w:pPr>
      <w:proofErr w:type="spellStart"/>
      <w:r>
        <w:rPr>
          <w:sz w:val="16"/>
        </w:rPr>
        <w:t>Stemmerik</w:t>
      </w:r>
      <w:proofErr w:type="spellEnd"/>
      <w:r>
        <w:rPr>
          <w:sz w:val="16"/>
        </w:rPr>
        <w:t xml:space="preserve">, L., P. A. Scholle, F. H. Henk, G. D. </w:t>
      </w:r>
      <w:proofErr w:type="spellStart"/>
      <w:r>
        <w:rPr>
          <w:sz w:val="16"/>
        </w:rPr>
        <w:t>Liegro</w:t>
      </w:r>
      <w:proofErr w:type="spellEnd"/>
      <w:r>
        <w:rPr>
          <w:sz w:val="16"/>
        </w:rPr>
        <w:t xml:space="preserve">, M. </w:t>
      </w:r>
      <w:proofErr w:type="spellStart"/>
      <w:r>
        <w:rPr>
          <w:sz w:val="16"/>
        </w:rPr>
        <w:t>Mantovani</w:t>
      </w:r>
      <w:proofErr w:type="spellEnd"/>
      <w:r>
        <w:rPr>
          <w:sz w:val="16"/>
        </w:rPr>
        <w:t xml:space="preserve">, and D. S. Ulmer, 1990, Facies mapping and reservoir evolution of the Upper Permian Wegener </w:t>
      </w:r>
      <w:proofErr w:type="spellStart"/>
      <w:r>
        <w:rPr>
          <w:sz w:val="16"/>
        </w:rPr>
        <w:t>Halvø</w:t>
      </w:r>
      <w:proofErr w:type="spellEnd"/>
      <w:r>
        <w:rPr>
          <w:sz w:val="16"/>
        </w:rPr>
        <w:t xml:space="preserve"> Formation along the western margin of the </w:t>
      </w:r>
      <w:proofErr w:type="spellStart"/>
      <w:proofErr w:type="gramStart"/>
      <w:r>
        <w:rPr>
          <w:sz w:val="16"/>
        </w:rPr>
        <w:t>JamesonLand,EastGreenland</w:t>
      </w:r>
      <w:proofErr w:type="spellEnd"/>
      <w:proofErr w:type="gramEnd"/>
      <w:r>
        <w:rPr>
          <w:sz w:val="16"/>
        </w:rPr>
        <w:t xml:space="preserve">: </w:t>
      </w:r>
      <w:proofErr w:type="spellStart"/>
      <w:r>
        <w:rPr>
          <w:sz w:val="16"/>
        </w:rPr>
        <w:t>Grønl</w:t>
      </w:r>
      <w:r>
        <w:rPr>
          <w:sz w:val="16"/>
        </w:rPr>
        <w:t>ands</w:t>
      </w:r>
      <w:proofErr w:type="spellEnd"/>
      <w:r>
        <w:rPr>
          <w:sz w:val="16"/>
        </w:rPr>
        <w:t xml:space="preserve"> </w:t>
      </w:r>
      <w:proofErr w:type="spellStart"/>
      <w:r>
        <w:rPr>
          <w:sz w:val="16"/>
        </w:rPr>
        <w:t>Geologiske</w:t>
      </w:r>
      <w:proofErr w:type="spellEnd"/>
      <w:r>
        <w:rPr>
          <w:sz w:val="16"/>
        </w:rPr>
        <w:t xml:space="preserve"> </w:t>
      </w:r>
      <w:proofErr w:type="spellStart"/>
      <w:r>
        <w:rPr>
          <w:sz w:val="16"/>
        </w:rPr>
        <w:t>Undersøgelse</w:t>
      </w:r>
      <w:proofErr w:type="spellEnd"/>
      <w:r>
        <w:rPr>
          <w:sz w:val="16"/>
        </w:rPr>
        <w:t xml:space="preserve"> Rapport 148, p. 105–108.</w:t>
      </w:r>
    </w:p>
    <w:p w14:paraId="1F45657B" w14:textId="77777777" w:rsidR="00A978F6" w:rsidRDefault="001A5B1A">
      <w:pPr>
        <w:spacing w:after="3" w:line="259" w:lineRule="auto"/>
        <w:ind w:left="354" w:right="-8" w:hanging="369"/>
      </w:pPr>
      <w:proofErr w:type="spellStart"/>
      <w:r>
        <w:rPr>
          <w:sz w:val="16"/>
        </w:rPr>
        <w:t>Stemmerik</w:t>
      </w:r>
      <w:proofErr w:type="spellEnd"/>
      <w:r>
        <w:rPr>
          <w:sz w:val="16"/>
        </w:rPr>
        <w:t xml:space="preserve">, L., F. G. Christiansen, S. </w:t>
      </w:r>
      <w:proofErr w:type="spellStart"/>
      <w:r>
        <w:rPr>
          <w:sz w:val="16"/>
        </w:rPr>
        <w:t>Piasecki</w:t>
      </w:r>
      <w:proofErr w:type="spellEnd"/>
      <w:r>
        <w:rPr>
          <w:sz w:val="16"/>
        </w:rPr>
        <w:t xml:space="preserve">, B. </w:t>
      </w:r>
      <w:proofErr w:type="spellStart"/>
      <w:r>
        <w:rPr>
          <w:sz w:val="16"/>
        </w:rPr>
        <w:t>Jordt</w:t>
      </w:r>
      <w:proofErr w:type="spellEnd"/>
      <w:r>
        <w:rPr>
          <w:sz w:val="16"/>
        </w:rPr>
        <w:t xml:space="preserve">, C. </w:t>
      </w:r>
      <w:proofErr w:type="spellStart"/>
      <w:r>
        <w:rPr>
          <w:sz w:val="16"/>
        </w:rPr>
        <w:t>Marcussen</w:t>
      </w:r>
      <w:proofErr w:type="spellEnd"/>
      <w:r>
        <w:rPr>
          <w:sz w:val="16"/>
        </w:rPr>
        <w:t xml:space="preserve">, and N. </w:t>
      </w:r>
      <w:proofErr w:type="spellStart"/>
      <w:r>
        <w:rPr>
          <w:sz w:val="16"/>
        </w:rPr>
        <w:t>Nøhr</w:t>
      </w:r>
      <w:proofErr w:type="spellEnd"/>
      <w:r>
        <w:rPr>
          <w:sz w:val="16"/>
        </w:rPr>
        <w:t xml:space="preserve">-Hansen, 1993, Depositional history and petroleum geology of the Carboniferous to Cretaceous sediments in the northern part of East Greenland, </w:t>
      </w:r>
      <w:r>
        <w:rPr>
          <w:i/>
          <w:sz w:val="16"/>
        </w:rPr>
        <w:t xml:space="preserve">in </w:t>
      </w:r>
      <w:r>
        <w:rPr>
          <w:sz w:val="16"/>
        </w:rPr>
        <w:t xml:space="preserve">T. O. </w:t>
      </w:r>
      <w:proofErr w:type="spellStart"/>
      <w:r>
        <w:rPr>
          <w:sz w:val="16"/>
        </w:rPr>
        <w:t>Vorren</w:t>
      </w:r>
      <w:proofErr w:type="spellEnd"/>
      <w:r>
        <w:rPr>
          <w:sz w:val="16"/>
        </w:rPr>
        <w:t xml:space="preserve">, E. </w:t>
      </w:r>
      <w:proofErr w:type="spellStart"/>
      <w:r>
        <w:rPr>
          <w:sz w:val="16"/>
        </w:rPr>
        <w:t>Bergsager</w:t>
      </w:r>
      <w:proofErr w:type="spellEnd"/>
      <w:r>
        <w:rPr>
          <w:sz w:val="16"/>
        </w:rPr>
        <w:t>,</w:t>
      </w:r>
      <w:r>
        <w:rPr>
          <w:sz w:val="16"/>
        </w:rPr>
        <w:t xml:space="preserve"> Ø. A. Dahl-</w:t>
      </w:r>
      <w:proofErr w:type="spellStart"/>
      <w:r>
        <w:rPr>
          <w:sz w:val="16"/>
        </w:rPr>
        <w:t>Stamnes</w:t>
      </w:r>
      <w:proofErr w:type="spellEnd"/>
      <w:r>
        <w:rPr>
          <w:sz w:val="16"/>
        </w:rPr>
        <w:t>, E. Holter, B. Johansen, E. Lie, and T. B. Lund, eds., Arctic geology and petroleum potential: Norwegian Petroleum Society Special Publication 2, p. 67–87.</w:t>
      </w:r>
    </w:p>
    <w:p w14:paraId="4452EA3D" w14:textId="77777777" w:rsidR="00A978F6" w:rsidRDefault="001A5B1A">
      <w:pPr>
        <w:spacing w:after="3" w:line="259" w:lineRule="auto"/>
        <w:ind w:left="354" w:right="-8" w:hanging="369"/>
      </w:pPr>
      <w:proofErr w:type="spellStart"/>
      <w:r>
        <w:rPr>
          <w:sz w:val="16"/>
        </w:rPr>
        <w:t>Stemmerik</w:t>
      </w:r>
      <w:proofErr w:type="spellEnd"/>
      <w:r>
        <w:rPr>
          <w:sz w:val="16"/>
        </w:rPr>
        <w:t xml:space="preserve">, L., O. R. Clausen, J. </w:t>
      </w:r>
      <w:proofErr w:type="spellStart"/>
      <w:r>
        <w:rPr>
          <w:sz w:val="16"/>
        </w:rPr>
        <w:t>Korstga˚rd</w:t>
      </w:r>
      <w:proofErr w:type="spellEnd"/>
      <w:r>
        <w:rPr>
          <w:sz w:val="16"/>
        </w:rPr>
        <w:t xml:space="preserve">, M. Larsen, S. </w:t>
      </w:r>
      <w:proofErr w:type="spellStart"/>
      <w:r>
        <w:rPr>
          <w:sz w:val="16"/>
        </w:rPr>
        <w:t>Piasecki</w:t>
      </w:r>
      <w:proofErr w:type="spellEnd"/>
      <w:r>
        <w:rPr>
          <w:sz w:val="16"/>
        </w:rPr>
        <w:t>, L. Seidler,</w:t>
      </w:r>
      <w:r>
        <w:rPr>
          <w:sz w:val="16"/>
        </w:rPr>
        <w:t xml:space="preserve"> F. </w:t>
      </w:r>
      <w:proofErr w:type="spellStart"/>
      <w:r>
        <w:rPr>
          <w:sz w:val="16"/>
        </w:rPr>
        <w:t>Surlyk</w:t>
      </w:r>
      <w:proofErr w:type="spellEnd"/>
      <w:r>
        <w:rPr>
          <w:sz w:val="16"/>
        </w:rPr>
        <w:t xml:space="preserve">, and J. </w:t>
      </w:r>
      <w:proofErr w:type="spellStart"/>
      <w:r>
        <w:rPr>
          <w:sz w:val="16"/>
        </w:rPr>
        <w:t>Therkelsen</w:t>
      </w:r>
      <w:proofErr w:type="spellEnd"/>
      <w:r>
        <w:rPr>
          <w:sz w:val="16"/>
        </w:rPr>
        <w:t>, 1997, Petroleum geological investigations in East Greenland: resources of the sedimentary basins of north and East Greenland project: Geology of Greenland Survey Bulletin 176, p. 29–38.</w:t>
      </w:r>
    </w:p>
    <w:p w14:paraId="3BF0F5BC" w14:textId="77777777" w:rsidR="00A978F6" w:rsidRDefault="001A5B1A">
      <w:pPr>
        <w:spacing w:after="3" w:line="259" w:lineRule="auto"/>
        <w:ind w:left="354" w:right="-8" w:hanging="369"/>
      </w:pPr>
      <w:proofErr w:type="spellStart"/>
      <w:r>
        <w:rPr>
          <w:sz w:val="16"/>
        </w:rPr>
        <w:t>Surlyk</w:t>
      </w:r>
      <w:proofErr w:type="spellEnd"/>
      <w:r>
        <w:rPr>
          <w:sz w:val="16"/>
        </w:rPr>
        <w:t>, F., 1990, Timing, style and sed</w:t>
      </w:r>
      <w:r>
        <w:rPr>
          <w:sz w:val="16"/>
        </w:rPr>
        <w:t xml:space="preserve">imentary evolution of late </w:t>
      </w:r>
      <w:proofErr w:type="spellStart"/>
      <w:r>
        <w:rPr>
          <w:sz w:val="16"/>
        </w:rPr>
        <w:t>Palaeozoic</w:t>
      </w:r>
      <w:proofErr w:type="spellEnd"/>
      <w:r>
        <w:rPr>
          <w:sz w:val="16"/>
        </w:rPr>
        <w:t xml:space="preserve">–Mesozoic extensional basins of East Greenland, </w:t>
      </w:r>
      <w:r>
        <w:rPr>
          <w:i/>
          <w:sz w:val="16"/>
        </w:rPr>
        <w:t xml:space="preserve">in </w:t>
      </w:r>
      <w:r>
        <w:rPr>
          <w:sz w:val="16"/>
        </w:rPr>
        <w:t xml:space="preserve">R. F. P. Hardman and J. Brooks, eds., Tectonic events responsible for Britain’s </w:t>
      </w:r>
      <w:proofErr w:type="spellStart"/>
      <w:proofErr w:type="gramStart"/>
      <w:r>
        <w:rPr>
          <w:sz w:val="16"/>
        </w:rPr>
        <w:t>oilandgasreserves:GeologicalSocietySpecial</w:t>
      </w:r>
      <w:proofErr w:type="spellEnd"/>
      <w:proofErr w:type="gramEnd"/>
      <w:r>
        <w:rPr>
          <w:sz w:val="16"/>
        </w:rPr>
        <w:t xml:space="preserve"> Publication 55, p. 107–155.</w:t>
      </w:r>
    </w:p>
    <w:p w14:paraId="26100364" w14:textId="77777777" w:rsidR="00A978F6" w:rsidRDefault="001A5B1A">
      <w:pPr>
        <w:spacing w:after="3" w:line="259" w:lineRule="auto"/>
        <w:ind w:left="354" w:right="-8" w:hanging="369"/>
      </w:pPr>
      <w:proofErr w:type="spellStart"/>
      <w:r>
        <w:rPr>
          <w:sz w:val="16"/>
        </w:rPr>
        <w:t>Surlyk</w:t>
      </w:r>
      <w:proofErr w:type="spellEnd"/>
      <w:r>
        <w:rPr>
          <w:sz w:val="16"/>
        </w:rPr>
        <w:t xml:space="preserve">, F., S. </w:t>
      </w:r>
      <w:proofErr w:type="spellStart"/>
      <w:r>
        <w:rPr>
          <w:sz w:val="16"/>
        </w:rPr>
        <w:t>Pi</w:t>
      </w:r>
      <w:r>
        <w:rPr>
          <w:sz w:val="16"/>
        </w:rPr>
        <w:t>asecki</w:t>
      </w:r>
      <w:proofErr w:type="spellEnd"/>
      <w:r>
        <w:rPr>
          <w:sz w:val="16"/>
        </w:rPr>
        <w:t xml:space="preserve">, F. Rolle, L. </w:t>
      </w:r>
      <w:proofErr w:type="spellStart"/>
      <w:r>
        <w:rPr>
          <w:sz w:val="16"/>
        </w:rPr>
        <w:t>Stemmerik</w:t>
      </w:r>
      <w:proofErr w:type="spellEnd"/>
      <w:r>
        <w:rPr>
          <w:sz w:val="16"/>
        </w:rPr>
        <w:t xml:space="preserve">, E, Thomsen, and P. Wrang, 1984, The Permian base of East Greenland, </w:t>
      </w:r>
      <w:r>
        <w:rPr>
          <w:i/>
          <w:sz w:val="16"/>
        </w:rPr>
        <w:t xml:space="preserve">in </w:t>
      </w:r>
      <w:r>
        <w:rPr>
          <w:sz w:val="16"/>
        </w:rPr>
        <w:t>A. M. Spencer et al., eds., Petroleum geology of the north European margin: Norwegian Petroleum Society and London, Graham and Trotman, p. 303–315.</w:t>
      </w:r>
    </w:p>
    <w:p w14:paraId="4F5EE1DA" w14:textId="77777777" w:rsidR="00A978F6" w:rsidRDefault="001A5B1A">
      <w:pPr>
        <w:spacing w:after="3" w:line="259" w:lineRule="auto"/>
        <w:ind w:left="354" w:right="-8" w:hanging="369"/>
      </w:pPr>
      <w:proofErr w:type="spellStart"/>
      <w:r>
        <w:rPr>
          <w:sz w:val="16"/>
        </w:rPr>
        <w:t>Surlyk</w:t>
      </w:r>
      <w:proofErr w:type="spellEnd"/>
      <w:r>
        <w:rPr>
          <w:sz w:val="16"/>
        </w:rPr>
        <w:t xml:space="preserve">, F., J. M. Hurst, S. </w:t>
      </w:r>
      <w:proofErr w:type="spellStart"/>
      <w:r>
        <w:rPr>
          <w:sz w:val="16"/>
        </w:rPr>
        <w:t>Piasecki</w:t>
      </w:r>
      <w:proofErr w:type="spellEnd"/>
      <w:r>
        <w:rPr>
          <w:sz w:val="16"/>
        </w:rPr>
        <w:t xml:space="preserve">, F. Rolle, P. A. Scholle, L. </w:t>
      </w:r>
      <w:proofErr w:type="spellStart"/>
      <w:r>
        <w:rPr>
          <w:sz w:val="16"/>
        </w:rPr>
        <w:t>Stemmerik</w:t>
      </w:r>
      <w:proofErr w:type="spellEnd"/>
      <w:r>
        <w:rPr>
          <w:sz w:val="16"/>
        </w:rPr>
        <w:t>, and E. Thomsen,</w:t>
      </w:r>
      <w:proofErr w:type="gramStart"/>
      <w:r>
        <w:rPr>
          <w:sz w:val="16"/>
        </w:rPr>
        <w:t>1986,ThePermianofthewesternmargin</w:t>
      </w:r>
      <w:proofErr w:type="gramEnd"/>
      <w:r>
        <w:rPr>
          <w:sz w:val="16"/>
        </w:rPr>
        <w:t xml:space="preserve"> of the Greenland Sea—a future exploration target, </w:t>
      </w:r>
      <w:r>
        <w:rPr>
          <w:i/>
          <w:sz w:val="16"/>
        </w:rPr>
        <w:t xml:space="preserve">in </w:t>
      </w:r>
      <w:r>
        <w:rPr>
          <w:sz w:val="16"/>
        </w:rPr>
        <w:t xml:space="preserve">M. T. </w:t>
      </w:r>
      <w:proofErr w:type="spellStart"/>
      <w:r>
        <w:rPr>
          <w:sz w:val="16"/>
        </w:rPr>
        <w:t>Halbouty</w:t>
      </w:r>
      <w:proofErr w:type="spellEnd"/>
      <w:r>
        <w:rPr>
          <w:sz w:val="16"/>
        </w:rPr>
        <w:t xml:space="preserve">, ed., Future </w:t>
      </w:r>
      <w:proofErr w:type="spellStart"/>
      <w:r>
        <w:rPr>
          <w:sz w:val="16"/>
        </w:rPr>
        <w:t>petroleumprovincesoftheworld:AAPG</w:t>
      </w:r>
      <w:proofErr w:type="spellEnd"/>
      <w:r>
        <w:rPr>
          <w:sz w:val="16"/>
        </w:rPr>
        <w:t xml:space="preserve"> Memoir 40, p. 6</w:t>
      </w:r>
      <w:r>
        <w:rPr>
          <w:sz w:val="16"/>
        </w:rPr>
        <w:t>29–659.</w:t>
      </w:r>
    </w:p>
    <w:p w14:paraId="060B4FD3" w14:textId="77777777" w:rsidR="00A978F6" w:rsidRDefault="001A5B1A">
      <w:pPr>
        <w:spacing w:after="3" w:line="259" w:lineRule="auto"/>
        <w:ind w:left="354" w:right="-8" w:hanging="369"/>
      </w:pPr>
      <w:proofErr w:type="spellStart"/>
      <w:r>
        <w:rPr>
          <w:sz w:val="16"/>
        </w:rPr>
        <w:t>Utting</w:t>
      </w:r>
      <w:proofErr w:type="spellEnd"/>
      <w:r>
        <w:rPr>
          <w:sz w:val="16"/>
        </w:rPr>
        <w:t xml:space="preserve">, J., and S. </w:t>
      </w:r>
      <w:proofErr w:type="spellStart"/>
      <w:r>
        <w:rPr>
          <w:sz w:val="16"/>
        </w:rPr>
        <w:t>Piasecki</w:t>
      </w:r>
      <w:proofErr w:type="spellEnd"/>
      <w:r>
        <w:rPr>
          <w:sz w:val="16"/>
        </w:rPr>
        <w:t xml:space="preserve">, 1995, Palynology of the Permian </w:t>
      </w:r>
      <w:proofErr w:type="spellStart"/>
      <w:r>
        <w:rPr>
          <w:sz w:val="16"/>
        </w:rPr>
        <w:t>ofnorthern</w:t>
      </w:r>
      <w:proofErr w:type="spellEnd"/>
      <w:r>
        <w:rPr>
          <w:sz w:val="16"/>
        </w:rPr>
        <w:t xml:space="preserve"> continents: a review, </w:t>
      </w:r>
      <w:r>
        <w:rPr>
          <w:i/>
          <w:sz w:val="16"/>
        </w:rPr>
        <w:t xml:space="preserve">in </w:t>
      </w:r>
      <w:r>
        <w:rPr>
          <w:sz w:val="16"/>
        </w:rPr>
        <w:t xml:space="preserve">P. A. Scholle, T. M. </w:t>
      </w:r>
      <w:proofErr w:type="spellStart"/>
      <w:r>
        <w:rPr>
          <w:sz w:val="16"/>
        </w:rPr>
        <w:t>Peryt</w:t>
      </w:r>
      <w:proofErr w:type="spellEnd"/>
      <w:r>
        <w:rPr>
          <w:sz w:val="16"/>
        </w:rPr>
        <w:t>, and D.S. Ulmer-Scholle, eds., The Permian of northern Pangea: Berlin, Springer-Verlag, p. 236–261.</w:t>
      </w:r>
    </w:p>
    <w:p w14:paraId="7B020D24" w14:textId="77777777" w:rsidR="00A978F6" w:rsidRDefault="001A5B1A">
      <w:pPr>
        <w:spacing w:after="3" w:line="259" w:lineRule="auto"/>
        <w:ind w:left="354" w:right="-8" w:hanging="369"/>
      </w:pPr>
      <w:proofErr w:type="spellStart"/>
      <w:r>
        <w:rPr>
          <w:sz w:val="16"/>
        </w:rPr>
        <w:t>Vigran</w:t>
      </w:r>
      <w:proofErr w:type="spellEnd"/>
      <w:r>
        <w:rPr>
          <w:sz w:val="16"/>
        </w:rPr>
        <w:t xml:space="preserve">, J. O., and G. </w:t>
      </w:r>
      <w:proofErr w:type="spellStart"/>
      <w:r>
        <w:rPr>
          <w:sz w:val="16"/>
        </w:rPr>
        <w:t>Ma</w:t>
      </w:r>
      <w:r>
        <w:rPr>
          <w:sz w:val="16"/>
        </w:rPr>
        <w:t>ngerud</w:t>
      </w:r>
      <w:proofErr w:type="spellEnd"/>
      <w:r>
        <w:rPr>
          <w:sz w:val="16"/>
        </w:rPr>
        <w:t xml:space="preserve">, 1991, Palynological evidence of Lower Triassic rocks </w:t>
      </w:r>
      <w:proofErr w:type="spellStart"/>
      <w:r>
        <w:rPr>
          <w:sz w:val="16"/>
        </w:rPr>
        <w:t>subcropping</w:t>
      </w:r>
      <w:proofErr w:type="spellEnd"/>
      <w:r>
        <w:rPr>
          <w:sz w:val="16"/>
        </w:rPr>
        <w:t xml:space="preserve"> offshore mid-Norway: </w:t>
      </w:r>
      <w:proofErr w:type="spellStart"/>
      <w:r>
        <w:rPr>
          <w:sz w:val="16"/>
        </w:rPr>
        <w:t>Norsk</w:t>
      </w:r>
      <w:proofErr w:type="spellEnd"/>
      <w:r>
        <w:rPr>
          <w:sz w:val="16"/>
        </w:rPr>
        <w:t xml:space="preserve"> </w:t>
      </w:r>
      <w:proofErr w:type="spellStart"/>
      <w:r>
        <w:rPr>
          <w:sz w:val="16"/>
        </w:rPr>
        <w:t>Geologisk</w:t>
      </w:r>
      <w:proofErr w:type="spellEnd"/>
      <w:r>
        <w:rPr>
          <w:sz w:val="16"/>
        </w:rPr>
        <w:t xml:space="preserve"> </w:t>
      </w:r>
      <w:proofErr w:type="spellStart"/>
      <w:r>
        <w:rPr>
          <w:sz w:val="16"/>
        </w:rPr>
        <w:t>Tidsskrift</w:t>
      </w:r>
      <w:proofErr w:type="spellEnd"/>
      <w:r>
        <w:rPr>
          <w:sz w:val="16"/>
        </w:rPr>
        <w:t>, v. 71, p. 29–35.</w:t>
      </w:r>
    </w:p>
    <w:p w14:paraId="18BF26D3" w14:textId="77777777" w:rsidR="00A978F6" w:rsidRDefault="001A5B1A">
      <w:pPr>
        <w:spacing w:after="3" w:line="259" w:lineRule="auto"/>
        <w:ind w:left="354" w:right="-8" w:hanging="369"/>
      </w:pPr>
      <w:proofErr w:type="spellStart"/>
      <w:r>
        <w:rPr>
          <w:sz w:val="16"/>
        </w:rPr>
        <w:t>Vigran</w:t>
      </w:r>
      <w:proofErr w:type="spellEnd"/>
      <w:r>
        <w:rPr>
          <w:sz w:val="16"/>
        </w:rPr>
        <w:t xml:space="preserve">, J. O., L. </w:t>
      </w:r>
      <w:proofErr w:type="spellStart"/>
      <w:r>
        <w:rPr>
          <w:sz w:val="16"/>
        </w:rPr>
        <w:t>Stemmerik</w:t>
      </w:r>
      <w:proofErr w:type="spellEnd"/>
      <w:r>
        <w:rPr>
          <w:sz w:val="16"/>
        </w:rPr>
        <w:t xml:space="preserve">, and S. </w:t>
      </w:r>
      <w:proofErr w:type="spellStart"/>
      <w:r>
        <w:rPr>
          <w:sz w:val="16"/>
        </w:rPr>
        <w:t>Piasecki</w:t>
      </w:r>
      <w:proofErr w:type="spellEnd"/>
      <w:r>
        <w:rPr>
          <w:sz w:val="16"/>
        </w:rPr>
        <w:t>, 1999, Stratigraphy and depositional evolution of the uppermost Devonian</w:t>
      </w:r>
      <w:r>
        <w:rPr>
          <w:sz w:val="16"/>
        </w:rPr>
        <w:t>–Carboniferous (</w:t>
      </w:r>
      <w:proofErr w:type="spellStart"/>
      <w:r>
        <w:rPr>
          <w:sz w:val="16"/>
        </w:rPr>
        <w:t>Tournaisian</w:t>
      </w:r>
      <w:proofErr w:type="spellEnd"/>
      <w:r>
        <w:rPr>
          <w:sz w:val="16"/>
        </w:rPr>
        <w:t>–Westphalian) non-marine deposits in north-east Greenland: Palynology, v. 23, p. 115–152.</w:t>
      </w:r>
    </w:p>
    <w:p w14:paraId="78413328" w14:textId="77777777" w:rsidR="00A978F6" w:rsidRDefault="001A5B1A">
      <w:pPr>
        <w:spacing w:after="3" w:line="259" w:lineRule="auto"/>
        <w:ind w:left="354" w:right="-8" w:hanging="369"/>
      </w:pPr>
      <w:r>
        <w:rPr>
          <w:sz w:val="16"/>
        </w:rPr>
        <w:t>Walker, T. R., 1967, Formation of red beds in modern and ancient deserts: Geological Society of America Bulletin, v. 78, p. 353– 368.</w:t>
      </w:r>
    </w:p>
    <w:p w14:paraId="785482CF" w14:textId="77777777" w:rsidR="00A978F6" w:rsidRDefault="001A5B1A">
      <w:pPr>
        <w:spacing w:after="3" w:line="259" w:lineRule="auto"/>
        <w:ind w:left="354" w:right="-8" w:hanging="369"/>
      </w:pPr>
      <w:r>
        <w:rPr>
          <w:sz w:val="16"/>
        </w:rPr>
        <w:t>Walke</w:t>
      </w:r>
      <w:r>
        <w:rPr>
          <w:sz w:val="16"/>
        </w:rPr>
        <w:t xml:space="preserve">r, T. R., 1976, Diagenetic origin of continental red beds, </w:t>
      </w:r>
      <w:r>
        <w:rPr>
          <w:i/>
          <w:sz w:val="16"/>
        </w:rPr>
        <w:t xml:space="preserve">in </w:t>
      </w:r>
      <w:r>
        <w:rPr>
          <w:sz w:val="16"/>
        </w:rPr>
        <w:t xml:space="preserve">H. </w:t>
      </w:r>
      <w:proofErr w:type="spellStart"/>
      <w:r>
        <w:rPr>
          <w:sz w:val="16"/>
        </w:rPr>
        <w:t>Falke</w:t>
      </w:r>
      <w:proofErr w:type="spellEnd"/>
      <w:r>
        <w:rPr>
          <w:sz w:val="16"/>
        </w:rPr>
        <w:t xml:space="preserve">, ed., The continental Permian in central, </w:t>
      </w:r>
      <w:proofErr w:type="gramStart"/>
      <w:r>
        <w:rPr>
          <w:sz w:val="16"/>
        </w:rPr>
        <w:t>west</w:t>
      </w:r>
      <w:proofErr w:type="gramEnd"/>
      <w:r>
        <w:rPr>
          <w:sz w:val="16"/>
        </w:rPr>
        <w:t xml:space="preserve"> and south Europe, NATO (North Atlantic Treaty Organization) Advanced Institute, Series C, Mathematical and </w:t>
      </w:r>
      <w:proofErr w:type="spellStart"/>
      <w:r>
        <w:rPr>
          <w:sz w:val="16"/>
        </w:rPr>
        <w:t>PhysicalSciences</w:t>
      </w:r>
      <w:proofErr w:type="spellEnd"/>
      <w:r>
        <w:rPr>
          <w:sz w:val="16"/>
        </w:rPr>
        <w:t>: Dordrecht, Ho</w:t>
      </w:r>
      <w:r>
        <w:rPr>
          <w:sz w:val="16"/>
        </w:rPr>
        <w:t xml:space="preserve">lland, </w:t>
      </w:r>
      <w:proofErr w:type="spellStart"/>
      <w:r>
        <w:rPr>
          <w:sz w:val="16"/>
        </w:rPr>
        <w:t>Reidel</w:t>
      </w:r>
      <w:proofErr w:type="spellEnd"/>
      <w:r>
        <w:rPr>
          <w:sz w:val="16"/>
        </w:rPr>
        <w:t>, p. 240–287.</w:t>
      </w:r>
    </w:p>
    <w:p w14:paraId="5D2B3403" w14:textId="77777777" w:rsidR="00A978F6" w:rsidRDefault="001A5B1A">
      <w:pPr>
        <w:spacing w:after="3" w:line="259" w:lineRule="auto"/>
        <w:ind w:left="354" w:right="-8" w:hanging="369"/>
      </w:pPr>
      <w:r>
        <w:rPr>
          <w:sz w:val="16"/>
        </w:rPr>
        <w:t xml:space="preserve">Weiss, H. M., A. </w:t>
      </w:r>
      <w:proofErr w:type="spellStart"/>
      <w:r>
        <w:rPr>
          <w:sz w:val="16"/>
        </w:rPr>
        <w:t>Wilhelms</w:t>
      </w:r>
      <w:proofErr w:type="spellEnd"/>
      <w:r>
        <w:rPr>
          <w:sz w:val="16"/>
        </w:rPr>
        <w:t xml:space="preserve">, N. Mills, J. </w:t>
      </w:r>
      <w:proofErr w:type="spellStart"/>
      <w:r>
        <w:rPr>
          <w:sz w:val="16"/>
        </w:rPr>
        <w:t>Scotchmer</w:t>
      </w:r>
      <w:proofErr w:type="spellEnd"/>
      <w:r>
        <w:rPr>
          <w:sz w:val="16"/>
        </w:rPr>
        <w:t xml:space="preserve">, P. B. Hall, K. Lind, and T. Brekke, 2000, NIGOGA—The Norwegian Industry Guide to Organic Geochemical Analyses, ed. 4.0: </w:t>
      </w:r>
      <w:proofErr w:type="spellStart"/>
      <w:r>
        <w:rPr>
          <w:sz w:val="16"/>
        </w:rPr>
        <w:t>Norsk</w:t>
      </w:r>
      <w:proofErr w:type="spellEnd"/>
      <w:r>
        <w:rPr>
          <w:sz w:val="16"/>
        </w:rPr>
        <w:t xml:space="preserve"> Hydro, Statoil, </w:t>
      </w:r>
      <w:proofErr w:type="spellStart"/>
      <w:r>
        <w:rPr>
          <w:sz w:val="16"/>
        </w:rPr>
        <w:t>Geolab</w:t>
      </w:r>
      <w:proofErr w:type="spellEnd"/>
      <w:r>
        <w:rPr>
          <w:sz w:val="16"/>
        </w:rPr>
        <w:t xml:space="preserve"> Nor, SINTEF Petroleum Researc</w:t>
      </w:r>
      <w:r>
        <w:rPr>
          <w:sz w:val="16"/>
        </w:rPr>
        <w:t>h, and the Norwegian Petroleum Directorate, 102 p. http:// www.npd.no/engelsk/nigoga/default.htm</w:t>
      </w:r>
      <w:r>
        <w:rPr>
          <w:rFonts w:ascii="Calibri" w:eastAsia="Calibri" w:hAnsi="Calibri" w:cs="Calibri"/>
          <w:sz w:val="16"/>
        </w:rPr>
        <w:t xml:space="preserve"> </w:t>
      </w:r>
      <w:r>
        <w:rPr>
          <w:sz w:val="16"/>
        </w:rPr>
        <w:t>Accessed June 1, 2000.</w:t>
      </w:r>
    </w:p>
    <w:p w14:paraId="5D7737D2" w14:textId="77777777" w:rsidR="00A978F6" w:rsidRDefault="001A5B1A">
      <w:pPr>
        <w:spacing w:after="3" w:line="259" w:lineRule="auto"/>
        <w:ind w:left="354" w:right="-8" w:hanging="369"/>
      </w:pPr>
      <w:r>
        <w:rPr>
          <w:sz w:val="16"/>
        </w:rPr>
        <w:t xml:space="preserve">Ziegler, P. A., 1981, Evolution of sedimentary basins in north-west Europe, </w:t>
      </w:r>
      <w:r>
        <w:rPr>
          <w:i/>
          <w:sz w:val="16"/>
        </w:rPr>
        <w:t xml:space="preserve">in </w:t>
      </w:r>
      <w:r>
        <w:rPr>
          <w:sz w:val="16"/>
        </w:rPr>
        <w:t xml:space="preserve">L. V. </w:t>
      </w:r>
      <w:proofErr w:type="spellStart"/>
      <w:r>
        <w:rPr>
          <w:sz w:val="16"/>
        </w:rPr>
        <w:t>Illing</w:t>
      </w:r>
      <w:proofErr w:type="spellEnd"/>
      <w:r>
        <w:rPr>
          <w:sz w:val="16"/>
        </w:rPr>
        <w:t xml:space="preserve"> and G. D. Hobson, eds., Petroleum geology of</w:t>
      </w:r>
      <w:r>
        <w:rPr>
          <w:sz w:val="16"/>
        </w:rPr>
        <w:t xml:space="preserve"> the continental shelf of north-west Europe, p. 3– 42.</w:t>
      </w:r>
    </w:p>
    <w:p w14:paraId="41A5603C" w14:textId="77777777" w:rsidR="00A978F6" w:rsidRDefault="001A5B1A">
      <w:pPr>
        <w:spacing w:after="3" w:line="259" w:lineRule="auto"/>
        <w:ind w:left="354" w:right="-8" w:hanging="369"/>
      </w:pPr>
      <w:r>
        <w:rPr>
          <w:sz w:val="16"/>
        </w:rPr>
        <w:t xml:space="preserve">Ziegler, P. A., 1990, Geological atlas of western and central Europe: Shell International Petroleum </w:t>
      </w:r>
      <w:proofErr w:type="spellStart"/>
      <w:r>
        <w:rPr>
          <w:sz w:val="16"/>
        </w:rPr>
        <w:t>Maatschappij</w:t>
      </w:r>
      <w:proofErr w:type="spellEnd"/>
      <w:r>
        <w:rPr>
          <w:sz w:val="16"/>
        </w:rPr>
        <w:t xml:space="preserve"> B.V., 238 p., 56 enclosures.</w:t>
      </w:r>
    </w:p>
    <w:sectPr w:rsidR="00A978F6">
      <w:type w:val="continuous"/>
      <w:pgSz w:w="12240" w:h="15840"/>
      <w:pgMar w:top="1348" w:right="1114" w:bottom="1309" w:left="1125" w:header="720" w:footer="720" w:gutter="0"/>
      <w:cols w:num="2" w:space="48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D50539" w14:textId="77777777" w:rsidR="00000000" w:rsidRDefault="001A5B1A">
      <w:pPr>
        <w:spacing w:after="0" w:line="240" w:lineRule="auto"/>
      </w:pPr>
      <w:r>
        <w:separator/>
      </w:r>
    </w:p>
  </w:endnote>
  <w:endnote w:type="continuationSeparator" w:id="0">
    <w:p w14:paraId="16BBDEFA" w14:textId="77777777" w:rsidR="00000000" w:rsidRDefault="001A5B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C67055" w14:textId="77777777" w:rsidR="00A978F6" w:rsidRDefault="001A5B1A">
    <w:pPr>
      <w:tabs>
        <w:tab w:val="center" w:pos="1239"/>
        <w:tab w:val="center" w:pos="4321"/>
      </w:tabs>
      <w:spacing w:after="501" w:line="259" w:lineRule="auto"/>
      <w:ind w:left="0" w:right="0" w:firstLine="0"/>
      <w:jc w:val="left"/>
    </w:pPr>
    <w:r>
      <w:rPr>
        <w:rFonts w:ascii="Calibri" w:eastAsia="Calibri" w:hAnsi="Calibri" w:cs="Calibri"/>
        <w:color w:val="000000"/>
        <w:sz w:val="22"/>
      </w:rPr>
      <w:tab/>
    </w:r>
    <w:r>
      <w:fldChar w:fldCharType="begin"/>
    </w:r>
    <w:r>
      <w:instrText xml:space="preserve"> PAGE   \* MERGEFORMAT </w:instrText>
    </w:r>
    <w:r>
      <w:fldChar w:fldCharType="separate"/>
    </w:r>
    <w:r>
      <w:rPr>
        <w:rFonts w:ascii="Calibri" w:eastAsia="Calibri" w:hAnsi="Calibri" w:cs="Calibri"/>
      </w:rPr>
      <w:t>108</w:t>
    </w:r>
    <w:r>
      <w:rPr>
        <w:rFonts w:ascii="Calibri" w:eastAsia="Calibri" w:hAnsi="Calibri" w:cs="Calibri"/>
      </w:rPr>
      <w:fldChar w:fldCharType="end"/>
    </w:r>
    <w:r>
      <w:rPr>
        <w:rFonts w:ascii="Calibri" w:eastAsia="Calibri" w:hAnsi="Calibri" w:cs="Calibri"/>
      </w:rPr>
      <w:tab/>
      <w:t>Upper Permian Play Model (Mid-Norwegian Continental Shelf)</w:t>
    </w:r>
  </w:p>
  <w:p w14:paraId="3DD036D5" w14:textId="77777777" w:rsidR="00A978F6" w:rsidRDefault="001A5B1A">
    <w:pPr>
      <w:spacing w:after="0" w:line="216" w:lineRule="auto"/>
      <w:ind w:left="-1065" w:right="5791" w:firstLine="0"/>
      <w:jc w:val="left"/>
    </w:pPr>
    <w:r>
      <w:rPr>
        <w:rFonts w:ascii="Arial" w:eastAsia="Arial" w:hAnsi="Arial" w:cs="Arial"/>
        <w:color w:val="000000"/>
        <w:sz w:val="12"/>
      </w:rPr>
      <w:t>Downloaded from http://pubs.geoscienceworld.org/aapgbull/article-pdf/86/1/107/3359340/107.pdf by Nanjing University user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8A3A86" w14:textId="77777777" w:rsidR="00A978F6" w:rsidRDefault="001A5B1A">
    <w:pPr>
      <w:tabs>
        <w:tab w:val="center" w:pos="9560"/>
        <w:tab w:val="right" w:pos="11062"/>
      </w:tabs>
      <w:spacing w:after="493" w:line="259" w:lineRule="auto"/>
      <w:ind w:left="0" w:right="0" w:firstLine="0"/>
      <w:jc w:val="left"/>
    </w:pPr>
    <w:r>
      <w:rPr>
        <w:rFonts w:ascii="Calibri" w:eastAsia="Calibri" w:hAnsi="Calibri" w:cs="Calibri"/>
        <w:color w:val="000000"/>
        <w:sz w:val="22"/>
      </w:rPr>
      <w:tab/>
    </w:r>
    <w:proofErr w:type="spellStart"/>
    <w:r>
      <w:rPr>
        <w:rFonts w:ascii="Calibri" w:eastAsia="Calibri" w:hAnsi="Calibri" w:cs="Calibri"/>
      </w:rPr>
      <w:t>Bugge</w:t>
    </w:r>
    <w:proofErr w:type="spellEnd"/>
    <w:r>
      <w:rPr>
        <w:rFonts w:ascii="Calibri" w:eastAsia="Calibri" w:hAnsi="Calibri" w:cs="Calibri"/>
      </w:rPr>
      <w:t xml:space="preserve"> et al.</w:t>
    </w:r>
    <w:r>
      <w:rPr>
        <w:rFonts w:ascii="Calibri" w:eastAsia="Calibri" w:hAnsi="Calibri" w:cs="Calibri"/>
      </w:rPr>
      <w:tab/>
    </w:r>
    <w:r>
      <w:fldChar w:fldCharType="begin"/>
    </w:r>
    <w:r>
      <w:instrText xml:space="preserve"> PAGE   \* MERGEFORMAT </w:instrText>
    </w:r>
    <w:r>
      <w:fldChar w:fldCharType="separate"/>
    </w:r>
    <w:r>
      <w:rPr>
        <w:rFonts w:ascii="Calibri" w:eastAsia="Calibri" w:hAnsi="Calibri" w:cs="Calibri"/>
      </w:rPr>
      <w:t>109</w:t>
    </w:r>
    <w:r>
      <w:rPr>
        <w:rFonts w:ascii="Calibri" w:eastAsia="Calibri" w:hAnsi="Calibri" w:cs="Calibri"/>
      </w:rPr>
      <w:fldChar w:fldCharType="end"/>
    </w:r>
  </w:p>
  <w:p w14:paraId="70F3F248" w14:textId="77777777" w:rsidR="00A978F6" w:rsidRDefault="001A5B1A">
    <w:pPr>
      <w:spacing w:after="0" w:line="216" w:lineRule="auto"/>
      <w:ind w:left="-1065" w:right="5791" w:firstLine="0"/>
      <w:jc w:val="left"/>
    </w:pPr>
    <w:r>
      <w:rPr>
        <w:rFonts w:ascii="Arial" w:eastAsia="Arial" w:hAnsi="Arial" w:cs="Arial"/>
        <w:color w:val="000000"/>
        <w:sz w:val="12"/>
      </w:rPr>
      <w:t>Downloaded from http://pubs.geoscienceworld.org/aapgbull/article-pdf/86/1/107/3359340/107.pdf by Nanjing University user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C38F13" w14:textId="77777777" w:rsidR="00A978F6" w:rsidRDefault="001A5B1A">
    <w:pPr>
      <w:spacing w:after="0" w:line="216" w:lineRule="auto"/>
      <w:ind w:left="-1065" w:right="5791" w:firstLine="0"/>
      <w:jc w:val="left"/>
    </w:pPr>
    <w:r>
      <w:rPr>
        <w:rFonts w:ascii="Arial" w:eastAsia="Arial" w:hAnsi="Arial" w:cs="Arial"/>
        <w:color w:val="000000"/>
        <w:sz w:val="12"/>
      </w:rPr>
      <w:t>Downloaded from http://pubs.geoscienceworld.org/aapgbull/article-pdf/86/1/107/3359340/107.pdf by Nanjing University user</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7E662B" w14:textId="77777777" w:rsidR="00A978F6" w:rsidRDefault="001A5B1A">
    <w:pPr>
      <w:tabs>
        <w:tab w:val="center" w:pos="3256"/>
      </w:tabs>
      <w:spacing w:after="501" w:line="259" w:lineRule="auto"/>
      <w:ind w:left="0" w:right="0" w:firstLine="0"/>
      <w:jc w:val="left"/>
    </w:pPr>
    <w:r>
      <w:fldChar w:fldCharType="begin"/>
    </w:r>
    <w:r>
      <w:instrText xml:space="preserve"> PAGE   \* MERGEFORMAT </w:instrText>
    </w:r>
    <w:r>
      <w:fldChar w:fldCharType="separate"/>
    </w:r>
    <w:r>
      <w:rPr>
        <w:rFonts w:ascii="Calibri" w:eastAsia="Calibri" w:hAnsi="Calibri" w:cs="Calibri"/>
      </w:rPr>
      <w:t>108</w:t>
    </w:r>
    <w:r>
      <w:rPr>
        <w:rFonts w:ascii="Calibri" w:eastAsia="Calibri" w:hAnsi="Calibri" w:cs="Calibri"/>
      </w:rPr>
      <w:fldChar w:fldCharType="end"/>
    </w:r>
    <w:r>
      <w:rPr>
        <w:rFonts w:ascii="Calibri" w:eastAsia="Calibri" w:hAnsi="Calibri" w:cs="Calibri"/>
      </w:rPr>
      <w:tab/>
    </w:r>
    <w:r>
      <w:rPr>
        <w:rFonts w:ascii="Calibri" w:eastAsia="Calibri" w:hAnsi="Calibri" w:cs="Calibri"/>
      </w:rPr>
      <w:t>Upper Permian Play Model (Mid-Norwegian Continental Shelf)</w:t>
    </w:r>
  </w:p>
  <w:p w14:paraId="032273EA" w14:textId="77777777" w:rsidR="00A978F6" w:rsidRDefault="001A5B1A">
    <w:pPr>
      <w:spacing w:after="0" w:line="216" w:lineRule="auto"/>
      <w:ind w:left="-1065" w:right="5596" w:firstLine="0"/>
      <w:jc w:val="left"/>
    </w:pPr>
    <w:r>
      <w:rPr>
        <w:rFonts w:ascii="Arial" w:eastAsia="Arial" w:hAnsi="Arial" w:cs="Arial"/>
        <w:color w:val="000000"/>
        <w:sz w:val="12"/>
      </w:rPr>
      <w:t>Downloaded from http://pubs.geoscienceworld.org/aapgbull/article-pdf/86/1/107/3359340/107.pdf by Nanjing University user</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FAEBEE" w14:textId="77777777" w:rsidR="00A978F6" w:rsidRDefault="001A5B1A">
    <w:pPr>
      <w:tabs>
        <w:tab w:val="center" w:pos="8495"/>
        <w:tab w:val="right" w:pos="9997"/>
      </w:tabs>
      <w:spacing w:after="493" w:line="259" w:lineRule="auto"/>
      <w:ind w:left="0" w:right="-192" w:firstLine="0"/>
      <w:jc w:val="left"/>
    </w:pPr>
    <w:r>
      <w:rPr>
        <w:rFonts w:ascii="Calibri" w:eastAsia="Calibri" w:hAnsi="Calibri" w:cs="Calibri"/>
        <w:color w:val="000000"/>
        <w:sz w:val="22"/>
      </w:rPr>
      <w:tab/>
    </w:r>
    <w:proofErr w:type="spellStart"/>
    <w:r>
      <w:rPr>
        <w:rFonts w:ascii="Calibri" w:eastAsia="Calibri" w:hAnsi="Calibri" w:cs="Calibri"/>
      </w:rPr>
      <w:t>Bugge</w:t>
    </w:r>
    <w:proofErr w:type="spellEnd"/>
    <w:r>
      <w:rPr>
        <w:rFonts w:ascii="Calibri" w:eastAsia="Calibri" w:hAnsi="Calibri" w:cs="Calibri"/>
      </w:rPr>
      <w:t xml:space="preserve"> et al.</w:t>
    </w:r>
    <w:r>
      <w:rPr>
        <w:rFonts w:ascii="Calibri" w:eastAsia="Calibri" w:hAnsi="Calibri" w:cs="Calibri"/>
      </w:rPr>
      <w:tab/>
    </w:r>
    <w:r>
      <w:fldChar w:fldCharType="begin"/>
    </w:r>
    <w:r>
      <w:instrText xml:space="preserve"> PAGE   \* MERGEFORMAT </w:instrText>
    </w:r>
    <w:r>
      <w:fldChar w:fldCharType="separate"/>
    </w:r>
    <w:r>
      <w:rPr>
        <w:rFonts w:ascii="Calibri" w:eastAsia="Calibri" w:hAnsi="Calibri" w:cs="Calibri"/>
      </w:rPr>
      <w:t>109</w:t>
    </w:r>
    <w:r>
      <w:rPr>
        <w:rFonts w:ascii="Calibri" w:eastAsia="Calibri" w:hAnsi="Calibri" w:cs="Calibri"/>
      </w:rPr>
      <w:fldChar w:fldCharType="end"/>
    </w:r>
  </w:p>
  <w:p w14:paraId="0C39D97D" w14:textId="77777777" w:rsidR="00A978F6" w:rsidRDefault="001A5B1A">
    <w:pPr>
      <w:spacing w:after="0" w:line="216" w:lineRule="auto"/>
      <w:ind w:left="-1065" w:right="5596" w:firstLine="0"/>
      <w:jc w:val="left"/>
    </w:pPr>
    <w:r>
      <w:rPr>
        <w:rFonts w:ascii="Arial" w:eastAsia="Arial" w:hAnsi="Arial" w:cs="Arial"/>
        <w:color w:val="000000"/>
        <w:sz w:val="12"/>
      </w:rPr>
      <w:t>Downloaded from http://pubs.geo</w:t>
    </w:r>
    <w:r>
      <w:rPr>
        <w:rFonts w:ascii="Arial" w:eastAsia="Arial" w:hAnsi="Arial" w:cs="Arial"/>
        <w:color w:val="000000"/>
        <w:sz w:val="12"/>
      </w:rPr>
      <w:t>scienceworld.org/aapgbull/article-pdf/86/1/107/3359340/107.pdf by Nanjing University user</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82ADA7" w14:textId="77777777" w:rsidR="00A978F6" w:rsidRDefault="001A5B1A">
    <w:pPr>
      <w:spacing w:after="0" w:line="216" w:lineRule="auto"/>
      <w:ind w:left="-1065" w:right="5596" w:firstLine="0"/>
      <w:jc w:val="left"/>
    </w:pPr>
    <w:r>
      <w:rPr>
        <w:rFonts w:ascii="Arial" w:eastAsia="Arial" w:hAnsi="Arial" w:cs="Arial"/>
        <w:color w:val="000000"/>
        <w:sz w:val="12"/>
      </w:rPr>
      <w:t>Downloaded from http://pubs.geoscienceworld.org/aapgbull/article-pdf/86/1/107/3359340/107.pdf by Nanjing University user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EC55D7" w14:textId="77777777" w:rsidR="00000000" w:rsidRDefault="001A5B1A">
      <w:pPr>
        <w:spacing w:after="0" w:line="240" w:lineRule="auto"/>
      </w:pPr>
      <w:r>
        <w:separator/>
      </w:r>
    </w:p>
  </w:footnote>
  <w:footnote w:type="continuationSeparator" w:id="0">
    <w:p w14:paraId="65E58A75" w14:textId="77777777" w:rsidR="00000000" w:rsidRDefault="001A5B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3C078B"/>
    <w:multiLevelType w:val="hybridMultilevel"/>
    <w:tmpl w:val="30A695BE"/>
    <w:lvl w:ilvl="0" w:tplc="13AC2D94">
      <w:start w:val="1"/>
      <w:numFmt w:val="decimal"/>
      <w:lvlText w:val="%1."/>
      <w:lvlJc w:val="left"/>
      <w:pPr>
        <w:ind w:left="265"/>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1" w:tplc="EC42411A">
      <w:start w:val="1"/>
      <w:numFmt w:val="lowerLetter"/>
      <w:lvlText w:val="%2"/>
      <w:lvlJc w:val="left"/>
      <w:pPr>
        <w:ind w:left="10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2" w:tplc="EDAED5FE">
      <w:start w:val="1"/>
      <w:numFmt w:val="lowerRoman"/>
      <w:lvlText w:val="%3"/>
      <w:lvlJc w:val="left"/>
      <w:pPr>
        <w:ind w:left="18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3" w:tplc="1BB43C8C">
      <w:start w:val="1"/>
      <w:numFmt w:val="decimal"/>
      <w:lvlText w:val="%4"/>
      <w:lvlJc w:val="left"/>
      <w:pPr>
        <w:ind w:left="25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4" w:tplc="2E96ACD6">
      <w:start w:val="1"/>
      <w:numFmt w:val="lowerLetter"/>
      <w:lvlText w:val="%5"/>
      <w:lvlJc w:val="left"/>
      <w:pPr>
        <w:ind w:left="32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5" w:tplc="1AF23728">
      <w:start w:val="1"/>
      <w:numFmt w:val="lowerRoman"/>
      <w:lvlText w:val="%6"/>
      <w:lvlJc w:val="left"/>
      <w:pPr>
        <w:ind w:left="396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6" w:tplc="89D2E378">
      <w:start w:val="1"/>
      <w:numFmt w:val="decimal"/>
      <w:lvlText w:val="%7"/>
      <w:lvlJc w:val="left"/>
      <w:pPr>
        <w:ind w:left="46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7" w:tplc="0E7869CC">
      <w:start w:val="1"/>
      <w:numFmt w:val="lowerLetter"/>
      <w:lvlText w:val="%8"/>
      <w:lvlJc w:val="left"/>
      <w:pPr>
        <w:ind w:left="54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8" w:tplc="47B675D0">
      <w:start w:val="1"/>
      <w:numFmt w:val="lowerRoman"/>
      <w:lvlText w:val="%9"/>
      <w:lvlJc w:val="left"/>
      <w:pPr>
        <w:ind w:left="61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abstractNum>
  <w:abstractNum w:abstractNumId="1" w15:restartNumberingAfterBreak="0">
    <w:nsid w:val="5C4E6B10"/>
    <w:multiLevelType w:val="hybridMultilevel"/>
    <w:tmpl w:val="15B4F5D2"/>
    <w:lvl w:ilvl="0" w:tplc="3B06E4BC">
      <w:start w:val="7"/>
      <w:numFmt w:val="upperLetter"/>
      <w:lvlText w:val="%1."/>
      <w:lvlJc w:val="left"/>
      <w:pPr>
        <w:ind w:left="122"/>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1" w:tplc="8404212E">
      <w:start w:val="1"/>
      <w:numFmt w:val="lowerLetter"/>
      <w:lvlText w:val="%2"/>
      <w:lvlJc w:val="left"/>
      <w:pPr>
        <w:ind w:left="108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2" w:tplc="341A57A8">
      <w:start w:val="1"/>
      <w:numFmt w:val="lowerRoman"/>
      <w:lvlText w:val="%3"/>
      <w:lvlJc w:val="left"/>
      <w:pPr>
        <w:ind w:left="180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3" w:tplc="453A1DA2">
      <w:start w:val="1"/>
      <w:numFmt w:val="decimal"/>
      <w:lvlText w:val="%4"/>
      <w:lvlJc w:val="left"/>
      <w:pPr>
        <w:ind w:left="252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4" w:tplc="59660146">
      <w:start w:val="1"/>
      <w:numFmt w:val="lowerLetter"/>
      <w:lvlText w:val="%5"/>
      <w:lvlJc w:val="left"/>
      <w:pPr>
        <w:ind w:left="324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5" w:tplc="5308EF6E">
      <w:start w:val="1"/>
      <w:numFmt w:val="lowerRoman"/>
      <w:lvlText w:val="%6"/>
      <w:lvlJc w:val="left"/>
      <w:pPr>
        <w:ind w:left="396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6" w:tplc="DEBEE1C8">
      <w:start w:val="1"/>
      <w:numFmt w:val="decimal"/>
      <w:lvlText w:val="%7"/>
      <w:lvlJc w:val="left"/>
      <w:pPr>
        <w:ind w:left="468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7" w:tplc="46C08FF0">
      <w:start w:val="1"/>
      <w:numFmt w:val="lowerLetter"/>
      <w:lvlText w:val="%8"/>
      <w:lvlJc w:val="left"/>
      <w:pPr>
        <w:ind w:left="540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8" w:tplc="87008066">
      <w:start w:val="1"/>
      <w:numFmt w:val="lowerRoman"/>
      <w:lvlText w:val="%9"/>
      <w:lvlJc w:val="left"/>
      <w:pPr>
        <w:ind w:left="612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00"/>
  <w:mirrorMargins/>
  <w:bordersDoNotSurroundHeader/>
  <w:bordersDoNotSurroundFooter/>
  <w:proofState w:spelling="clean" w:grammar="clean"/>
  <w:defaultTabStop w:val="4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78F6"/>
    <w:rsid w:val="001A5B1A"/>
    <w:rsid w:val="00A978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8B7688"/>
  <w15:docId w15:val="{C3EFB8F3-4866-45F0-A455-8F88218F2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4" w:line="268" w:lineRule="auto"/>
      <w:ind w:left="191" w:right="2" w:firstLine="349"/>
      <w:jc w:val="both"/>
    </w:pPr>
    <w:rPr>
      <w:rFonts w:ascii="Times New Roman" w:eastAsia="Times New Roman" w:hAnsi="Times New Roman" w:cs="Times New Roman"/>
      <w:color w:val="181717"/>
      <w:sz w:val="20"/>
    </w:rPr>
  </w:style>
  <w:style w:type="paragraph" w:styleId="1">
    <w:name w:val="heading 1"/>
    <w:next w:val="a"/>
    <w:link w:val="10"/>
    <w:uiPriority w:val="9"/>
    <w:qFormat/>
    <w:pPr>
      <w:keepNext/>
      <w:keepLines/>
      <w:spacing w:after="257" w:line="257" w:lineRule="auto"/>
      <w:ind w:left="201" w:hanging="10"/>
      <w:outlineLvl w:val="0"/>
    </w:pPr>
    <w:rPr>
      <w:rFonts w:ascii="Calibri" w:eastAsia="Calibri" w:hAnsi="Calibri" w:cs="Calibri"/>
      <w:color w:val="181717"/>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Calibri" w:eastAsia="Calibri" w:hAnsi="Calibri" w:cs="Calibri"/>
      <w:color w:val="181717"/>
      <w:sz w:val="20"/>
    </w:rPr>
  </w:style>
  <w:style w:type="table" w:customStyle="1" w:styleId="TableGrid">
    <w:name w:val="TableGrid"/>
    <w:tblPr>
      <w:tblCellMar>
        <w:top w:w="0" w:type="dxa"/>
        <w:left w:w="0" w:type="dxa"/>
        <w:bottom w:w="0" w:type="dxa"/>
        <w:right w:w="0" w:type="dxa"/>
      </w:tblCellMar>
    </w:tblPr>
  </w:style>
  <w:style w:type="paragraph" w:styleId="a3">
    <w:name w:val="header"/>
    <w:basedOn w:val="a"/>
    <w:link w:val="a4"/>
    <w:uiPriority w:val="99"/>
    <w:unhideWhenUsed/>
    <w:rsid w:val="001A5B1A"/>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1A5B1A"/>
    <w:rPr>
      <w:rFonts w:ascii="Times New Roman" w:eastAsia="Times New Roman" w:hAnsi="Times New Roman" w:cs="Times New Roman"/>
      <w:color w:val="181717"/>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4.jpg"/><Relationship Id="rId18" Type="http://schemas.openxmlformats.org/officeDocument/2006/relationships/footer" Target="footer5.xml"/><Relationship Id="rId26"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9.jpg"/><Relationship Id="rId7" Type="http://schemas.openxmlformats.org/officeDocument/2006/relationships/image" Target="media/image1.jpg"/><Relationship Id="rId12" Type="http://schemas.openxmlformats.org/officeDocument/2006/relationships/footer" Target="footer3.xml"/><Relationship Id="rId17" Type="http://schemas.openxmlformats.org/officeDocument/2006/relationships/footer" Target="footer4.xml"/><Relationship Id="rId25"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8.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2.jpg"/><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1.jp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5.jpg"/><Relationship Id="rId22" Type="http://schemas.openxmlformats.org/officeDocument/2006/relationships/image" Target="media/image10.jpg"/><Relationship Id="rId27" Type="http://schemas.openxmlformats.org/officeDocument/2006/relationships/image" Target="media/image15.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11053</Words>
  <Characters>63007</Characters>
  <Application>Microsoft Office Word</Application>
  <DocSecurity>0</DocSecurity>
  <Lines>525</Lines>
  <Paragraphs>147</Paragraphs>
  <ScaleCrop>false</ScaleCrop>
  <Company/>
  <LinksUpToDate>false</LinksUpToDate>
  <CharactersWithSpaces>73913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dachui</dc:creator>
  <cp:keywords/>
  <cp:lastModifiedBy>wang dachui</cp:lastModifiedBy>
  <cp:revision>2</cp:revision>
  <dcterms:created xsi:type="dcterms:W3CDTF">2021-02-12T17:50:00Z</dcterms:created>
  <dcterms:modified xsi:type="dcterms:W3CDTF">2021-02-12T17:50:00Z</dcterms:modified>
</cp:coreProperties>
</file>