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9EC54" w14:textId="77777777" w:rsidR="0081446C" w:rsidRDefault="002452A6">
      <w:pPr>
        <w:spacing w:after="268" w:line="216" w:lineRule="auto"/>
        <w:ind w:left="0" w:firstLine="0"/>
        <w:jc w:val="center"/>
      </w:pPr>
      <w:r>
        <w:rPr>
          <w:b/>
          <w:sz w:val="23"/>
        </w:rPr>
        <w:t>THE EFFECT OF STYLOLITE SPACING ON QUARTZ CEMENTATION IN THE LOWER JURASSIC STØ FORMATION, SOUTHERN BARENTS SEA</w:t>
      </w:r>
    </w:p>
    <w:p w14:paraId="0CFC3F64" w14:textId="77777777" w:rsidR="0081446C" w:rsidRDefault="002452A6">
      <w:pPr>
        <w:spacing w:after="0" w:line="259" w:lineRule="auto"/>
        <w:ind w:firstLine="0"/>
        <w:jc w:val="center"/>
      </w:pPr>
      <w:r>
        <w:t xml:space="preserve">OLAV WALDERHAUG </w:t>
      </w:r>
      <w:r>
        <w:rPr>
          <w:sz w:val="13"/>
        </w:rPr>
        <w:t xml:space="preserve">AND </w:t>
      </w:r>
      <w:r>
        <w:t>PER ARNE BJØRKUM</w:t>
      </w:r>
    </w:p>
    <w:p w14:paraId="44188FF5" w14:textId="77777777" w:rsidR="0081446C" w:rsidRDefault="002452A6">
      <w:pPr>
        <w:spacing w:after="0" w:line="244" w:lineRule="auto"/>
        <w:ind w:left="3549" w:right="3548" w:firstLine="0"/>
        <w:jc w:val="center"/>
      </w:pPr>
      <w:r>
        <w:rPr>
          <w:i/>
          <w:sz w:val="17"/>
        </w:rPr>
        <w:t>Statoil ASA N-4035 Stavanger, Norway e-mail: OWALD@statoil.com</w:t>
      </w:r>
    </w:p>
    <w:p w14:paraId="7D577F6B" w14:textId="77777777" w:rsidR="0081446C" w:rsidRDefault="0081446C">
      <w:pPr>
        <w:sectPr w:rsidR="0081446C">
          <w:headerReference w:type="even" r:id="rId6"/>
          <w:headerReference w:type="default" r:id="rId7"/>
          <w:footerReference w:type="even" r:id="rId8"/>
          <w:footerReference w:type="default" r:id="rId9"/>
          <w:headerReference w:type="first" r:id="rId10"/>
          <w:footerReference w:type="first" r:id="rId11"/>
          <w:pgSz w:w="12240" w:h="15840"/>
          <w:pgMar w:top="1333" w:right="1280" w:bottom="727" w:left="1043" w:header="720" w:footer="720" w:gutter="0"/>
          <w:pgNumType w:start="146"/>
          <w:cols w:space="720"/>
          <w:titlePg/>
        </w:sectPr>
      </w:pPr>
    </w:p>
    <w:p w14:paraId="20C02EC6" w14:textId="77777777" w:rsidR="0081446C" w:rsidRDefault="002452A6">
      <w:pPr>
        <w:spacing w:after="0" w:line="230" w:lineRule="auto"/>
        <w:ind w:left="0" w:right="71" w:firstLine="0"/>
      </w:pPr>
      <w:r>
        <w:rPr>
          <w:b/>
        </w:rPr>
        <w:t>A</w:t>
      </w:r>
      <w:r>
        <w:rPr>
          <w:b/>
          <w:sz w:val="13"/>
        </w:rPr>
        <w:t>BSTRACT</w:t>
      </w:r>
      <w:r>
        <w:rPr>
          <w:b/>
        </w:rPr>
        <w:t xml:space="preserve">: The shallow marine Lower Jurassic quartz arenites of the </w:t>
      </w:r>
      <w:proofErr w:type="spellStart"/>
      <w:r>
        <w:rPr>
          <w:b/>
        </w:rPr>
        <w:t>Stø</w:t>
      </w:r>
      <w:proofErr w:type="spellEnd"/>
      <w:r>
        <w:rPr>
          <w:b/>
        </w:rPr>
        <w:t xml:space="preserve"> Formation in the southern Barents Sea comprise</w:t>
      </w:r>
      <w:r>
        <w:rPr>
          <w:b/>
        </w:rPr>
        <w:t xml:space="preserve"> (1) intervals where dispersed detrital clay is absent, and where the spacing between clay-rich laminae that evolved into </w:t>
      </w:r>
      <w:proofErr w:type="spellStart"/>
      <w:r>
        <w:rPr>
          <w:b/>
        </w:rPr>
        <w:t>stylolites</w:t>
      </w:r>
      <w:proofErr w:type="spellEnd"/>
      <w:r>
        <w:rPr>
          <w:b/>
        </w:rPr>
        <w:t xml:space="preserve"> upon burial is exceptionally large, up to several meters, and (2) intervals where minor detrital clay matrix occurs, clay l</w:t>
      </w:r>
      <w:r>
        <w:rPr>
          <w:b/>
        </w:rPr>
        <w:t>aminae are very common, and stylolite spacing is typically less than a centimeter. Point counting of thin sections and cathodoluminescence micrographs shows that quartz cement contents are far lower in the intervals where stylolite spacing is exceptionally</w:t>
      </w:r>
      <w:r>
        <w:rPr>
          <w:b/>
        </w:rPr>
        <w:t xml:space="preserve"> large, 4–11%, versus 10–20% outside these intervals. There is also a correlation between distance to nearest stylolite and volume of quartz cement. Samples located a centimeter or less from a stylolite contain 10–20% quartz overgrowths, for distances of 3</w:t>
      </w:r>
      <w:r>
        <w:rPr>
          <w:b/>
        </w:rPr>
        <w:t>–20 cm quartz cement content is 4–10%, and only 3–8% when the closest stylolite is more than 20 cm distant. Modeling of quartz cementation with the Exemplar</w:t>
      </w:r>
      <w:r>
        <w:rPr>
          <w:rFonts w:ascii="Calibri" w:eastAsia="Calibri" w:hAnsi="Calibri" w:cs="Calibri"/>
        </w:rPr>
        <w:t xml:space="preserve">y </w:t>
      </w:r>
      <w:r>
        <w:rPr>
          <w:b/>
        </w:rPr>
        <w:t>diagenetic modeling program indicates that the observed trend of decreasing quartz cement abundanc</w:t>
      </w:r>
      <w:r>
        <w:rPr>
          <w:b/>
        </w:rPr>
        <w:t xml:space="preserve">e outwards from </w:t>
      </w:r>
      <w:proofErr w:type="spellStart"/>
      <w:r>
        <w:rPr>
          <w:b/>
        </w:rPr>
        <w:t>stylolites</w:t>
      </w:r>
      <w:proofErr w:type="spellEnd"/>
      <w:r>
        <w:rPr>
          <w:b/>
        </w:rPr>
        <w:t xml:space="preserve"> is not caused by variations in grain size, degree of grain coating, or content of quartz grains, i.e., the trend is not due to more quartz surface area being available for overgrowth formation close to </w:t>
      </w:r>
      <w:proofErr w:type="spellStart"/>
      <w:r>
        <w:rPr>
          <w:b/>
        </w:rPr>
        <w:t>stylolites</w:t>
      </w:r>
      <w:proofErr w:type="spellEnd"/>
      <w:r>
        <w:rPr>
          <w:b/>
        </w:rPr>
        <w:t>. On the contrary</w:t>
      </w:r>
      <w:r>
        <w:rPr>
          <w:b/>
        </w:rPr>
        <w:t xml:space="preserve">, the modeling suggests that the samples situated more than 20 cm from </w:t>
      </w:r>
      <w:proofErr w:type="spellStart"/>
      <w:r>
        <w:rPr>
          <w:b/>
        </w:rPr>
        <w:t>stylolites</w:t>
      </w:r>
      <w:proofErr w:type="spellEnd"/>
      <w:r>
        <w:rPr>
          <w:b/>
        </w:rPr>
        <w:t xml:space="preserve"> contain 5–8% less quartz cement than what would have been the case given a more normal stylolite abundance. This study indicates that sandstones with exceptionally few clay-r</w:t>
      </w:r>
      <w:r>
        <w:rPr>
          <w:b/>
        </w:rPr>
        <w:t>ich or micaceous laminae and without clay or mica at individual grain contacts will be significantly less quartz cemented and more porous than other sandstones with similar temperature histories. However, such sandstones seem to be highly unusual on the No</w:t>
      </w:r>
      <w:r>
        <w:rPr>
          <w:b/>
        </w:rPr>
        <w:t xml:space="preserve">rwegian continental shelf. This suggests that exceptionally low abundance of stylolite precursors may be of only local importance for preserving reservoir quality at elevated temperatures, and that it is normally not necessary to include stylolite spacing </w:t>
      </w:r>
      <w:r>
        <w:rPr>
          <w:b/>
        </w:rPr>
        <w:t>and distance to the nearest stylolite as variables in quantitative models of quartz cementation.</w:t>
      </w:r>
    </w:p>
    <w:p w14:paraId="07CF21FF" w14:textId="77777777" w:rsidR="0081446C" w:rsidRDefault="002452A6">
      <w:pPr>
        <w:spacing w:after="304" w:line="259" w:lineRule="auto"/>
        <w:ind w:left="1440" w:firstLine="0"/>
        <w:jc w:val="left"/>
      </w:pPr>
      <w:r>
        <w:rPr>
          <w:rFonts w:ascii="Calibri" w:eastAsia="Calibri" w:hAnsi="Calibri" w:cs="Calibri"/>
          <w:noProof/>
          <w:color w:val="000000"/>
          <w:sz w:val="22"/>
        </w:rPr>
        <mc:AlternateContent>
          <mc:Choice Requires="wpg">
            <w:drawing>
              <wp:inline distT="0" distB="0" distL="0" distR="0" wp14:anchorId="5C95EBA8" wp14:editId="7E7E63C5">
                <wp:extent cx="1371600" cy="6350"/>
                <wp:effectExtent l="0" t="0" r="0" b="0"/>
                <wp:docPr id="19801" name="Group 19801"/>
                <wp:cNvGraphicFramePr/>
                <a:graphic xmlns:a="http://schemas.openxmlformats.org/drawingml/2006/main">
                  <a:graphicData uri="http://schemas.microsoft.com/office/word/2010/wordprocessingGroup">
                    <wpg:wgp>
                      <wpg:cNvGrpSpPr/>
                      <wpg:grpSpPr>
                        <a:xfrm>
                          <a:off x="0" y="0"/>
                          <a:ext cx="1371600" cy="6350"/>
                          <a:chOff x="0" y="0"/>
                          <a:chExt cx="1371600" cy="6350"/>
                        </a:xfrm>
                      </wpg:grpSpPr>
                      <wps:wsp>
                        <wps:cNvPr id="25272" name="Shape 25272"/>
                        <wps:cNvSpPr/>
                        <wps:spPr>
                          <a:xfrm>
                            <a:off x="0" y="0"/>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19801" style="width:108pt;height:0.5pt;mso-position-horizontal-relative:char;mso-position-vertical-relative:line" coordsize="13716,63">
                <v:shape id="Shape 25273" style="position:absolute;width:13716;height:91;left:0;top:0;" coordsize="1371600,9144" path="m0,0l1371600,0l1371600,9144l0,9144l0,0">
                  <v:stroke weight="0pt" endcap="flat" joinstyle="miter" miterlimit="10" on="false" color="#000000" opacity="0"/>
                  <v:fill on="true" color="#181717"/>
                </v:shape>
              </v:group>
            </w:pict>
          </mc:Fallback>
        </mc:AlternateContent>
      </w:r>
    </w:p>
    <w:p w14:paraId="3057F2BA" w14:textId="77777777" w:rsidR="0081446C" w:rsidRDefault="002452A6">
      <w:pPr>
        <w:pStyle w:val="1"/>
        <w:spacing w:after="177"/>
        <w:ind w:left="248" w:right="308"/>
      </w:pPr>
      <w:r>
        <w:rPr>
          <w:i w:val="0"/>
          <w:sz w:val="15"/>
        </w:rPr>
        <w:t>INTRODUCTION</w:t>
      </w:r>
    </w:p>
    <w:p w14:paraId="3907A12A" w14:textId="77777777" w:rsidR="0081446C" w:rsidRDefault="002452A6">
      <w:pPr>
        <w:spacing w:after="225"/>
        <w:ind w:left="-15"/>
      </w:pPr>
      <w:r>
        <w:t xml:space="preserve">Quartz cement is the dominant diagenetic mineral and the main control on reservoir quality in deeply buried quartz-rich sandstones in many basins (Blatt 1979; Land and Fisher 1987; McBride 1989; Bloch et al. 1990; Ehrenberg 1990), but there is still not </w:t>
      </w:r>
      <w:proofErr w:type="gramStart"/>
      <w:r>
        <w:t xml:space="preserve">a </w:t>
      </w:r>
      <w:r>
        <w:t>general consensus</w:t>
      </w:r>
      <w:proofErr w:type="gramEnd"/>
      <w:r>
        <w:t xml:space="preserve"> regarding sources of quartz cement and mechanisms of quartz cementation (McBride 1989; Worden and </w:t>
      </w:r>
      <w:proofErr w:type="spellStart"/>
      <w:r>
        <w:t>Morad</w:t>
      </w:r>
      <w:proofErr w:type="spellEnd"/>
      <w:r>
        <w:t xml:space="preserve"> 2000). Some workers favor transport of dissolved silica into sandstones from external sources (Riches et al. 1986; Burley et al. 1989;</w:t>
      </w:r>
      <w:r>
        <w:t xml:space="preserve"> Land and Milliken 2000), whereas others regard the extent of fluid flow required for transporting significant amounts of dissolved silica as prohibitive, and favor internal sources of quartz cement (</w:t>
      </w:r>
      <w:proofErr w:type="spellStart"/>
      <w:r>
        <w:t>Bjørlykke</w:t>
      </w:r>
      <w:proofErr w:type="spellEnd"/>
      <w:r>
        <w:t xml:space="preserve"> 1980; </w:t>
      </w:r>
      <w:proofErr w:type="spellStart"/>
      <w:r>
        <w:t>Walderhaug</w:t>
      </w:r>
      <w:proofErr w:type="spellEnd"/>
      <w:r>
        <w:t xml:space="preserve"> 1994; </w:t>
      </w:r>
      <w:proofErr w:type="spellStart"/>
      <w:r>
        <w:t>Bjørkum</w:t>
      </w:r>
      <w:proofErr w:type="spellEnd"/>
      <w:r>
        <w:t xml:space="preserve"> et al. 1998). A</w:t>
      </w:r>
      <w:r>
        <w:t xml:space="preserve">mong possible internal sources, the </w:t>
      </w:r>
      <w:proofErr w:type="gramStart"/>
      <w:r>
        <w:t>most commonly cited</w:t>
      </w:r>
      <w:proofErr w:type="gramEnd"/>
      <w:r>
        <w:t xml:space="preserve"> are dissolution of quartz grains at </w:t>
      </w:r>
      <w:proofErr w:type="spellStart"/>
      <w:r>
        <w:t>stylolites</w:t>
      </w:r>
      <w:proofErr w:type="spellEnd"/>
      <w:r>
        <w:t xml:space="preserve"> (Heald 1955; Sibley and Blatt 1976; </w:t>
      </w:r>
      <w:proofErr w:type="spellStart"/>
      <w:r>
        <w:t>Olaussen</w:t>
      </w:r>
      <w:proofErr w:type="spellEnd"/>
      <w:r>
        <w:t xml:space="preserve"> et al. 1984; </w:t>
      </w:r>
      <w:proofErr w:type="spellStart"/>
      <w:r>
        <w:t>Bjørlykke</w:t>
      </w:r>
      <w:proofErr w:type="spellEnd"/>
      <w:r>
        <w:t xml:space="preserve"> et al. 1986) or individual grain contacts </w:t>
      </w:r>
      <w:r>
        <w:t>(</w:t>
      </w:r>
      <w:proofErr w:type="spellStart"/>
      <w:r>
        <w:t>Waldschmidt</w:t>
      </w:r>
      <w:proofErr w:type="spellEnd"/>
      <w:r>
        <w:t xml:space="preserve"> 1941; Lowry 1956; Sibley and B</w:t>
      </w:r>
      <w:r>
        <w:t xml:space="preserve">latt 1976; </w:t>
      </w:r>
      <w:proofErr w:type="spellStart"/>
      <w:r>
        <w:t>Houseknecht</w:t>
      </w:r>
      <w:proofErr w:type="spellEnd"/>
      <w:r>
        <w:t xml:space="preserve"> 1988). Whether dissolution at </w:t>
      </w:r>
      <w:proofErr w:type="spellStart"/>
      <w:r>
        <w:t>stylolites</w:t>
      </w:r>
      <w:proofErr w:type="spellEnd"/>
      <w:r>
        <w:t xml:space="preserve"> and grain contacts is a pressure-solution process where dissolution rate is a function of the stress on the grain contacts (Weyl 1959; </w:t>
      </w:r>
      <w:proofErr w:type="spellStart"/>
      <w:r>
        <w:t>Dewers</w:t>
      </w:r>
      <w:proofErr w:type="spellEnd"/>
      <w:r>
        <w:t xml:space="preserve"> and </w:t>
      </w:r>
      <w:proofErr w:type="spellStart"/>
      <w:r>
        <w:t>Ortoleva</w:t>
      </w:r>
      <w:proofErr w:type="spellEnd"/>
      <w:r>
        <w:t xml:space="preserve"> 1990; Mullis 1991) or rather a pressu</w:t>
      </w:r>
      <w:r>
        <w:t xml:space="preserve">re-insensitive process </w:t>
      </w:r>
      <w:proofErr w:type="gramStart"/>
      <w:r>
        <w:t>where</w:t>
      </w:r>
      <w:proofErr w:type="gramEnd"/>
    </w:p>
    <w:p w14:paraId="74BE88B1" w14:textId="77777777" w:rsidR="0081446C" w:rsidRDefault="002452A6">
      <w:pPr>
        <w:spacing w:after="38" w:line="229" w:lineRule="auto"/>
        <w:ind w:left="0" w:firstLine="0"/>
      </w:pPr>
      <w:r>
        <w:rPr>
          <w:sz w:val="17"/>
        </w:rPr>
        <w:t>J</w:t>
      </w:r>
      <w:r>
        <w:rPr>
          <w:sz w:val="12"/>
        </w:rPr>
        <w:t xml:space="preserve">OURNAL OF </w:t>
      </w:r>
      <w:r>
        <w:rPr>
          <w:sz w:val="17"/>
        </w:rPr>
        <w:t>S</w:t>
      </w:r>
      <w:r>
        <w:rPr>
          <w:sz w:val="12"/>
        </w:rPr>
        <w:t xml:space="preserve">EDIMENTARY </w:t>
      </w:r>
      <w:r>
        <w:rPr>
          <w:sz w:val="17"/>
        </w:rPr>
        <w:t>R</w:t>
      </w:r>
      <w:r>
        <w:rPr>
          <w:sz w:val="12"/>
        </w:rPr>
        <w:t>ESEARCH</w:t>
      </w:r>
      <w:r>
        <w:rPr>
          <w:sz w:val="17"/>
        </w:rPr>
        <w:t>, V</w:t>
      </w:r>
      <w:r>
        <w:rPr>
          <w:sz w:val="12"/>
        </w:rPr>
        <w:t>OL</w:t>
      </w:r>
      <w:r>
        <w:rPr>
          <w:sz w:val="17"/>
        </w:rPr>
        <w:t>. 73, N</w:t>
      </w:r>
      <w:r>
        <w:rPr>
          <w:sz w:val="12"/>
        </w:rPr>
        <w:t>O</w:t>
      </w:r>
      <w:r>
        <w:rPr>
          <w:sz w:val="17"/>
        </w:rPr>
        <w:t>. 2, M</w:t>
      </w:r>
      <w:r>
        <w:rPr>
          <w:sz w:val="12"/>
        </w:rPr>
        <w:t>ARCH</w:t>
      </w:r>
      <w:r>
        <w:rPr>
          <w:sz w:val="17"/>
        </w:rPr>
        <w:t xml:space="preserve">, 2003, </w:t>
      </w:r>
      <w:r>
        <w:rPr>
          <w:sz w:val="12"/>
        </w:rPr>
        <w:t>P</w:t>
      </w:r>
      <w:r>
        <w:rPr>
          <w:sz w:val="17"/>
        </w:rPr>
        <w:t>. 146–156</w:t>
      </w:r>
    </w:p>
    <w:p w14:paraId="4C8EF698" w14:textId="77777777" w:rsidR="0081446C" w:rsidRDefault="002452A6">
      <w:pPr>
        <w:tabs>
          <w:tab w:val="right" w:pos="5116"/>
        </w:tabs>
        <w:spacing w:after="22" w:line="230" w:lineRule="auto"/>
        <w:ind w:left="-15" w:firstLine="0"/>
        <w:jc w:val="left"/>
      </w:pPr>
      <w:r>
        <w:rPr>
          <w:sz w:val="15"/>
        </w:rPr>
        <w:t xml:space="preserve">Copyright </w:t>
      </w:r>
      <w:r>
        <w:rPr>
          <w:rFonts w:ascii="Calibri" w:eastAsia="Calibri" w:hAnsi="Calibri" w:cs="Calibri"/>
          <w:sz w:val="15"/>
        </w:rPr>
        <w:t xml:space="preserve">q </w:t>
      </w:r>
      <w:r>
        <w:rPr>
          <w:sz w:val="15"/>
        </w:rPr>
        <w:t>2003, SEPM (Society for Sedimentary Geology)</w:t>
      </w:r>
      <w:r>
        <w:rPr>
          <w:sz w:val="15"/>
        </w:rPr>
        <w:tab/>
        <w:t>1527-1404/03/073-146/$03.00</w:t>
      </w:r>
    </w:p>
    <w:p w14:paraId="23970EA5" w14:textId="77777777" w:rsidR="0081446C" w:rsidRDefault="002452A6">
      <w:pPr>
        <w:ind w:left="-15" w:right="244" w:firstLine="0"/>
      </w:pPr>
      <w:r>
        <w:t>quartz dissolution is a result of the catalytic effect of the clay or mica at the contacts (</w:t>
      </w:r>
      <w:proofErr w:type="spellStart"/>
      <w:r>
        <w:t>Bjørkum</w:t>
      </w:r>
      <w:proofErr w:type="spellEnd"/>
      <w:r>
        <w:t xml:space="preserve"> 1996; </w:t>
      </w:r>
      <w:proofErr w:type="spellStart"/>
      <w:r>
        <w:t>Oelkers</w:t>
      </w:r>
      <w:proofErr w:type="spellEnd"/>
      <w:r>
        <w:t xml:space="preserve"> et al. 1996; </w:t>
      </w:r>
      <w:proofErr w:type="spellStart"/>
      <w:r>
        <w:t>Walderhaug</w:t>
      </w:r>
      <w:proofErr w:type="spellEnd"/>
      <w:r>
        <w:t xml:space="preserve"> 1996) is also a matter of continuing debate.</w:t>
      </w:r>
    </w:p>
    <w:p w14:paraId="75199938" w14:textId="77777777" w:rsidR="0081446C" w:rsidRDefault="002452A6">
      <w:pPr>
        <w:spacing w:after="242"/>
        <w:ind w:left="-15" w:right="241"/>
      </w:pPr>
      <w:r>
        <w:t xml:space="preserve">Several recent quantitative models of closed-system quartz cementation consider the total quartz cementation process to comprise three steps: (1) dissolution of quartz at </w:t>
      </w:r>
      <w:proofErr w:type="spellStart"/>
      <w:r>
        <w:t>stylolites</w:t>
      </w:r>
      <w:proofErr w:type="spellEnd"/>
      <w:r>
        <w:t xml:space="preserve"> or individual grain contacts containing clay or mica, (2) short-range diff</w:t>
      </w:r>
      <w:r>
        <w:t>usion (millimeters–centimeters) of silica, and (3) precipitation of dissolved silica as quartz overgrowths on quartz grain surfaces. The models either model all three steps of the process (</w:t>
      </w:r>
      <w:proofErr w:type="spellStart"/>
      <w:r>
        <w:t>Oelkers</w:t>
      </w:r>
      <w:proofErr w:type="spellEnd"/>
      <w:r>
        <w:t xml:space="preserve"> et al. 1996; </w:t>
      </w:r>
      <w:proofErr w:type="spellStart"/>
      <w:r>
        <w:t>Bjørkum</w:t>
      </w:r>
      <w:proofErr w:type="spellEnd"/>
      <w:r>
        <w:t xml:space="preserve"> et al. 1998) or assume that the precip</w:t>
      </w:r>
      <w:r>
        <w:t>itation step is rate-limiting and therefore model only the precipitation step (</w:t>
      </w:r>
      <w:proofErr w:type="spellStart"/>
      <w:r>
        <w:t>Walderhaug</w:t>
      </w:r>
      <w:proofErr w:type="spellEnd"/>
      <w:r>
        <w:t xml:space="preserve"> 1996; Lander and </w:t>
      </w:r>
      <w:proofErr w:type="spellStart"/>
      <w:r>
        <w:t>Walderhaug</w:t>
      </w:r>
      <w:proofErr w:type="spellEnd"/>
      <w:r>
        <w:t xml:space="preserve"> 1999). One of the simplifications resulting from assuming precipitation rate control is that the spacing between </w:t>
      </w:r>
      <w:proofErr w:type="spellStart"/>
      <w:r>
        <w:t>stylolites</w:t>
      </w:r>
      <w:proofErr w:type="spellEnd"/>
      <w:r>
        <w:t xml:space="preserve"> and distance t</w:t>
      </w:r>
      <w:r>
        <w:t xml:space="preserve">o nearest stylolite are not necessary input parameters when calculating quartz cementation in a sample. In other words, the decrease of silica supersaturation and reduction of quartz precipitation rate per unit surface area outwards from </w:t>
      </w:r>
      <w:proofErr w:type="spellStart"/>
      <w:r>
        <w:t>stylolites</w:t>
      </w:r>
      <w:proofErr w:type="spellEnd"/>
      <w:r>
        <w:t xml:space="preserve"> are ass</w:t>
      </w:r>
      <w:r>
        <w:t xml:space="preserve">umed to be so small that they can be ignored, and silica supersaturation is assumed not to reach significantly higher values between closely spaced </w:t>
      </w:r>
      <w:proofErr w:type="spellStart"/>
      <w:r>
        <w:t>stylolites</w:t>
      </w:r>
      <w:proofErr w:type="spellEnd"/>
      <w:r>
        <w:t xml:space="preserve"> compared to between </w:t>
      </w:r>
      <w:proofErr w:type="spellStart"/>
      <w:r>
        <w:t>stylolites</w:t>
      </w:r>
      <w:proofErr w:type="spellEnd"/>
      <w:r>
        <w:t xml:space="preserve"> with greater separation. These assumptions have been shown to be v</w:t>
      </w:r>
      <w:r>
        <w:t>alid for typical sandstones from the Norwegian shelf (</w:t>
      </w:r>
      <w:proofErr w:type="spellStart"/>
      <w:r>
        <w:t>Walderhaug</w:t>
      </w:r>
      <w:proofErr w:type="spellEnd"/>
      <w:r>
        <w:t xml:space="preserve"> 2000; </w:t>
      </w:r>
      <w:proofErr w:type="spellStart"/>
      <w:r>
        <w:t>Walderhaug</w:t>
      </w:r>
      <w:proofErr w:type="spellEnd"/>
      <w:r>
        <w:t xml:space="preserve"> et al. 2000) and from the Gulf of Mexico and the Baltic (Lander and </w:t>
      </w:r>
      <w:proofErr w:type="spellStart"/>
      <w:r>
        <w:t>Walderhaug</w:t>
      </w:r>
      <w:proofErr w:type="spellEnd"/>
      <w:r>
        <w:t xml:space="preserve"> 1999). However, as stylolite spacing increases and reaches unusually large values, the simplifi</w:t>
      </w:r>
      <w:r>
        <w:t xml:space="preserve">ed closed-system quartz cementation models become less accurate and overpredict quartz cementation, especially far from </w:t>
      </w:r>
      <w:proofErr w:type="spellStart"/>
      <w:r>
        <w:t>stylolites</w:t>
      </w:r>
      <w:proofErr w:type="spellEnd"/>
      <w:r>
        <w:t xml:space="preserve">. This study attempts to determine the effect of stylolite spacing and distance to nearest stylolite on quartz cementation by </w:t>
      </w:r>
      <w:r>
        <w:t xml:space="preserve">measuring volumes of quartz cement as a function of these two parameters, </w:t>
      </w:r>
      <w:proofErr w:type="gramStart"/>
      <w:r>
        <w:t>and also</w:t>
      </w:r>
      <w:proofErr w:type="gramEnd"/>
      <w:r>
        <w:t xml:space="preserve"> compares the measurements with quartz cement volumes calculated on the basis of assumed precipitation rate control. The </w:t>
      </w:r>
      <w:proofErr w:type="spellStart"/>
      <w:r>
        <w:t>Stø</w:t>
      </w:r>
      <w:proofErr w:type="spellEnd"/>
      <w:r>
        <w:t xml:space="preserve"> Formation cores from well 7120/6-1 in the Norwegi</w:t>
      </w:r>
      <w:r>
        <w:t>an sector of the Barents Sea are exceptionally well suited for this study because they contain intervals of unusually clean sandstone where stylolite spacings reach several meters.</w:t>
      </w:r>
    </w:p>
    <w:p w14:paraId="7217EBE8" w14:textId="77777777" w:rsidR="0081446C" w:rsidRDefault="002452A6">
      <w:pPr>
        <w:pStyle w:val="1"/>
        <w:spacing w:after="155"/>
        <w:ind w:left="248" w:right="483"/>
      </w:pPr>
      <w:r>
        <w:rPr>
          <w:i w:val="0"/>
          <w:sz w:val="15"/>
        </w:rPr>
        <w:t>GEOLOGICAL SETTING</w:t>
      </w:r>
    </w:p>
    <w:p w14:paraId="1AC21925" w14:textId="77777777" w:rsidR="0081446C" w:rsidRDefault="002452A6">
      <w:pPr>
        <w:ind w:left="-15" w:right="239"/>
      </w:pPr>
      <w:proofErr w:type="gramStart"/>
      <w:r>
        <w:t>Well</w:t>
      </w:r>
      <w:proofErr w:type="gramEnd"/>
      <w:r>
        <w:t xml:space="preserve"> 7120/6-1 is located in the Hammerfest Basin in the </w:t>
      </w:r>
      <w:r>
        <w:t xml:space="preserve">southern part of the Barents Sea approximately 150 km northwest of Hammerfest in northern Norway (Fig. 1). The Lower Jurassic </w:t>
      </w:r>
      <w:proofErr w:type="spellStart"/>
      <w:r>
        <w:t>Stø</w:t>
      </w:r>
      <w:proofErr w:type="spellEnd"/>
      <w:r>
        <w:t xml:space="preserve"> Formation is 84 m thick in well 7120/6-1 and comprises very fine-, fine-, and medium-grained sandstones plus a few thin interv</w:t>
      </w:r>
      <w:r>
        <w:t xml:space="preserve">als of shale, and conglomeratic sandstone and phosphate </w:t>
      </w:r>
      <w:r>
        <w:lastRenderedPageBreak/>
        <w:t xml:space="preserve">nodule lag deposits (Fig. 2). The sandstones are shallow marine and include strongly bioturbated intervals deposited in a lower-shoreface setting, cross-bedded upper-shoreface sandstones, and a thick </w:t>
      </w:r>
      <w:r>
        <w:t xml:space="preserve">interval of extremely clean and largely structureless sandstones which has </w:t>
      </w:r>
      <w:proofErr w:type="gramStart"/>
      <w:r>
        <w:t>been considered to be</w:t>
      </w:r>
      <w:proofErr w:type="gramEnd"/>
      <w:r>
        <w:t xml:space="preserve"> a possible tidal bar complex (</w:t>
      </w:r>
      <w:proofErr w:type="spellStart"/>
      <w:r>
        <w:t>Bjørgen</w:t>
      </w:r>
      <w:proofErr w:type="spellEnd"/>
      <w:r>
        <w:t xml:space="preserve"> 1985), or possibly a delta mouth bar.</w:t>
      </w:r>
    </w:p>
    <w:tbl>
      <w:tblPr>
        <w:tblStyle w:val="TableGrid"/>
        <w:tblpPr w:vertAnchor="text" w:horzAnchor="margin" w:tblpY="1431"/>
        <w:tblOverlap w:val="never"/>
        <w:tblW w:w="10325" w:type="dxa"/>
        <w:tblInd w:w="0" w:type="dxa"/>
        <w:tblCellMar>
          <w:top w:w="0" w:type="dxa"/>
          <w:left w:w="70" w:type="dxa"/>
          <w:bottom w:w="4" w:type="dxa"/>
          <w:right w:w="25" w:type="dxa"/>
        </w:tblCellMar>
        <w:tblLook w:val="04A0" w:firstRow="1" w:lastRow="0" w:firstColumn="1" w:lastColumn="0" w:noHBand="0" w:noVBand="1"/>
      </w:tblPr>
      <w:tblGrid>
        <w:gridCol w:w="10325"/>
      </w:tblGrid>
      <w:tr w:rsidR="0081446C" w14:paraId="2006C032" w14:textId="77777777">
        <w:trPr>
          <w:trHeight w:val="337"/>
        </w:trPr>
        <w:tc>
          <w:tcPr>
            <w:tcW w:w="2979" w:type="dxa"/>
            <w:tcBorders>
              <w:top w:val="nil"/>
              <w:left w:val="nil"/>
              <w:bottom w:val="nil"/>
              <w:right w:val="nil"/>
            </w:tcBorders>
            <w:vAlign w:val="bottom"/>
          </w:tcPr>
          <w:p w14:paraId="234B6FA5" w14:textId="77777777" w:rsidR="0081446C" w:rsidRDefault="002452A6">
            <w:pPr>
              <w:spacing w:after="0" w:line="259" w:lineRule="auto"/>
              <w:ind w:left="7250" w:firstLine="148"/>
              <w:jc w:val="left"/>
            </w:pPr>
            <w:r>
              <w:rPr>
                <w:noProof/>
              </w:rPr>
              <w:drawing>
                <wp:anchor distT="0" distB="0" distL="114300" distR="114300" simplePos="0" relativeHeight="251658240" behindDoc="0" locked="0" layoutInCell="1" allowOverlap="0" wp14:anchorId="51C6714E" wp14:editId="44F5972D">
                  <wp:simplePos x="0" y="0"/>
                  <wp:positionH relativeFrom="column">
                    <wp:posOffset>44454</wp:posOffset>
                  </wp:positionH>
                  <wp:positionV relativeFrom="paragraph">
                    <wp:posOffset>-2200428</wp:posOffset>
                  </wp:positionV>
                  <wp:extent cx="4408424" cy="2387600"/>
                  <wp:effectExtent l="0" t="0" r="0" b="0"/>
                  <wp:wrapSquare wrapText="bothSides"/>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2"/>
                          <a:stretch>
                            <a:fillRect/>
                          </a:stretch>
                        </pic:blipFill>
                        <pic:spPr>
                          <a:xfrm>
                            <a:off x="0" y="0"/>
                            <a:ext cx="4408424" cy="2387600"/>
                          </a:xfrm>
                          <a:prstGeom prst="rect">
                            <a:avLst/>
                          </a:prstGeom>
                        </pic:spPr>
                      </pic:pic>
                    </a:graphicData>
                  </a:graphic>
                </wp:anchor>
              </w:drawing>
            </w:r>
            <w:r>
              <w:rPr>
                <w:sz w:val="17"/>
              </w:rPr>
              <w:t>F</w:t>
            </w:r>
            <w:r>
              <w:rPr>
                <w:sz w:val="12"/>
              </w:rPr>
              <w:t>IG</w:t>
            </w:r>
            <w:r>
              <w:rPr>
                <w:sz w:val="17"/>
              </w:rPr>
              <w:t xml:space="preserve">. 1.—Location of wells 7120/6-1 and 7120/ 9-1 and the </w:t>
            </w:r>
            <w:proofErr w:type="spellStart"/>
            <w:r>
              <w:rPr>
                <w:sz w:val="17"/>
              </w:rPr>
              <w:t>Snøhvit</w:t>
            </w:r>
            <w:proofErr w:type="spellEnd"/>
            <w:r>
              <w:rPr>
                <w:sz w:val="17"/>
              </w:rPr>
              <w:t xml:space="preserve"> Field.</w:t>
            </w:r>
          </w:p>
        </w:tc>
      </w:tr>
    </w:tbl>
    <w:p w14:paraId="3E07FAEE" w14:textId="77777777" w:rsidR="0081446C" w:rsidRDefault="002452A6">
      <w:pPr>
        <w:ind w:left="-15" w:right="241"/>
      </w:pPr>
      <w:r>
        <w:t xml:space="preserve">The top of the </w:t>
      </w:r>
      <w:proofErr w:type="spellStart"/>
      <w:r>
        <w:t>Stø</w:t>
      </w:r>
      <w:proofErr w:type="spellEnd"/>
      <w:r>
        <w:t xml:space="preserve"> Formation is located at 2386 </w:t>
      </w:r>
      <w:proofErr w:type="spellStart"/>
      <w:r>
        <w:t>mRKB</w:t>
      </w:r>
      <w:proofErr w:type="spellEnd"/>
      <w:r>
        <w:t xml:space="preserve"> (meters below the rotary table) corresponding to 2049 m below the sea floor. However, as is typically the case in the Hammerfest Basin, Paleocene sediments are overlain by Pleistocene deposits in well 71</w:t>
      </w:r>
      <w:r>
        <w:t xml:space="preserve">20/6-1, probably reflecting largescale Tertiary erosion and uplift (Berglund et al. 1986; Nyland et al. 1992). The incomplete Upper Cretaceous stratigraphy suggests that erosional events may also have occurred during this period. The </w:t>
      </w:r>
      <w:proofErr w:type="spellStart"/>
      <w:r>
        <w:t>Stø</w:t>
      </w:r>
      <w:proofErr w:type="spellEnd"/>
      <w:r>
        <w:t xml:space="preserve"> Formation is prese</w:t>
      </w:r>
      <w:r>
        <w:t xml:space="preserve">ntly overlain by Oxfordian shales deposited in an offshore setting, and conformably overlies the interbedded lower-delta-plain sandstones, siltstones, and shales of the Lower Jurassic </w:t>
      </w:r>
      <w:proofErr w:type="spellStart"/>
      <w:r>
        <w:t>Nordmela</w:t>
      </w:r>
      <w:proofErr w:type="spellEnd"/>
      <w:r>
        <w:t xml:space="preserve"> Formation.</w:t>
      </w:r>
    </w:p>
    <w:p w14:paraId="53326236" w14:textId="77777777" w:rsidR="0081446C" w:rsidRDefault="002452A6">
      <w:pPr>
        <w:spacing w:after="241"/>
        <w:ind w:left="240"/>
      </w:pPr>
      <w:r>
        <w:t>Samples were taken from the depth range 2397.70–2468</w:t>
      </w:r>
      <w:r>
        <w:t xml:space="preserve">.02 </w:t>
      </w:r>
      <w:proofErr w:type="spellStart"/>
      <w:r>
        <w:t>mRKB</w:t>
      </w:r>
      <w:proofErr w:type="spellEnd"/>
      <w:r>
        <w:t xml:space="preserve"> or 2060.70–2131.02 m below the sea floor. Present temperature at 2398 </w:t>
      </w:r>
      <w:proofErr w:type="spellStart"/>
      <w:r>
        <w:t>mRKB</w:t>
      </w:r>
      <w:proofErr w:type="spellEnd"/>
      <w:r>
        <w:t xml:space="preserve"> is approximately 84</w:t>
      </w:r>
      <w:r>
        <w:rPr>
          <w:rFonts w:ascii="Calibri" w:eastAsia="Calibri" w:hAnsi="Calibri" w:cs="Calibri"/>
        </w:rPr>
        <w:t>8</w:t>
      </w:r>
      <w:r>
        <w:t xml:space="preserve">C. The </w:t>
      </w:r>
      <w:proofErr w:type="spellStart"/>
      <w:r>
        <w:t>Stø</w:t>
      </w:r>
      <w:proofErr w:type="spellEnd"/>
      <w:r>
        <w:t xml:space="preserve"> Formation in well 7120/6-1 is </w:t>
      </w:r>
      <w:proofErr w:type="spellStart"/>
      <w:r>
        <w:t>gasfilled</w:t>
      </w:r>
      <w:proofErr w:type="spellEnd"/>
      <w:r>
        <w:t xml:space="preserve"> from the top down to 2425.8 </w:t>
      </w:r>
      <w:proofErr w:type="spellStart"/>
      <w:r>
        <w:t>mRKB</w:t>
      </w:r>
      <w:proofErr w:type="spellEnd"/>
      <w:r>
        <w:t xml:space="preserve"> and oil-filled from this level down to 2440.3 </w:t>
      </w:r>
      <w:proofErr w:type="spellStart"/>
      <w:r>
        <w:t>mRKB</w:t>
      </w:r>
      <w:proofErr w:type="spellEnd"/>
      <w:r>
        <w:t>. There is no sign</w:t>
      </w:r>
      <w:r>
        <w:t>ificant overpressure in the water phase today, although overpressures may have been present prior to uplift.</w:t>
      </w:r>
    </w:p>
    <w:p w14:paraId="4EEEA515" w14:textId="77777777" w:rsidR="0081446C" w:rsidRDefault="002452A6">
      <w:pPr>
        <w:pStyle w:val="1"/>
        <w:spacing w:after="155"/>
        <w:ind w:left="248" w:right="0"/>
      </w:pPr>
      <w:r>
        <w:rPr>
          <w:i w:val="0"/>
          <w:sz w:val="15"/>
        </w:rPr>
        <w:t>METHODS</w:t>
      </w:r>
    </w:p>
    <w:p w14:paraId="343FECF3" w14:textId="77777777" w:rsidR="0081446C" w:rsidRDefault="002452A6">
      <w:pPr>
        <w:ind w:left="240"/>
      </w:pPr>
      <w:r>
        <w:t xml:space="preserve">Location of </w:t>
      </w:r>
      <w:proofErr w:type="spellStart"/>
      <w:r>
        <w:t>stylolites</w:t>
      </w:r>
      <w:proofErr w:type="spellEnd"/>
      <w:r>
        <w:t xml:space="preserve"> was determined by visual inspection of slabbed cores. Twenty-five samples were taken from the cores, and their dista</w:t>
      </w:r>
      <w:r>
        <w:t xml:space="preserve">nces from the nearest stylolite above and below each sample recorded. When a thin section contained one of the </w:t>
      </w:r>
      <w:proofErr w:type="spellStart"/>
      <w:r>
        <w:t>stylolites</w:t>
      </w:r>
      <w:proofErr w:type="spellEnd"/>
      <w:r>
        <w:t xml:space="preserve">, the distance to the nearest stylolite was set to 1 cm. All </w:t>
      </w:r>
      <w:proofErr w:type="spellStart"/>
      <w:r>
        <w:t>stylolites</w:t>
      </w:r>
      <w:proofErr w:type="spellEnd"/>
      <w:r>
        <w:t xml:space="preserve"> appear to have evolved from primary clay-rich, and in some case</w:t>
      </w:r>
      <w:r>
        <w:t xml:space="preserve">s micaceous or organic matter-rich, laminae. They are macroscopically visible with thicknesses on the order of a millimeter, and have typical amplitudes between 5 mm and less than a </w:t>
      </w:r>
      <w:proofErr w:type="spellStart"/>
      <w:r>
        <w:t>millimetre</w:t>
      </w:r>
      <w:proofErr w:type="spellEnd"/>
      <w:r>
        <w:t xml:space="preserve"> (Fig. 3). All clay-rich laminae within the cores have evolved i</w:t>
      </w:r>
      <w:r>
        <w:t xml:space="preserve">nto </w:t>
      </w:r>
      <w:proofErr w:type="spellStart"/>
      <w:r>
        <w:t>stylolites</w:t>
      </w:r>
      <w:proofErr w:type="spellEnd"/>
      <w:r>
        <w:t xml:space="preserve">; we did not find clay-rich laminae where we could not detect evidence of quartz dissolution at their boundaries. The large stylolite spacings recorded for part of the </w:t>
      </w:r>
      <w:proofErr w:type="spellStart"/>
      <w:r>
        <w:t>Stø</w:t>
      </w:r>
      <w:proofErr w:type="spellEnd"/>
      <w:r>
        <w:t xml:space="preserve"> Formation are therefore not an artefact caused by disregarding, for in</w:t>
      </w:r>
      <w:r>
        <w:t xml:space="preserve">stance, low-amplitude </w:t>
      </w:r>
      <w:proofErr w:type="spellStart"/>
      <w:r>
        <w:t>stylolites</w:t>
      </w:r>
      <w:proofErr w:type="spellEnd"/>
      <w:r>
        <w:t>.</w:t>
      </w:r>
    </w:p>
    <w:p w14:paraId="1371E359" w14:textId="77777777" w:rsidR="0081446C" w:rsidRDefault="002452A6">
      <w:pPr>
        <w:ind w:left="240"/>
      </w:pPr>
      <w:r>
        <w:t>A polished thin section was made from each sample, and all thin sections were examined with a petrographic microscope and point counted twice with five hundred points per point count. Modal compositions listed in Table 1 a</w:t>
      </w:r>
      <w:r>
        <w:t xml:space="preserve">re the average results from the </w:t>
      </w:r>
      <w:proofErr w:type="gramStart"/>
      <w:r>
        <w:t>two point</w:t>
      </w:r>
      <w:proofErr w:type="gramEnd"/>
      <w:r>
        <w:t xml:space="preserve"> counts. Grain size was determined by measuring the long axis of fifty quartz grains per sample and calculating the mean long-axis length for each sample. Sorting was defined as the sample standard deviation of the </w:t>
      </w:r>
      <w:r>
        <w:t>long axis measurements.</w:t>
      </w:r>
    </w:p>
    <w:p w14:paraId="132B823C" w14:textId="77777777" w:rsidR="0081446C" w:rsidRDefault="002452A6">
      <w:pPr>
        <w:ind w:left="240"/>
      </w:pPr>
      <w:r>
        <w:t xml:space="preserve">Percentage of quartz grain surfaces coated by clay and other substances was determined by estimating the coated percentage of the grain perimeter for the same fifty grains used for grain-size determination, and then calculating the </w:t>
      </w:r>
      <w:r>
        <w:t>average coating percentage for each sample. Point-counted quartz cement volumes were checked by taking three or four cathodoluminescence (</w:t>
      </w:r>
      <w:r>
        <w:rPr>
          <w:rFonts w:ascii="Calibri" w:eastAsia="Calibri" w:hAnsi="Calibri" w:cs="Calibri"/>
        </w:rPr>
        <w:t xml:space="preserve">5 </w:t>
      </w:r>
      <w:r>
        <w:t xml:space="preserve">CL) micrographs of each sample with a </w:t>
      </w:r>
      <w:proofErr w:type="spellStart"/>
      <w:r>
        <w:t>Technosyn</w:t>
      </w:r>
      <w:proofErr w:type="spellEnd"/>
      <w:r>
        <w:t xml:space="preserve"> MK II cold cathode CL unit mounted on a Nikon </w:t>
      </w:r>
      <w:proofErr w:type="spellStart"/>
      <w:r>
        <w:t>Optiphot</w:t>
      </w:r>
      <w:proofErr w:type="spellEnd"/>
      <w:r>
        <w:t xml:space="preserve"> microscope an</w:t>
      </w:r>
      <w:r>
        <w:t>d then point counting the photographs with a transparent grid. The number of points counted per photograph varied from 240 to 300 and from 760 to 1140 per sample. A 10</w:t>
      </w:r>
      <w:r>
        <w:rPr>
          <w:rFonts w:ascii="Calibri" w:eastAsia="Calibri" w:hAnsi="Calibri" w:cs="Calibri"/>
        </w:rPr>
        <w:t xml:space="preserve">3 </w:t>
      </w:r>
      <w:r>
        <w:t>objective was used, resulting in an area of 0.8 mm</w:t>
      </w:r>
      <w:r>
        <w:rPr>
          <w:sz w:val="18"/>
          <w:vertAlign w:val="superscript"/>
        </w:rPr>
        <w:t xml:space="preserve">2 </w:t>
      </w:r>
      <w:r>
        <w:t xml:space="preserve">being represented on each 10 cm by </w:t>
      </w:r>
      <w:r>
        <w:t>15 cm color print.</w:t>
      </w:r>
    </w:p>
    <w:p w14:paraId="072FF46B" w14:textId="77777777" w:rsidR="0081446C" w:rsidRDefault="002452A6">
      <w:pPr>
        <w:ind w:left="-15"/>
      </w:pPr>
      <w:r>
        <w:t xml:space="preserve">The </w:t>
      </w:r>
      <w:proofErr w:type="spellStart"/>
      <w:r>
        <w:t>Stø</w:t>
      </w:r>
      <w:proofErr w:type="spellEnd"/>
      <w:r>
        <w:t xml:space="preserve"> Formation was derived at least partly from older quartz-cemented sandstones, and the quartz cement volumes determined by point counting therefore </w:t>
      </w:r>
      <w:proofErr w:type="gramStart"/>
      <w:r>
        <w:t>have to</w:t>
      </w:r>
      <w:proofErr w:type="gramEnd"/>
      <w:r>
        <w:t xml:space="preserve"> be corrected for the presence of recycled overgrowths. The volume of recycl</w:t>
      </w:r>
      <w:r>
        <w:t xml:space="preserve">ed overgrowths can be estimated by determining the volume of quartz overgrowths present in intervals pervasively cemented by early calcite cement precipitated prior to quartz cementation. However, because calcite cemented intervals are absent in 7120/6-1, </w:t>
      </w:r>
      <w:r>
        <w:t xml:space="preserve">this correction was based on data from a previous study of the </w:t>
      </w:r>
      <w:proofErr w:type="spellStart"/>
      <w:r>
        <w:t>Stø</w:t>
      </w:r>
      <w:proofErr w:type="spellEnd"/>
      <w:r>
        <w:t xml:space="preserve"> Formation in well 7120/9-1 (</w:t>
      </w:r>
      <w:proofErr w:type="spellStart"/>
      <w:r>
        <w:t>Walderhaug</w:t>
      </w:r>
      <w:proofErr w:type="spellEnd"/>
      <w:r>
        <w:t xml:space="preserve"> 1985) located approximately 10 km south of 7120/6-1 (Fig. 1).</w:t>
      </w:r>
    </w:p>
    <w:p w14:paraId="55C05E53" w14:textId="77777777" w:rsidR="0081446C" w:rsidRDefault="002452A6">
      <w:pPr>
        <w:ind w:left="-15"/>
      </w:pPr>
      <w:r>
        <w:t>The samples 2449.70, 2451.25, and 2452.75 were also examined with an SEM for the presenc</w:t>
      </w:r>
      <w:r>
        <w:t xml:space="preserve">e of thin clay films at grain contacts, because such thin clay films may promote quartz dissolution but be practically invisible with a normal petrographic microscope (see </w:t>
      </w:r>
      <w:proofErr w:type="spellStart"/>
      <w:r>
        <w:t>Bjørkum</w:t>
      </w:r>
      <w:proofErr w:type="spellEnd"/>
      <w:r>
        <w:t xml:space="preserve"> 1996). The analyses included backscatter electron imaging and element mappin</w:t>
      </w:r>
      <w:r>
        <w:t>g of Al, K, Si, and Fe at approximately ten grain contacts per sample.</w:t>
      </w:r>
    </w:p>
    <w:p w14:paraId="4FEF6B7F" w14:textId="77777777" w:rsidR="0081446C" w:rsidRDefault="002452A6">
      <w:pPr>
        <w:ind w:left="-15"/>
      </w:pPr>
      <w:r>
        <w:t>Homogenization temperatures for fifty-seven aqueous fluid inclusions in quartz overgrowths were measured in samples 2449.20, 2449.70, 2451.25, and 2452.75 using the procedures and equip</w:t>
      </w:r>
      <w:r>
        <w:t xml:space="preserve">ment described in </w:t>
      </w:r>
      <w:proofErr w:type="spellStart"/>
      <w:r>
        <w:t>Walderhaug</w:t>
      </w:r>
      <w:proofErr w:type="spellEnd"/>
      <w:r>
        <w:t xml:space="preserve"> (1994). Fluorescence microscopy shows that no hydrocarbon inclusions are present, and CL photography was </w:t>
      </w:r>
      <w:r>
        <w:lastRenderedPageBreak/>
        <w:t>used to check that the aqueous inclusions are really located in quartz cement.</w:t>
      </w:r>
    </w:p>
    <w:p w14:paraId="2EFBBCB5" w14:textId="77777777" w:rsidR="0081446C" w:rsidRDefault="002452A6">
      <w:pPr>
        <w:spacing w:after="242"/>
        <w:ind w:left="-15"/>
      </w:pPr>
      <w:r>
        <w:t>The procedures for the quartz cementation m</w:t>
      </w:r>
      <w:r>
        <w:t>odeling are described in following sections. The conceptual and mathematical basis for the Exemplar</w:t>
      </w:r>
      <w:r>
        <w:rPr>
          <w:rFonts w:ascii="Calibri" w:eastAsia="Calibri" w:hAnsi="Calibri" w:cs="Calibri"/>
        </w:rPr>
        <w:t xml:space="preserve">y </w:t>
      </w:r>
      <w:r>
        <w:t xml:space="preserve">diagenetic modeling program is discussed in </w:t>
      </w:r>
      <w:proofErr w:type="spellStart"/>
      <w:r>
        <w:t>Walderhaug</w:t>
      </w:r>
      <w:proofErr w:type="spellEnd"/>
      <w:r>
        <w:t xml:space="preserve"> (1996), Lander and </w:t>
      </w:r>
      <w:proofErr w:type="spellStart"/>
      <w:r>
        <w:t>Walderhaug</w:t>
      </w:r>
      <w:proofErr w:type="spellEnd"/>
      <w:r>
        <w:t xml:space="preserve"> (1999), and </w:t>
      </w:r>
      <w:proofErr w:type="spellStart"/>
      <w:r>
        <w:t>Walderhaug</w:t>
      </w:r>
      <w:proofErr w:type="spellEnd"/>
      <w:r>
        <w:t xml:space="preserve"> et al. (2000).</w:t>
      </w:r>
    </w:p>
    <w:p w14:paraId="0A832FDE" w14:textId="77777777" w:rsidR="0081446C" w:rsidRDefault="002452A6">
      <w:pPr>
        <w:pStyle w:val="1"/>
        <w:spacing w:after="155"/>
        <w:ind w:left="248" w:right="242"/>
      </w:pPr>
      <w:r>
        <w:rPr>
          <w:i w:val="0"/>
          <w:sz w:val="15"/>
        </w:rPr>
        <w:t>PETROGRAPHIC COMPOSITION AND DIAGENETIC HISTORY</w:t>
      </w:r>
    </w:p>
    <w:p w14:paraId="65D00F65" w14:textId="77777777" w:rsidR="0081446C" w:rsidRDefault="002452A6">
      <w:pPr>
        <w:ind w:left="-15"/>
      </w:pPr>
      <w:r>
        <w:t>The examined samples are all quartz arenites, and detrital grains other than quartz are limited to traces of clay clasts, muscovite, biotite, plant fragments, zircon, tourmaline, rutile, apatite, spinel, mona</w:t>
      </w:r>
      <w:r>
        <w:t>zite, and opaque iron-titanium oxides. Detrital clay matrix is present only in the samples from bioturbated intervals, and then in amounts of a few percent or less (Table 1). Quartz cement is the only volumetrically important diagenetic mineral (Fig. 4). O</w:t>
      </w:r>
      <w:r>
        <w:t xml:space="preserve">ther diagenetic phases are restricted to traces of authigenic kaolinite, pyrite, dolomite, and in one case siderite (Table 1). Porosities are mostly close to 20% in the intervals with very few </w:t>
      </w:r>
      <w:proofErr w:type="spellStart"/>
      <w:r>
        <w:t>stylolites</w:t>
      </w:r>
      <w:proofErr w:type="spellEnd"/>
      <w:r>
        <w:t xml:space="preserve"> and typically 11–16% outside these intervals (Table </w:t>
      </w:r>
      <w:r>
        <w:t>1).</w:t>
      </w:r>
    </w:p>
    <w:p w14:paraId="79EB74EC" w14:textId="77777777" w:rsidR="0081446C" w:rsidRDefault="002452A6">
      <w:pPr>
        <w:ind w:left="-15"/>
      </w:pPr>
      <w:r>
        <w:t>Quartz cementation is typically insignificant at temperatures below 70– 80</w:t>
      </w:r>
      <w:r>
        <w:rPr>
          <w:rFonts w:ascii="Calibri" w:eastAsia="Calibri" w:hAnsi="Calibri" w:cs="Calibri"/>
        </w:rPr>
        <w:t>8</w:t>
      </w:r>
      <w:r>
        <w:t xml:space="preserve">C on the Norwegian continental shelf and in adjoining areas (e.g., </w:t>
      </w:r>
      <w:proofErr w:type="spellStart"/>
      <w:r>
        <w:t>Bjørlykke</w:t>
      </w:r>
      <w:proofErr w:type="spellEnd"/>
      <w:r>
        <w:t xml:space="preserve"> et al. 1986; Ehrenberg 1990; Giles et al. 1992), suggesting that quartz cementation started at these</w:t>
      </w:r>
      <w:r>
        <w:t xml:space="preserve"> temperatures in the </w:t>
      </w:r>
      <w:proofErr w:type="spellStart"/>
      <w:r>
        <w:t>Stø</w:t>
      </w:r>
      <w:proofErr w:type="spellEnd"/>
      <w:r>
        <w:t xml:space="preserve"> Formation too.</w:t>
      </w:r>
    </w:p>
    <w:p w14:paraId="58F17CC4" w14:textId="77777777" w:rsidR="0081446C" w:rsidRDefault="002452A6">
      <w:pPr>
        <w:spacing w:after="145" w:line="259" w:lineRule="auto"/>
        <w:ind w:left="0" w:firstLine="0"/>
        <w:jc w:val="left"/>
      </w:pPr>
      <w:r>
        <w:rPr>
          <w:noProof/>
        </w:rPr>
        <w:drawing>
          <wp:inline distT="0" distB="0" distL="0" distR="0" wp14:anchorId="1CB56B06" wp14:editId="76D77834">
            <wp:extent cx="3202686" cy="5803900"/>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13"/>
                    <a:stretch>
                      <a:fillRect/>
                    </a:stretch>
                  </pic:blipFill>
                  <pic:spPr>
                    <a:xfrm>
                      <a:off x="0" y="0"/>
                      <a:ext cx="3202686" cy="5803900"/>
                    </a:xfrm>
                    <a:prstGeom prst="rect">
                      <a:avLst/>
                    </a:prstGeom>
                  </pic:spPr>
                </pic:pic>
              </a:graphicData>
            </a:graphic>
          </wp:inline>
        </w:drawing>
      </w:r>
    </w:p>
    <w:p w14:paraId="434C4EEF" w14:textId="77777777" w:rsidR="0081446C" w:rsidRDefault="002452A6">
      <w:pPr>
        <w:spacing w:after="355" w:line="229" w:lineRule="auto"/>
        <w:ind w:left="0" w:firstLine="138"/>
      </w:pPr>
      <w:r>
        <w:rPr>
          <w:sz w:val="17"/>
        </w:rPr>
        <w:t>F</w:t>
      </w:r>
      <w:r>
        <w:rPr>
          <w:sz w:val="12"/>
        </w:rPr>
        <w:t>IG</w:t>
      </w:r>
      <w:r>
        <w:rPr>
          <w:sz w:val="17"/>
        </w:rPr>
        <w:t xml:space="preserve">. </w:t>
      </w:r>
      <w:proofErr w:type="gramStart"/>
      <w:r>
        <w:rPr>
          <w:sz w:val="17"/>
        </w:rPr>
        <w:t>2.—</w:t>
      </w:r>
      <w:proofErr w:type="gramEnd"/>
      <w:r>
        <w:rPr>
          <w:sz w:val="17"/>
        </w:rPr>
        <w:t xml:space="preserve">Sedimentological log and gamma ray log for the studied core interval. SH </w:t>
      </w:r>
      <w:r>
        <w:rPr>
          <w:rFonts w:ascii="Calibri" w:eastAsia="Calibri" w:hAnsi="Calibri" w:cs="Calibri"/>
          <w:sz w:val="17"/>
        </w:rPr>
        <w:t xml:space="preserve">5 </w:t>
      </w:r>
      <w:r>
        <w:rPr>
          <w:sz w:val="17"/>
        </w:rPr>
        <w:t xml:space="preserve">shale, SI </w:t>
      </w:r>
      <w:r>
        <w:rPr>
          <w:rFonts w:ascii="Calibri" w:eastAsia="Calibri" w:hAnsi="Calibri" w:cs="Calibri"/>
          <w:sz w:val="17"/>
        </w:rPr>
        <w:t xml:space="preserve">5 </w:t>
      </w:r>
      <w:r>
        <w:rPr>
          <w:sz w:val="17"/>
        </w:rPr>
        <w:t xml:space="preserve">siltstone, VF </w:t>
      </w:r>
      <w:r>
        <w:rPr>
          <w:rFonts w:ascii="Calibri" w:eastAsia="Calibri" w:hAnsi="Calibri" w:cs="Calibri"/>
          <w:sz w:val="17"/>
        </w:rPr>
        <w:t xml:space="preserve">5 </w:t>
      </w:r>
      <w:r>
        <w:rPr>
          <w:sz w:val="17"/>
        </w:rPr>
        <w:t xml:space="preserve">very fine-grained sandstone, F </w:t>
      </w:r>
      <w:r>
        <w:rPr>
          <w:rFonts w:ascii="Calibri" w:eastAsia="Calibri" w:hAnsi="Calibri" w:cs="Calibri"/>
          <w:sz w:val="17"/>
        </w:rPr>
        <w:t xml:space="preserve">5 </w:t>
      </w:r>
      <w:r>
        <w:rPr>
          <w:sz w:val="17"/>
        </w:rPr>
        <w:t xml:space="preserve">fine-grained sandstone, M </w:t>
      </w:r>
      <w:r>
        <w:rPr>
          <w:rFonts w:ascii="Calibri" w:eastAsia="Calibri" w:hAnsi="Calibri" w:cs="Calibri"/>
          <w:sz w:val="17"/>
        </w:rPr>
        <w:t xml:space="preserve">5 </w:t>
      </w:r>
      <w:r>
        <w:rPr>
          <w:sz w:val="17"/>
        </w:rPr>
        <w:t xml:space="preserve">medium-grained sandstone, C </w:t>
      </w:r>
      <w:r>
        <w:rPr>
          <w:rFonts w:ascii="Calibri" w:eastAsia="Calibri" w:hAnsi="Calibri" w:cs="Calibri"/>
          <w:sz w:val="17"/>
        </w:rPr>
        <w:t xml:space="preserve">5 </w:t>
      </w:r>
      <w:r>
        <w:rPr>
          <w:sz w:val="17"/>
        </w:rPr>
        <w:t>coarse-grain</w:t>
      </w:r>
      <w:r>
        <w:rPr>
          <w:sz w:val="17"/>
        </w:rPr>
        <w:t xml:space="preserve">ed sandstone, VC </w:t>
      </w:r>
      <w:r>
        <w:rPr>
          <w:rFonts w:ascii="Calibri" w:eastAsia="Calibri" w:hAnsi="Calibri" w:cs="Calibri"/>
          <w:sz w:val="17"/>
        </w:rPr>
        <w:t xml:space="preserve">5 </w:t>
      </w:r>
      <w:r>
        <w:rPr>
          <w:sz w:val="17"/>
        </w:rPr>
        <w:t xml:space="preserve">very coarse-grained sandstone, CG </w:t>
      </w:r>
      <w:r>
        <w:rPr>
          <w:rFonts w:ascii="Calibri" w:eastAsia="Calibri" w:hAnsi="Calibri" w:cs="Calibri"/>
          <w:sz w:val="17"/>
        </w:rPr>
        <w:t xml:space="preserve">5 </w:t>
      </w:r>
      <w:r>
        <w:rPr>
          <w:sz w:val="17"/>
        </w:rPr>
        <w:t>conglomerate.</w:t>
      </w:r>
    </w:p>
    <w:p w14:paraId="617CF798" w14:textId="77777777" w:rsidR="0081446C" w:rsidRDefault="002452A6">
      <w:pPr>
        <w:ind w:left="-15" w:firstLine="0"/>
      </w:pPr>
      <w:r>
        <w:t>This is supported by the homogenization temperatures (</w:t>
      </w:r>
      <w:r>
        <w:rPr>
          <w:rFonts w:ascii="Calibri" w:eastAsia="Calibri" w:hAnsi="Calibri" w:cs="Calibri"/>
        </w:rPr>
        <w:t xml:space="preserve">5 </w:t>
      </w:r>
      <w:r>
        <w:rPr>
          <w:i/>
        </w:rPr>
        <w:t>T</w:t>
      </w:r>
      <w:r>
        <w:rPr>
          <w:sz w:val="18"/>
          <w:vertAlign w:val="subscript"/>
        </w:rPr>
        <w:t>h</w:t>
      </w:r>
      <w:r>
        <w:t xml:space="preserve">) for the aqueous inclusions within quartz overgrowths (Fig. 5). </w:t>
      </w:r>
      <w:proofErr w:type="gramStart"/>
      <w:r>
        <w:t>With the exception of</w:t>
      </w:r>
      <w:proofErr w:type="gramEnd"/>
      <w:r>
        <w:t xml:space="preserve"> fifteen measurements from a single overgro</w:t>
      </w:r>
      <w:r>
        <w:t xml:space="preserve">wth, </w:t>
      </w:r>
      <w:r>
        <w:rPr>
          <w:i/>
        </w:rPr>
        <w:t>T</w:t>
      </w:r>
      <w:r>
        <w:rPr>
          <w:sz w:val="18"/>
          <w:vertAlign w:val="subscript"/>
        </w:rPr>
        <w:t xml:space="preserve">h </w:t>
      </w:r>
      <w:r>
        <w:t>values are dominantly in the range 80–106</w:t>
      </w:r>
      <w:r>
        <w:rPr>
          <w:rFonts w:ascii="Calibri" w:eastAsia="Calibri" w:hAnsi="Calibri" w:cs="Calibri"/>
        </w:rPr>
        <w:t>8</w:t>
      </w:r>
      <w:r>
        <w:t xml:space="preserve">C, and the inclusions are located close to the boundaries between quartz clasts and quartz overgrowths. The somewhat rounded overgrowth containing fifteen inclusions with </w:t>
      </w:r>
      <w:r>
        <w:rPr>
          <w:i/>
        </w:rPr>
        <w:t>T</w:t>
      </w:r>
      <w:r>
        <w:rPr>
          <w:sz w:val="18"/>
          <w:vertAlign w:val="subscript"/>
        </w:rPr>
        <w:t xml:space="preserve">h </w:t>
      </w:r>
      <w:r>
        <w:t>values between 128</w:t>
      </w:r>
      <w:r>
        <w:rPr>
          <w:rFonts w:ascii="Calibri" w:eastAsia="Calibri" w:hAnsi="Calibri" w:cs="Calibri"/>
        </w:rPr>
        <w:t>8</w:t>
      </w:r>
      <w:r>
        <w:t>C and 158</w:t>
      </w:r>
      <w:r>
        <w:rPr>
          <w:rFonts w:ascii="Calibri" w:eastAsia="Calibri" w:hAnsi="Calibri" w:cs="Calibri"/>
        </w:rPr>
        <w:t>8</w:t>
      </w:r>
      <w:r>
        <w:t>C i</w:t>
      </w:r>
      <w:r>
        <w:t xml:space="preserve">s suspected to be recycled from an older sandstone. The </w:t>
      </w:r>
      <w:r>
        <w:rPr>
          <w:i/>
        </w:rPr>
        <w:t>T</w:t>
      </w:r>
      <w:r>
        <w:rPr>
          <w:sz w:val="18"/>
          <w:vertAlign w:val="subscript"/>
        </w:rPr>
        <w:t xml:space="preserve">h </w:t>
      </w:r>
      <w:r>
        <w:t>values in the range 80–106</w:t>
      </w:r>
      <w:r>
        <w:rPr>
          <w:rFonts w:ascii="Calibri" w:eastAsia="Calibri" w:hAnsi="Calibri" w:cs="Calibri"/>
        </w:rPr>
        <w:t>8</w:t>
      </w:r>
      <w:r>
        <w:t xml:space="preserve">C, on the other hand, represent measurements from ten different overgrowths, suggesting that they are more representative of quartz cementation in the </w:t>
      </w:r>
      <w:proofErr w:type="spellStart"/>
      <w:r>
        <w:t>Stø</w:t>
      </w:r>
      <w:proofErr w:type="spellEnd"/>
      <w:r>
        <w:t xml:space="preserve"> Formation. Howe</w:t>
      </w:r>
      <w:r>
        <w:t xml:space="preserve">ver, it cannot be totally excluded that all </w:t>
      </w:r>
      <w:r>
        <w:rPr>
          <w:i/>
        </w:rPr>
        <w:t>T</w:t>
      </w:r>
      <w:r>
        <w:rPr>
          <w:sz w:val="18"/>
          <w:vertAlign w:val="subscript"/>
        </w:rPr>
        <w:t xml:space="preserve">h </w:t>
      </w:r>
      <w:r>
        <w:t xml:space="preserve">measurements were performed on recycled grains, and that all </w:t>
      </w:r>
      <w:r>
        <w:rPr>
          <w:i/>
        </w:rPr>
        <w:t>T</w:t>
      </w:r>
      <w:r>
        <w:rPr>
          <w:sz w:val="18"/>
          <w:vertAlign w:val="subscript"/>
        </w:rPr>
        <w:t xml:space="preserve">h </w:t>
      </w:r>
      <w:r>
        <w:t xml:space="preserve">values refer to temperatures of cementation in sandstones in the source area for the </w:t>
      </w:r>
      <w:proofErr w:type="spellStart"/>
      <w:r>
        <w:t>Stø</w:t>
      </w:r>
      <w:proofErr w:type="spellEnd"/>
      <w:r>
        <w:t xml:space="preserve"> Formation.</w:t>
      </w:r>
    </w:p>
    <w:p w14:paraId="12337B15" w14:textId="77777777" w:rsidR="0081446C" w:rsidRDefault="002452A6">
      <w:pPr>
        <w:spacing w:after="72" w:line="259" w:lineRule="auto"/>
        <w:ind w:left="10" w:right="-9" w:hanging="10"/>
        <w:jc w:val="right"/>
      </w:pPr>
      <w:r>
        <w:lastRenderedPageBreak/>
        <w:t>The only obvious internal source of quartz cement within the very clay-</w:t>
      </w:r>
    </w:p>
    <w:p w14:paraId="5C058794" w14:textId="77777777" w:rsidR="0081446C" w:rsidRDefault="002452A6">
      <w:pPr>
        <w:spacing w:after="145" w:line="259" w:lineRule="auto"/>
        <w:ind w:left="410" w:firstLine="0"/>
        <w:jc w:val="left"/>
      </w:pPr>
      <w:r>
        <w:rPr>
          <w:noProof/>
        </w:rPr>
        <w:drawing>
          <wp:inline distT="0" distB="0" distL="0" distR="0" wp14:anchorId="432B577B" wp14:editId="70C7D56F">
            <wp:extent cx="2679700" cy="382270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14"/>
                    <a:stretch>
                      <a:fillRect/>
                    </a:stretch>
                  </pic:blipFill>
                  <pic:spPr>
                    <a:xfrm>
                      <a:off x="0" y="0"/>
                      <a:ext cx="2679700" cy="3822700"/>
                    </a:xfrm>
                    <a:prstGeom prst="rect">
                      <a:avLst/>
                    </a:prstGeom>
                  </pic:spPr>
                </pic:pic>
              </a:graphicData>
            </a:graphic>
          </wp:inline>
        </w:drawing>
      </w:r>
    </w:p>
    <w:p w14:paraId="5B2F2662" w14:textId="77777777" w:rsidR="0081446C" w:rsidRDefault="002452A6">
      <w:pPr>
        <w:spacing w:after="423" w:line="229" w:lineRule="auto"/>
        <w:ind w:left="0" w:right="245" w:firstLine="138"/>
      </w:pPr>
      <w:r>
        <w:rPr>
          <w:sz w:val="17"/>
        </w:rPr>
        <w:t>F</w:t>
      </w:r>
      <w:r>
        <w:rPr>
          <w:sz w:val="12"/>
        </w:rPr>
        <w:t>IG</w:t>
      </w:r>
      <w:r>
        <w:rPr>
          <w:sz w:val="17"/>
        </w:rPr>
        <w:t xml:space="preserve">. 3.—Stylolite formed from clay-rich lamina in the lower and extremely </w:t>
      </w:r>
      <w:proofErr w:type="spellStart"/>
      <w:r>
        <w:rPr>
          <w:sz w:val="17"/>
        </w:rPr>
        <w:t>claypoor</w:t>
      </w:r>
      <w:proofErr w:type="spellEnd"/>
      <w:r>
        <w:rPr>
          <w:sz w:val="17"/>
        </w:rPr>
        <w:t xml:space="preserve"> part of the </w:t>
      </w:r>
      <w:proofErr w:type="spellStart"/>
      <w:r>
        <w:rPr>
          <w:sz w:val="17"/>
        </w:rPr>
        <w:t>Stø</w:t>
      </w:r>
      <w:proofErr w:type="spellEnd"/>
      <w:r>
        <w:rPr>
          <w:sz w:val="17"/>
        </w:rPr>
        <w:t xml:space="preserve"> Formation in well 7120/6-1. Width of core is 13 cm. The upper stylolite is located </w:t>
      </w:r>
      <w:r>
        <w:rPr>
          <w:sz w:val="17"/>
        </w:rPr>
        <w:t xml:space="preserve">at approximately 2468.00 </w:t>
      </w:r>
      <w:proofErr w:type="spellStart"/>
      <w:r>
        <w:rPr>
          <w:sz w:val="17"/>
        </w:rPr>
        <w:t>mRKB</w:t>
      </w:r>
      <w:proofErr w:type="spellEnd"/>
      <w:r>
        <w:rPr>
          <w:sz w:val="17"/>
        </w:rPr>
        <w:t>.</w:t>
      </w:r>
    </w:p>
    <w:p w14:paraId="3AE073D7" w14:textId="77777777" w:rsidR="0081446C" w:rsidRDefault="002452A6">
      <w:pPr>
        <w:ind w:left="-15" w:right="240" w:firstLine="0"/>
      </w:pPr>
      <w:r>
        <w:t xml:space="preserve">poor parts of the </w:t>
      </w:r>
      <w:proofErr w:type="spellStart"/>
      <w:r>
        <w:t>Stø</w:t>
      </w:r>
      <w:proofErr w:type="spellEnd"/>
      <w:r>
        <w:t xml:space="preserve"> Formation </w:t>
      </w:r>
      <w:proofErr w:type="gramStart"/>
      <w:r>
        <w:t>is</w:t>
      </w:r>
      <w:proofErr w:type="gramEnd"/>
      <w:r>
        <w:t xml:space="preserve"> dissolution of quartz grains at </w:t>
      </w:r>
      <w:proofErr w:type="spellStart"/>
      <w:r>
        <w:t>stylolites</w:t>
      </w:r>
      <w:proofErr w:type="spellEnd"/>
      <w:r>
        <w:t xml:space="preserve"> evolved from clay-rich and more rarely micaceous or organic-matter-rich laminae. However, CL photographs and SEM analysis indicate that petrographi</w:t>
      </w:r>
      <w:r>
        <w:t xml:space="preserve">cally invisible clay films may have promoted minor quartz dissolution at some grain contacts within the very clean sandstones (Figs. 6, 7). Within the more clay-rich intervals, dissolution at individual grain contacts containing clay is sometimes observed </w:t>
      </w:r>
      <w:r>
        <w:t xml:space="preserve">without using the SEM. Other internal sources of quartz cement such as dissolution of feldspar or other non-quartz minerals </w:t>
      </w:r>
      <w:proofErr w:type="gramStart"/>
      <w:r>
        <w:t>are considered to be</w:t>
      </w:r>
      <w:proofErr w:type="gramEnd"/>
      <w:r>
        <w:t xml:space="preserve"> insignificant, inasmuch as no feldspar and hardly any dissolution porosity is present in these extremely quartz</w:t>
      </w:r>
      <w:r>
        <w:t>-rich sandstones (Table 1).</w:t>
      </w:r>
    </w:p>
    <w:p w14:paraId="4FC8CAB5" w14:textId="77777777" w:rsidR="0081446C" w:rsidRDefault="002452A6">
      <w:pPr>
        <w:spacing w:after="226"/>
        <w:ind w:left="-15" w:right="245"/>
      </w:pPr>
      <w:r>
        <w:t>Although part of the studied interval is above the oil–water contact, the sandstones are still water-wet, and quartz cementation is therefore probably still in progress. However, the rate of quartz cementation has most likely be</w:t>
      </w:r>
      <w:r>
        <w:t>en reduced because of uplift lowering formation temperatures.</w:t>
      </w:r>
    </w:p>
    <w:p w14:paraId="65156628" w14:textId="77777777" w:rsidR="0081446C" w:rsidRDefault="002452A6">
      <w:pPr>
        <w:spacing w:after="155" w:line="259" w:lineRule="auto"/>
        <w:ind w:left="248" w:right="482" w:hanging="10"/>
        <w:jc w:val="center"/>
      </w:pPr>
      <w:r>
        <w:rPr>
          <w:b/>
          <w:sz w:val="15"/>
        </w:rPr>
        <w:t>DISTRIBUTION OF QUARTZ CEMENT</w:t>
      </w:r>
    </w:p>
    <w:p w14:paraId="00FCF5A9" w14:textId="77777777" w:rsidR="0081446C" w:rsidRDefault="002452A6">
      <w:pPr>
        <w:pStyle w:val="1"/>
      </w:pPr>
      <w:r>
        <w:lastRenderedPageBreak/>
        <w:t>Volumes of Quartz Cement</w:t>
      </w:r>
    </w:p>
    <w:p w14:paraId="036901CE" w14:textId="77777777" w:rsidR="0081446C" w:rsidRDefault="002452A6">
      <w:pPr>
        <w:spacing w:after="209"/>
        <w:ind w:left="-15" w:right="243"/>
      </w:pPr>
      <w:r>
        <w:rPr>
          <w:noProof/>
        </w:rPr>
        <w:lastRenderedPageBreak/>
        <w:drawing>
          <wp:anchor distT="0" distB="0" distL="114300" distR="114300" simplePos="0" relativeHeight="251659264" behindDoc="0" locked="0" layoutInCell="1" allowOverlap="0" wp14:anchorId="3D53F5AA" wp14:editId="59045BCA">
            <wp:simplePos x="0" y="0"/>
            <wp:positionH relativeFrom="column">
              <wp:posOffset>-3325358</wp:posOffset>
            </wp:positionH>
            <wp:positionV relativeFrom="paragraph">
              <wp:posOffset>1308774</wp:posOffset>
            </wp:positionV>
            <wp:extent cx="3090672" cy="8385048"/>
            <wp:effectExtent l="0" t="0" r="0" b="0"/>
            <wp:wrapSquare wrapText="bothSides"/>
            <wp:docPr id="24601" name="Picture 24601"/>
            <wp:cNvGraphicFramePr/>
            <a:graphic xmlns:a="http://schemas.openxmlformats.org/drawingml/2006/main">
              <a:graphicData uri="http://schemas.openxmlformats.org/drawingml/2006/picture">
                <pic:pic xmlns:pic="http://schemas.openxmlformats.org/drawingml/2006/picture">
                  <pic:nvPicPr>
                    <pic:cNvPr id="24601" name="Picture 24601"/>
                    <pic:cNvPicPr/>
                  </pic:nvPicPr>
                  <pic:blipFill>
                    <a:blip r:embed="rId15"/>
                    <a:stretch>
                      <a:fillRect/>
                    </a:stretch>
                  </pic:blipFill>
                  <pic:spPr>
                    <a:xfrm>
                      <a:off x="0" y="0"/>
                      <a:ext cx="3090672" cy="8385048"/>
                    </a:xfrm>
                    <a:prstGeom prst="rect">
                      <a:avLst/>
                    </a:prstGeom>
                  </pic:spPr>
                </pic:pic>
              </a:graphicData>
            </a:graphic>
          </wp:anchor>
        </w:drawing>
      </w:r>
      <w:r>
        <w:t xml:space="preserve">The percentage of quartz cement determined by point counting thin sections and CL </w:t>
      </w:r>
      <w:r>
        <w:t>micrographs are quite similar (Table 2, Fig. 8), although quartz cement content varies widely from sample to sample (6–22%). These values are thought to include some inherite</w:t>
      </w:r>
      <w:r>
        <w:t xml:space="preserve">d quartz overgrowths from older sandstones. Such inherited discontinuous and abraded overgrowths occur on some quartz grains covered by early calcite cement in the </w:t>
      </w:r>
      <w:proofErr w:type="spellStart"/>
      <w:r>
        <w:t>Stø</w:t>
      </w:r>
      <w:proofErr w:type="spellEnd"/>
      <w:r>
        <w:t xml:space="preserve"> Formation in the </w:t>
      </w:r>
      <w:proofErr w:type="spellStart"/>
      <w:r>
        <w:t>neighbouring</w:t>
      </w:r>
      <w:proofErr w:type="spellEnd"/>
      <w:r>
        <w:t xml:space="preserve"> well 7120/9-1. No such calcite cemented intervals are pres</w:t>
      </w:r>
      <w:r>
        <w:t xml:space="preserve">ent in the </w:t>
      </w:r>
      <w:proofErr w:type="spellStart"/>
      <w:r>
        <w:t>Stø</w:t>
      </w:r>
      <w:proofErr w:type="spellEnd"/>
      <w:r>
        <w:t xml:space="preserve"> Formation in 7120/6-1, but point counting of CL micrographs from calcite cemented intervals in 7120/9-1 gave a content of inherited quartz overgrowths of 1.5% (</w:t>
      </w:r>
      <w:proofErr w:type="spellStart"/>
      <w:r>
        <w:t>Walderhaug</w:t>
      </w:r>
      <w:proofErr w:type="spellEnd"/>
      <w:r>
        <w:t xml:space="preserve"> 1985). It does not seem unreasonable to assume that a similar amount o</w:t>
      </w:r>
      <w:r>
        <w:t xml:space="preserve">f inherited quartz overgrowths </w:t>
      </w:r>
      <w:proofErr w:type="gramStart"/>
      <w:r>
        <w:t>are</w:t>
      </w:r>
      <w:proofErr w:type="gramEnd"/>
      <w:r>
        <w:t xml:space="preserve"> present in the </w:t>
      </w:r>
      <w:proofErr w:type="spellStart"/>
      <w:r>
        <w:t>Stø</w:t>
      </w:r>
      <w:proofErr w:type="spellEnd"/>
      <w:r>
        <w:t xml:space="preserve"> Formation in 7120/6-1. The percentage of inherited quartz overgrowths will also be a function of the proportion of quartz clasts in a sample, and the percentage of inherited quartz overgrowths, </w:t>
      </w:r>
      <w:r>
        <w:rPr>
          <w:i/>
        </w:rPr>
        <w:t xml:space="preserve">Pi, </w:t>
      </w:r>
      <w:r>
        <w:t>in 7</w:t>
      </w:r>
      <w:r>
        <w:t xml:space="preserve">120/6-1 was therefore estimated as </w:t>
      </w:r>
      <w:r>
        <w:rPr>
          <w:i/>
        </w:rPr>
        <w:t xml:space="preserve">Pi </w:t>
      </w:r>
      <w:r>
        <w:rPr>
          <w:rFonts w:ascii="Calibri" w:eastAsia="Calibri" w:hAnsi="Calibri" w:cs="Calibri"/>
        </w:rPr>
        <w:t xml:space="preserve">5 </w:t>
      </w:r>
      <w:r>
        <w:rPr>
          <w:i/>
        </w:rPr>
        <w:t>Pi</w:t>
      </w:r>
      <w:r>
        <w:rPr>
          <w:sz w:val="18"/>
          <w:vertAlign w:val="subscript"/>
        </w:rPr>
        <w:t>0</w:t>
      </w:r>
      <w:r>
        <w:rPr>
          <w:i/>
        </w:rPr>
        <w:t>F</w:t>
      </w:r>
      <w:r>
        <w:t>/</w:t>
      </w:r>
      <w:r>
        <w:rPr>
          <w:i/>
        </w:rPr>
        <w:t>F</w:t>
      </w:r>
      <w:r>
        <w:rPr>
          <w:sz w:val="18"/>
          <w:vertAlign w:val="subscript"/>
        </w:rPr>
        <w:t>0</w:t>
      </w:r>
      <w:r>
        <w:t xml:space="preserve">, where </w:t>
      </w:r>
      <w:r>
        <w:rPr>
          <w:i/>
        </w:rPr>
        <w:t>Pi</w:t>
      </w:r>
      <w:r>
        <w:rPr>
          <w:sz w:val="18"/>
          <w:vertAlign w:val="subscript"/>
        </w:rPr>
        <w:t xml:space="preserve">0 </w:t>
      </w:r>
      <w:r>
        <w:t xml:space="preserve">is the percentage of inherited overgrowths in the calcite cemented zone in 7120/9-1 (1.5%), </w:t>
      </w:r>
      <w:r>
        <w:rPr>
          <w:i/>
        </w:rPr>
        <w:t xml:space="preserve">F </w:t>
      </w:r>
      <w:r>
        <w:t xml:space="preserve">is the percentage of quartz clasts in the sample under consideration, and </w:t>
      </w:r>
      <w:r>
        <w:rPr>
          <w:i/>
        </w:rPr>
        <w:t>F</w:t>
      </w:r>
      <w:r>
        <w:rPr>
          <w:sz w:val="18"/>
          <w:vertAlign w:val="subscript"/>
        </w:rPr>
        <w:t xml:space="preserve">0 </w:t>
      </w:r>
      <w:r>
        <w:t>is the percentage of quart</w:t>
      </w:r>
      <w:r>
        <w:t>z clasts in the calcite-cemented sandstone in 7120/9-1 (43.5%). This implies that the point counted samples contain 2.3–2.6% inherited quartz overgrowths (Table 2).</w:t>
      </w:r>
    </w:p>
    <w:p w14:paraId="6E76F228" w14:textId="77777777" w:rsidR="0081446C" w:rsidRDefault="002452A6">
      <w:pPr>
        <w:pStyle w:val="1"/>
        <w:ind w:right="3"/>
      </w:pPr>
      <w:r>
        <w:t xml:space="preserve">Distance from </w:t>
      </w:r>
      <w:proofErr w:type="spellStart"/>
      <w:r>
        <w:t>Stylolites</w:t>
      </w:r>
      <w:proofErr w:type="spellEnd"/>
    </w:p>
    <w:p w14:paraId="6434E851" w14:textId="77777777" w:rsidR="0081446C" w:rsidRDefault="002452A6">
      <w:pPr>
        <w:spacing w:after="223"/>
        <w:ind w:left="-15"/>
      </w:pPr>
      <w:r>
        <w:t xml:space="preserve">Immediately adjacent to </w:t>
      </w:r>
      <w:proofErr w:type="spellStart"/>
      <w:r>
        <w:t>stylolites</w:t>
      </w:r>
      <w:proofErr w:type="spellEnd"/>
      <w:r>
        <w:t xml:space="preserve"> (</w:t>
      </w:r>
      <w:r>
        <w:rPr>
          <w:rFonts w:ascii="Calibri" w:eastAsia="Calibri" w:hAnsi="Calibri" w:cs="Calibri"/>
        </w:rPr>
        <w:t xml:space="preserve">, </w:t>
      </w:r>
      <w:r>
        <w:t>1 cm), contents of quartz ce</w:t>
      </w:r>
      <w:r>
        <w:t>ment corrected for inherited overgrowths are 10–20%. Volume of quartz cement then decreases to around 5% as distance from nearest stylolite increases to 25 cm, and then remains quite constant as distance to nearest stylolite increases to almost 2 m (Fig. 9</w:t>
      </w:r>
      <w:r>
        <w:t>).</w:t>
      </w:r>
    </w:p>
    <w:p w14:paraId="5CC148B6" w14:textId="77777777" w:rsidR="0081446C" w:rsidRDefault="002452A6">
      <w:pPr>
        <w:pStyle w:val="1"/>
        <w:ind w:right="5"/>
      </w:pPr>
      <w:r>
        <w:t>Stylolite Spacing</w:t>
      </w:r>
    </w:p>
    <w:p w14:paraId="7E0F4D6C" w14:textId="77777777" w:rsidR="0081446C" w:rsidRDefault="002452A6">
      <w:pPr>
        <w:spacing w:after="225"/>
        <w:ind w:left="-15"/>
      </w:pPr>
      <w:r>
        <w:t xml:space="preserve">A location 10 cm distant from a stylolite when stylolite spacing is for instance 20 cm is not equivalent to a location 10 cm from the nearest stylolite when stylolite spacing is 1 m because the </w:t>
      </w:r>
      <w:proofErr w:type="spellStart"/>
      <w:r>
        <w:t>stylolites</w:t>
      </w:r>
      <w:proofErr w:type="spellEnd"/>
      <w:r>
        <w:t xml:space="preserve"> in the latter case </w:t>
      </w:r>
      <w:proofErr w:type="gramStart"/>
      <w:r>
        <w:t>have to</w:t>
      </w:r>
      <w:proofErr w:type="gramEnd"/>
      <w:r>
        <w:t xml:space="preserve"> sup</w:t>
      </w:r>
      <w:r>
        <w:t xml:space="preserve">ply a larger volume of sandstone with dissolved silica. An ideal data set should therefore include volume of quartz cement versus distance from nearest stylolite for different stylolite spacings, although this would obviously entail analyzing a very large </w:t>
      </w:r>
      <w:r>
        <w:t xml:space="preserve">number of samples. In the present study there does not appear to be any obvious difference in volumes of quartz cement for samples located at the same distance from the nearest stylolite, but with different spacing between the </w:t>
      </w:r>
      <w:proofErr w:type="spellStart"/>
      <w:r>
        <w:t>stylolites</w:t>
      </w:r>
      <w:proofErr w:type="spellEnd"/>
      <w:r>
        <w:t xml:space="preserve"> (Table 1). However</w:t>
      </w:r>
      <w:r>
        <w:t>, the available data make it difficult to evaluate this except for samples located very close to the nearest stylolite.</w:t>
      </w:r>
    </w:p>
    <w:p w14:paraId="2C1A2A3D" w14:textId="77777777" w:rsidR="0081446C" w:rsidRDefault="002452A6">
      <w:pPr>
        <w:pStyle w:val="1"/>
        <w:ind w:right="4"/>
      </w:pPr>
      <w:r>
        <w:t>Quartz Surface Area</w:t>
      </w:r>
    </w:p>
    <w:p w14:paraId="02D31F56" w14:textId="77777777" w:rsidR="0081446C" w:rsidRDefault="002452A6">
      <w:pPr>
        <w:spacing w:after="116"/>
        <w:ind w:left="-15"/>
      </w:pPr>
      <w:r>
        <w:t>Quartz cementation is strongly influenced by the quartz surface area available for formation of quartz overgrowths, and a low quartz surface area due to factors such as grain coatings, large grain size, or a small proportion of quartz clasts therefore redu</w:t>
      </w:r>
      <w:r>
        <w:t xml:space="preserve">ces quartz cementation (Heald and Renton 1966; Heald and Larese 1974; Parnell 1987; Byrnes and Wilson 1994). The cumulative surface area </w:t>
      </w:r>
      <w:r>
        <w:rPr>
          <w:i/>
        </w:rPr>
        <w:t xml:space="preserve">A </w:t>
      </w:r>
      <w:r>
        <w:t>(cm</w:t>
      </w:r>
      <w:r>
        <w:rPr>
          <w:sz w:val="18"/>
          <w:vertAlign w:val="superscript"/>
        </w:rPr>
        <w:t>2</w:t>
      </w:r>
      <w:r>
        <w:t xml:space="preserve">) of quartz grains in a sample with volume </w:t>
      </w:r>
      <w:r>
        <w:rPr>
          <w:i/>
        </w:rPr>
        <w:t xml:space="preserve">V </w:t>
      </w:r>
      <w:r>
        <w:t>(cm</w:t>
      </w:r>
      <w:r>
        <w:rPr>
          <w:sz w:val="18"/>
          <w:vertAlign w:val="superscript"/>
        </w:rPr>
        <w:t>3</w:t>
      </w:r>
      <w:r>
        <w:t xml:space="preserve">), a volume fraction of quartz clasts </w:t>
      </w:r>
      <w:r>
        <w:rPr>
          <w:i/>
        </w:rPr>
        <w:t xml:space="preserve">f, </w:t>
      </w:r>
      <w:r>
        <w:t xml:space="preserve">grain size </w:t>
      </w:r>
      <w:r>
        <w:rPr>
          <w:i/>
        </w:rPr>
        <w:t xml:space="preserve">D </w:t>
      </w:r>
      <w:r>
        <w:t xml:space="preserve">(cm), and </w:t>
      </w:r>
      <w:r>
        <w:t xml:space="preserve">a fraction </w:t>
      </w:r>
      <w:r>
        <w:rPr>
          <w:i/>
        </w:rPr>
        <w:t xml:space="preserve">C </w:t>
      </w:r>
      <w:r>
        <w:t>of grain surfaces coated by clay or other substances can be estimated as (</w:t>
      </w:r>
      <w:proofErr w:type="spellStart"/>
      <w:r>
        <w:t>Walderhaug</w:t>
      </w:r>
      <w:proofErr w:type="spellEnd"/>
      <w:r>
        <w:t xml:space="preserve"> 1996):</w:t>
      </w:r>
    </w:p>
    <w:p w14:paraId="7865CA0E" w14:textId="77777777" w:rsidR="0081446C" w:rsidRDefault="002452A6">
      <w:pPr>
        <w:tabs>
          <w:tab w:val="center" w:pos="2521"/>
          <w:tab w:val="right" w:pos="5046"/>
        </w:tabs>
        <w:spacing w:after="72" w:line="259" w:lineRule="auto"/>
        <w:ind w:left="0" w:right="-9" w:firstLine="0"/>
        <w:jc w:val="left"/>
      </w:pPr>
      <w:r>
        <w:rPr>
          <w:rFonts w:ascii="Calibri" w:eastAsia="Calibri" w:hAnsi="Calibri" w:cs="Calibri"/>
          <w:color w:val="000000"/>
          <w:sz w:val="22"/>
        </w:rPr>
        <w:tab/>
      </w:r>
      <w:r>
        <w:rPr>
          <w:i/>
        </w:rPr>
        <w:t xml:space="preserve">A </w:t>
      </w:r>
      <w:r>
        <w:rPr>
          <w:rFonts w:ascii="Calibri" w:eastAsia="Calibri" w:hAnsi="Calibri" w:cs="Calibri"/>
        </w:rPr>
        <w:t xml:space="preserve">5 </w:t>
      </w:r>
      <w:r>
        <w:t xml:space="preserve">(1 </w:t>
      </w:r>
      <w:r>
        <w:rPr>
          <w:rFonts w:ascii="Calibri" w:eastAsia="Calibri" w:hAnsi="Calibri" w:cs="Calibri"/>
        </w:rPr>
        <w:t xml:space="preserve">2 </w:t>
      </w:r>
      <w:r>
        <w:rPr>
          <w:i/>
        </w:rPr>
        <w:t>C</w:t>
      </w:r>
      <w:r>
        <w:t>)6</w:t>
      </w:r>
      <w:r>
        <w:rPr>
          <w:i/>
        </w:rPr>
        <w:t>fV</w:t>
      </w:r>
      <w:r>
        <w:t>/</w:t>
      </w:r>
      <w:r>
        <w:rPr>
          <w:i/>
        </w:rPr>
        <w:t>D</w:t>
      </w:r>
      <w:r>
        <w:rPr>
          <w:i/>
        </w:rPr>
        <w:tab/>
      </w:r>
      <w:r>
        <w:t>(1)</w:t>
      </w:r>
    </w:p>
    <w:p w14:paraId="7405748B" w14:textId="77777777" w:rsidR="0081446C" w:rsidRDefault="002452A6">
      <w:pPr>
        <w:ind w:left="-15"/>
      </w:pPr>
      <w:r>
        <w:t>In the present case a plot of quartz surface area as defined by Equation 1 against volume of quartz cement does show a tendency f</w:t>
      </w:r>
      <w:r>
        <w:t xml:space="preserve">or more quartz cement to be present where quartz surface area is </w:t>
      </w:r>
      <w:r>
        <w:lastRenderedPageBreak/>
        <w:t xml:space="preserve">greatest (Fig. 10), but there is no tendency for quartz surface area within the very clean sandstone interval below 2428 </w:t>
      </w:r>
      <w:proofErr w:type="spellStart"/>
      <w:r>
        <w:t>mRKB</w:t>
      </w:r>
      <w:proofErr w:type="spellEnd"/>
      <w:r>
        <w:t xml:space="preserve"> to vary as a function of distance from nearest stylolite (Fig. 11</w:t>
      </w:r>
      <w:r>
        <w:t xml:space="preserve">). This indicates that variable quartz cement volumes within this interval are not due to more quartz surface area being available adjacent to </w:t>
      </w:r>
      <w:proofErr w:type="spellStart"/>
      <w:r>
        <w:t>stylolites</w:t>
      </w:r>
      <w:proofErr w:type="spellEnd"/>
      <w:r>
        <w:t>. On the contrary, quartz surface area tends to be rather constant at around 170 cm</w:t>
      </w:r>
      <w:r>
        <w:rPr>
          <w:sz w:val="18"/>
          <w:vertAlign w:val="superscript"/>
        </w:rPr>
        <w:t xml:space="preserve">2 </w:t>
      </w:r>
      <w:r>
        <w:t>per cm</w:t>
      </w:r>
      <w:r>
        <w:rPr>
          <w:sz w:val="18"/>
          <w:vertAlign w:val="superscript"/>
        </w:rPr>
        <w:t xml:space="preserve">3 </w:t>
      </w:r>
      <w:r>
        <w:t>of sandsto</w:t>
      </w:r>
      <w:r>
        <w:t xml:space="preserve">ne within the clay-free interval. In the overlying finer-grained interval, where distance to </w:t>
      </w:r>
      <w:r>
        <w:t>nearest stylolite never exceeds 1 cm, quartz surface areas are more variable and with one exception higher, and samples from this finer-grained interval tend to co</w:t>
      </w:r>
      <w:r>
        <w:t xml:space="preserve">ntain more quartz cement (Table 1). More quartz surface area is available in the upper, finer-grained interval, which can explain the difference in quartz cement volumes between this interval and the underlying, </w:t>
      </w:r>
      <w:proofErr w:type="spellStart"/>
      <w:r>
        <w:t>clayfree</w:t>
      </w:r>
      <w:proofErr w:type="spellEnd"/>
      <w:r>
        <w:t>, coarser-grained samples, even when</w:t>
      </w:r>
      <w:r>
        <w:t xml:space="preserve"> they are located adjacent to </w:t>
      </w:r>
      <w:proofErr w:type="spellStart"/>
      <w:r>
        <w:t>stylolites</w:t>
      </w:r>
      <w:proofErr w:type="spellEnd"/>
      <w:r>
        <w:t>. However, the greater quartz surface area in the upper interval does</w:t>
      </w:r>
    </w:p>
    <w:p w14:paraId="1054FA33" w14:textId="77777777" w:rsidR="0081446C" w:rsidRDefault="0081446C">
      <w:pPr>
        <w:sectPr w:rsidR="0081446C">
          <w:type w:val="continuous"/>
          <w:pgSz w:w="12240" w:h="15840"/>
          <w:pgMar w:top="1290" w:right="834" w:bottom="727" w:left="840" w:header="720" w:footer="720" w:gutter="0"/>
          <w:cols w:num="2" w:space="167"/>
        </w:sectPr>
      </w:pPr>
    </w:p>
    <w:p w14:paraId="270F3A30" w14:textId="77777777" w:rsidR="0081446C" w:rsidRDefault="002452A6">
      <w:pPr>
        <w:spacing w:after="144" w:line="259" w:lineRule="auto"/>
        <w:ind w:left="0" w:firstLine="0"/>
        <w:jc w:val="left"/>
      </w:pPr>
      <w:r>
        <w:rPr>
          <w:noProof/>
        </w:rPr>
        <w:drawing>
          <wp:inline distT="0" distB="0" distL="0" distR="0" wp14:anchorId="174236D7" wp14:editId="623EA381">
            <wp:extent cx="6553199" cy="6705599"/>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16"/>
                    <a:stretch>
                      <a:fillRect/>
                    </a:stretch>
                  </pic:blipFill>
                  <pic:spPr>
                    <a:xfrm>
                      <a:off x="0" y="0"/>
                      <a:ext cx="6553199" cy="6705599"/>
                    </a:xfrm>
                    <a:prstGeom prst="rect">
                      <a:avLst/>
                    </a:prstGeom>
                  </pic:spPr>
                </pic:pic>
              </a:graphicData>
            </a:graphic>
          </wp:inline>
        </w:drawing>
      </w:r>
    </w:p>
    <w:p w14:paraId="0E381E1B" w14:textId="77777777" w:rsidR="0081446C" w:rsidRDefault="002452A6">
      <w:pPr>
        <w:spacing w:after="38" w:line="229" w:lineRule="auto"/>
        <w:ind w:left="0" w:firstLine="138"/>
      </w:pPr>
      <w:r>
        <w:rPr>
          <w:sz w:val="17"/>
        </w:rPr>
        <w:t>F</w:t>
      </w:r>
      <w:r>
        <w:rPr>
          <w:sz w:val="12"/>
        </w:rPr>
        <w:t>IG</w:t>
      </w:r>
      <w:r>
        <w:rPr>
          <w:sz w:val="17"/>
        </w:rPr>
        <w:t xml:space="preserve">. </w:t>
      </w:r>
      <w:proofErr w:type="gramStart"/>
      <w:r>
        <w:rPr>
          <w:sz w:val="17"/>
        </w:rPr>
        <w:t>4.—</w:t>
      </w:r>
      <w:proofErr w:type="gramEnd"/>
      <w:r>
        <w:rPr>
          <w:b/>
          <w:sz w:val="17"/>
        </w:rPr>
        <w:t xml:space="preserve">A) </w:t>
      </w:r>
      <w:r>
        <w:rPr>
          <w:sz w:val="17"/>
        </w:rPr>
        <w:t xml:space="preserve">Moderately quartz cemented sandstone, 2402.60 </w:t>
      </w:r>
      <w:proofErr w:type="spellStart"/>
      <w:r>
        <w:rPr>
          <w:sz w:val="17"/>
        </w:rPr>
        <w:t>mRKB</w:t>
      </w:r>
      <w:proofErr w:type="spellEnd"/>
      <w:r>
        <w:rPr>
          <w:sz w:val="17"/>
        </w:rPr>
        <w:t xml:space="preserve">. </w:t>
      </w:r>
      <w:r>
        <w:rPr>
          <w:b/>
          <w:sz w:val="17"/>
        </w:rPr>
        <w:t xml:space="preserve">B) </w:t>
      </w:r>
      <w:r>
        <w:rPr>
          <w:sz w:val="17"/>
        </w:rPr>
        <w:t xml:space="preserve">Strongly quartz cemented sandstone, 2408.68 </w:t>
      </w:r>
      <w:proofErr w:type="spellStart"/>
      <w:r>
        <w:rPr>
          <w:sz w:val="17"/>
        </w:rPr>
        <w:t>mRKB</w:t>
      </w:r>
      <w:proofErr w:type="spellEnd"/>
      <w:r>
        <w:rPr>
          <w:sz w:val="17"/>
        </w:rPr>
        <w:t xml:space="preserve">. </w:t>
      </w:r>
      <w:r>
        <w:rPr>
          <w:b/>
          <w:sz w:val="17"/>
        </w:rPr>
        <w:t xml:space="preserve">C) </w:t>
      </w:r>
      <w:r>
        <w:rPr>
          <w:sz w:val="17"/>
        </w:rPr>
        <w:t xml:space="preserve">Slightly quartz cemented sandstone, 2449.70 </w:t>
      </w:r>
      <w:proofErr w:type="spellStart"/>
      <w:r>
        <w:rPr>
          <w:sz w:val="17"/>
        </w:rPr>
        <w:t>mRKB</w:t>
      </w:r>
      <w:proofErr w:type="spellEnd"/>
      <w:r>
        <w:rPr>
          <w:sz w:val="17"/>
        </w:rPr>
        <w:t xml:space="preserve">. </w:t>
      </w:r>
      <w:r>
        <w:rPr>
          <w:b/>
          <w:sz w:val="17"/>
        </w:rPr>
        <w:t xml:space="preserve">D) </w:t>
      </w:r>
      <w:r>
        <w:rPr>
          <w:sz w:val="17"/>
        </w:rPr>
        <w:t xml:space="preserve">Slightly quartz cemented sandstone, 2451.25 </w:t>
      </w:r>
      <w:proofErr w:type="spellStart"/>
      <w:r>
        <w:rPr>
          <w:sz w:val="17"/>
        </w:rPr>
        <w:t>mRKB</w:t>
      </w:r>
      <w:proofErr w:type="spellEnd"/>
      <w:r>
        <w:rPr>
          <w:sz w:val="17"/>
        </w:rPr>
        <w:t xml:space="preserve">. </w:t>
      </w:r>
      <w:r>
        <w:rPr>
          <w:b/>
          <w:sz w:val="17"/>
        </w:rPr>
        <w:t xml:space="preserve">E) </w:t>
      </w:r>
      <w:r>
        <w:rPr>
          <w:sz w:val="17"/>
        </w:rPr>
        <w:t xml:space="preserve">CL-micrograph of moderately quartz cemented sandstone, 2444.90 </w:t>
      </w:r>
      <w:proofErr w:type="spellStart"/>
      <w:r>
        <w:rPr>
          <w:sz w:val="17"/>
        </w:rPr>
        <w:t>mRKB</w:t>
      </w:r>
      <w:proofErr w:type="spellEnd"/>
      <w:r>
        <w:rPr>
          <w:sz w:val="17"/>
        </w:rPr>
        <w:t xml:space="preserve">. </w:t>
      </w:r>
      <w:r>
        <w:rPr>
          <w:b/>
          <w:sz w:val="17"/>
        </w:rPr>
        <w:t xml:space="preserve">F) </w:t>
      </w:r>
      <w:r>
        <w:rPr>
          <w:sz w:val="17"/>
        </w:rPr>
        <w:t xml:space="preserve">Same field of view as E) </w:t>
      </w:r>
      <w:r>
        <w:rPr>
          <w:sz w:val="17"/>
        </w:rPr>
        <w:t>using plane-polarized light. All micrographs taken at the same magnification.</w:t>
      </w:r>
    </w:p>
    <w:p w14:paraId="19E79D0B" w14:textId="77777777" w:rsidR="0081446C" w:rsidRDefault="0081446C">
      <w:pPr>
        <w:sectPr w:rsidR="0081446C">
          <w:type w:val="continuous"/>
          <w:pgSz w:w="12240" w:h="15840"/>
          <w:pgMar w:top="1290" w:right="1077" w:bottom="1459" w:left="840" w:header="720" w:footer="720" w:gutter="0"/>
          <w:cols w:space="720"/>
        </w:sectPr>
      </w:pPr>
    </w:p>
    <w:p w14:paraId="6580816A" w14:textId="77777777" w:rsidR="0081446C" w:rsidRDefault="002452A6">
      <w:pPr>
        <w:spacing w:after="165"/>
        <w:ind w:left="-15" w:firstLine="0"/>
      </w:pPr>
      <w:r>
        <w:t xml:space="preserve">not provide an explanation for the main problem: the trend of decreasing quartz cementation outwards from </w:t>
      </w:r>
      <w:proofErr w:type="spellStart"/>
      <w:r>
        <w:t>stylolites</w:t>
      </w:r>
      <w:proofErr w:type="spellEnd"/>
      <w:r>
        <w:t xml:space="preserve"> within the </w:t>
      </w:r>
      <w:r>
        <w:t>clay-free interval where quartz surfac</w:t>
      </w:r>
      <w:r>
        <w:t>e area remains relatively constant.</w:t>
      </w:r>
    </w:p>
    <w:p w14:paraId="0DF1B838" w14:textId="77777777" w:rsidR="0081446C" w:rsidRDefault="002452A6">
      <w:pPr>
        <w:pStyle w:val="2"/>
        <w:spacing w:after="107"/>
        <w:ind w:left="248" w:right="237"/>
      </w:pPr>
      <w:r>
        <w:lastRenderedPageBreak/>
        <w:t>MODELING QUARTZ CEMENTATION</w:t>
      </w:r>
    </w:p>
    <w:tbl>
      <w:tblPr>
        <w:tblStyle w:val="TableGrid"/>
        <w:tblpPr w:vertAnchor="text" w:horzAnchor="margin" w:tblpY="1848"/>
        <w:tblOverlap w:val="never"/>
        <w:tblW w:w="10324" w:type="dxa"/>
        <w:tblInd w:w="0" w:type="dxa"/>
        <w:tblCellMar>
          <w:top w:w="0" w:type="dxa"/>
          <w:left w:w="60" w:type="dxa"/>
          <w:bottom w:w="0" w:type="dxa"/>
          <w:right w:w="303" w:type="dxa"/>
        </w:tblCellMar>
        <w:tblLook w:val="04A0" w:firstRow="1" w:lastRow="0" w:firstColumn="1" w:lastColumn="0" w:noHBand="0" w:noVBand="1"/>
      </w:tblPr>
      <w:tblGrid>
        <w:gridCol w:w="10324"/>
      </w:tblGrid>
      <w:tr w:rsidR="0081446C" w14:paraId="467613B5" w14:textId="77777777">
        <w:trPr>
          <w:trHeight w:val="333"/>
        </w:trPr>
        <w:tc>
          <w:tcPr>
            <w:tcW w:w="2701" w:type="dxa"/>
            <w:tcBorders>
              <w:top w:val="nil"/>
              <w:left w:val="nil"/>
              <w:bottom w:val="nil"/>
              <w:right w:val="nil"/>
            </w:tcBorders>
            <w:vAlign w:val="bottom"/>
          </w:tcPr>
          <w:p w14:paraId="0D3507BA" w14:textId="77777777" w:rsidR="0081446C" w:rsidRDefault="002452A6">
            <w:pPr>
              <w:spacing w:after="0" w:line="259" w:lineRule="auto"/>
              <w:ind w:left="7260" w:firstLine="148"/>
            </w:pPr>
            <w:r>
              <w:rPr>
                <w:noProof/>
              </w:rPr>
              <w:drawing>
                <wp:anchor distT="0" distB="0" distL="114300" distR="114300" simplePos="0" relativeHeight="251660288" behindDoc="0" locked="0" layoutInCell="1" allowOverlap="0" wp14:anchorId="18137E0F" wp14:editId="3ED7B208">
                  <wp:simplePos x="0" y="0"/>
                  <wp:positionH relativeFrom="column">
                    <wp:posOffset>38104</wp:posOffset>
                  </wp:positionH>
                  <wp:positionV relativeFrom="paragraph">
                    <wp:posOffset>-2899019</wp:posOffset>
                  </wp:positionV>
                  <wp:extent cx="4421123" cy="3086100"/>
                  <wp:effectExtent l="0" t="0" r="0" b="0"/>
                  <wp:wrapSquare wrapText="bothSides"/>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17"/>
                          <a:stretch>
                            <a:fillRect/>
                          </a:stretch>
                        </pic:blipFill>
                        <pic:spPr>
                          <a:xfrm>
                            <a:off x="0" y="0"/>
                            <a:ext cx="4421123" cy="3086100"/>
                          </a:xfrm>
                          <a:prstGeom prst="rect">
                            <a:avLst/>
                          </a:prstGeom>
                        </pic:spPr>
                      </pic:pic>
                    </a:graphicData>
                  </a:graphic>
                </wp:anchor>
              </w:drawing>
            </w:r>
            <w:r>
              <w:rPr>
                <w:sz w:val="17"/>
              </w:rPr>
              <w:t>F</w:t>
            </w:r>
            <w:r>
              <w:rPr>
                <w:sz w:val="12"/>
              </w:rPr>
              <w:t>IG</w:t>
            </w:r>
            <w:r>
              <w:rPr>
                <w:sz w:val="17"/>
              </w:rPr>
              <w:t xml:space="preserve">. </w:t>
            </w:r>
            <w:proofErr w:type="gramStart"/>
            <w:r>
              <w:rPr>
                <w:sz w:val="17"/>
              </w:rPr>
              <w:t>5.—</w:t>
            </w:r>
            <w:proofErr w:type="gramEnd"/>
            <w:r>
              <w:rPr>
                <w:sz w:val="17"/>
              </w:rPr>
              <w:t>Homogenization temperatures for aqueous inclusions in quartz overgrowths.</w:t>
            </w:r>
          </w:p>
        </w:tc>
      </w:tr>
    </w:tbl>
    <w:p w14:paraId="3ADED5E1" w14:textId="77777777" w:rsidR="0081446C" w:rsidRDefault="002452A6">
      <w:pPr>
        <w:ind w:left="-15"/>
      </w:pPr>
      <w:r>
        <w:t>Owing to factors such as grain size and grain coatings having an important effect on quartz cementation, differences in abundance of quartz cement cannot be taken directly as an effect of distance to nearest stylolite or stylolite spacing. The effect of pr</w:t>
      </w:r>
      <w:r>
        <w:t xml:space="preserve">oximity to </w:t>
      </w:r>
      <w:proofErr w:type="spellStart"/>
      <w:r>
        <w:t>stylolites</w:t>
      </w:r>
      <w:proofErr w:type="spellEnd"/>
      <w:r>
        <w:t xml:space="preserve"> can, however, be determined by modeling quartz cementation of each sample with the Exemplar</w:t>
      </w:r>
      <w:r>
        <w:rPr>
          <w:rFonts w:ascii="Calibri" w:eastAsia="Calibri" w:hAnsi="Calibri" w:cs="Calibri"/>
        </w:rPr>
        <w:t xml:space="preserve">y </w:t>
      </w:r>
      <w:r>
        <w:t>diagenetic modeling program and comparing predictions with observed values. Because factors such as grain size and abundance of grain coating</w:t>
      </w:r>
      <w:r>
        <w:t xml:space="preserve">s are </w:t>
      </w:r>
      <w:proofErr w:type="gramStart"/>
      <w:r>
        <w:t>taken into account</w:t>
      </w:r>
      <w:proofErr w:type="gramEnd"/>
      <w:r>
        <w:t xml:space="preserve"> in the modeling, but decreasing silica supersaturation outward from </w:t>
      </w:r>
      <w:proofErr w:type="spellStart"/>
      <w:r>
        <w:t>stylolites</w:t>
      </w:r>
      <w:proofErr w:type="spellEnd"/>
      <w:r>
        <w:t xml:space="preserve"> is not, a systematic overprediction of quartz cement far from </w:t>
      </w:r>
      <w:proofErr w:type="spellStart"/>
      <w:r>
        <w:t>stylolites</w:t>
      </w:r>
      <w:proofErr w:type="spellEnd"/>
      <w:r>
        <w:t xml:space="preserve"> would be a clear indication that </w:t>
      </w:r>
      <w:proofErr w:type="spellStart"/>
      <w:r>
        <w:t>proximityto</w:t>
      </w:r>
      <w:proofErr w:type="spellEnd"/>
      <w:r>
        <w:t xml:space="preserve"> </w:t>
      </w:r>
      <w:proofErr w:type="spellStart"/>
      <w:r>
        <w:t>stylolites</w:t>
      </w:r>
      <w:proofErr w:type="spellEnd"/>
      <w:r>
        <w:t xml:space="preserve"> is a controlling factor</w:t>
      </w:r>
      <w:r>
        <w:t xml:space="preserve"> for quartz cementation in the studied sandstones.</w:t>
      </w:r>
    </w:p>
    <w:p w14:paraId="11BFEB63" w14:textId="77777777" w:rsidR="0081446C" w:rsidRDefault="002452A6">
      <w:pPr>
        <w:ind w:left="240"/>
      </w:pPr>
      <w:r>
        <w:t>The concepts and mathematical formulations implemented in the Exemplar</w:t>
      </w:r>
      <w:r>
        <w:rPr>
          <w:rFonts w:ascii="Calibri" w:eastAsia="Calibri" w:hAnsi="Calibri" w:cs="Calibri"/>
        </w:rPr>
        <w:t xml:space="preserve">y </w:t>
      </w:r>
      <w:r>
        <w:t>diagenetic modeling program are described in detail elsewhere (</w:t>
      </w:r>
      <w:proofErr w:type="spellStart"/>
      <w:r>
        <w:t>Walderhaug</w:t>
      </w:r>
      <w:proofErr w:type="spellEnd"/>
      <w:r>
        <w:t xml:space="preserve"> 1996; Lander and </w:t>
      </w:r>
      <w:proofErr w:type="spellStart"/>
      <w:r>
        <w:t>Walderhaug</w:t>
      </w:r>
      <w:proofErr w:type="spellEnd"/>
      <w:r>
        <w:t xml:space="preserve"> 1999; </w:t>
      </w:r>
      <w:proofErr w:type="spellStart"/>
      <w:r>
        <w:t>Walderhaug</w:t>
      </w:r>
      <w:proofErr w:type="spellEnd"/>
      <w:r>
        <w:t xml:space="preserve"> et al. 2000), </w:t>
      </w:r>
      <w:r>
        <w:t>and only a brief summary is included here.</w:t>
      </w:r>
    </w:p>
    <w:p w14:paraId="0AB5F5DB" w14:textId="77777777" w:rsidR="0081446C" w:rsidRDefault="002452A6">
      <w:pPr>
        <w:spacing w:after="114"/>
        <w:ind w:left="240"/>
      </w:pPr>
      <w:r>
        <w:t>The model of quartz cementation implemented in the Exemplar</w:t>
      </w:r>
      <w:r>
        <w:rPr>
          <w:rFonts w:ascii="Calibri" w:eastAsia="Calibri" w:hAnsi="Calibri" w:cs="Calibri"/>
        </w:rPr>
        <w:t xml:space="preserve">y </w:t>
      </w:r>
      <w:r>
        <w:t>program calculates quartz cementation within a 1 cm</w:t>
      </w:r>
      <w:r>
        <w:rPr>
          <w:sz w:val="18"/>
          <w:vertAlign w:val="superscript"/>
        </w:rPr>
        <w:t xml:space="preserve">3 </w:t>
      </w:r>
      <w:r>
        <w:t xml:space="preserve">reference volume located between </w:t>
      </w:r>
      <w:proofErr w:type="spellStart"/>
      <w:r>
        <w:t>stylolites</w:t>
      </w:r>
      <w:proofErr w:type="spellEnd"/>
      <w:r>
        <w:t xml:space="preserve">. Only the precipitation step in the quartz cementation </w:t>
      </w:r>
      <w:r>
        <w:t xml:space="preserve">process is modeled, inasmuch as precipitation </w:t>
      </w:r>
      <w:proofErr w:type="gramStart"/>
      <w:r>
        <w:t>is considered to be</w:t>
      </w:r>
      <w:proofErr w:type="gramEnd"/>
      <w:r>
        <w:t xml:space="preserve"> the slowest and therefore rate-limiting step in the total process. The volume of quartz cement </w:t>
      </w:r>
      <w:r>
        <w:rPr>
          <w:i/>
        </w:rPr>
        <w:t xml:space="preserve">V </w:t>
      </w:r>
      <w:r>
        <w:t>(in cm</w:t>
      </w:r>
      <w:r>
        <w:rPr>
          <w:sz w:val="18"/>
          <w:vertAlign w:val="superscript"/>
        </w:rPr>
        <w:t>3</w:t>
      </w:r>
      <w:r>
        <w:t>) precipitated in a cm</w:t>
      </w:r>
      <w:r>
        <w:rPr>
          <w:sz w:val="18"/>
          <w:vertAlign w:val="superscript"/>
        </w:rPr>
        <w:t xml:space="preserve">3 </w:t>
      </w:r>
      <w:r>
        <w:t xml:space="preserve">of sandstone with quartz surface area </w:t>
      </w:r>
      <w:r>
        <w:rPr>
          <w:i/>
        </w:rPr>
        <w:t xml:space="preserve">A </w:t>
      </w:r>
      <w:r>
        <w:t>(cm</w:t>
      </w:r>
      <w:r>
        <w:rPr>
          <w:sz w:val="18"/>
          <w:vertAlign w:val="superscript"/>
        </w:rPr>
        <w:t>2</w:t>
      </w:r>
      <w:r>
        <w:t xml:space="preserve">) during time </w:t>
      </w:r>
      <w:r>
        <w:rPr>
          <w:i/>
        </w:rPr>
        <w:t xml:space="preserve">t </w:t>
      </w:r>
      <w:r>
        <w:t>(</w:t>
      </w:r>
      <w:proofErr w:type="spellStart"/>
      <w:r>
        <w:t>i</w:t>
      </w:r>
      <w:r>
        <w:t>n s</w:t>
      </w:r>
      <w:proofErr w:type="spellEnd"/>
      <w:r>
        <w:t>) at a constant temperature can then be expressed (</w:t>
      </w:r>
      <w:proofErr w:type="spellStart"/>
      <w:r>
        <w:t>Walderhaug</w:t>
      </w:r>
      <w:proofErr w:type="spellEnd"/>
      <w:r>
        <w:t xml:space="preserve"> 1996) as:</w:t>
      </w:r>
    </w:p>
    <w:p w14:paraId="01A59194" w14:textId="77777777" w:rsidR="0081446C" w:rsidRDefault="002452A6">
      <w:pPr>
        <w:tabs>
          <w:tab w:val="center" w:pos="2537"/>
          <w:tab w:val="right" w:pos="5046"/>
        </w:tabs>
        <w:spacing w:after="84" w:line="259" w:lineRule="auto"/>
        <w:ind w:left="0" w:firstLine="0"/>
        <w:jc w:val="left"/>
      </w:pPr>
      <w:r>
        <w:rPr>
          <w:rFonts w:ascii="Calibri" w:eastAsia="Calibri" w:hAnsi="Calibri" w:cs="Calibri"/>
          <w:color w:val="000000"/>
          <w:sz w:val="22"/>
        </w:rPr>
        <w:tab/>
      </w:r>
      <w:r>
        <w:rPr>
          <w:i/>
        </w:rPr>
        <w:t xml:space="preserve">V </w:t>
      </w:r>
      <w:r>
        <w:rPr>
          <w:rFonts w:ascii="Calibri" w:eastAsia="Calibri" w:hAnsi="Calibri" w:cs="Calibri"/>
        </w:rPr>
        <w:t xml:space="preserve">5 </w:t>
      </w:r>
      <w:proofErr w:type="spellStart"/>
      <w:r>
        <w:rPr>
          <w:i/>
        </w:rPr>
        <w:t>MrAt</w:t>
      </w:r>
      <w:proofErr w:type="spellEnd"/>
      <w:r>
        <w:t>/</w:t>
      </w:r>
      <w:r>
        <w:rPr>
          <w:rFonts w:ascii="Calibri" w:eastAsia="Calibri" w:hAnsi="Calibri" w:cs="Calibri"/>
        </w:rPr>
        <w:t>r</w:t>
      </w:r>
      <w:r>
        <w:rPr>
          <w:rFonts w:ascii="Calibri" w:eastAsia="Calibri" w:hAnsi="Calibri" w:cs="Calibri"/>
        </w:rPr>
        <w:tab/>
      </w:r>
      <w:r>
        <w:t>(2)</w:t>
      </w:r>
    </w:p>
    <w:p w14:paraId="47CE8506" w14:textId="77777777" w:rsidR="0081446C" w:rsidRDefault="002452A6">
      <w:pPr>
        <w:spacing w:after="100"/>
        <w:ind w:left="240" w:firstLine="0"/>
      </w:pPr>
      <w:r>
        <w:t xml:space="preserve">where </w:t>
      </w:r>
      <w:r>
        <w:rPr>
          <w:i/>
        </w:rPr>
        <w:t xml:space="preserve">M </w:t>
      </w:r>
      <w:r>
        <w:t xml:space="preserve">is the molar mass of quartz (60.09 g/mole), </w:t>
      </w:r>
      <w:proofErr w:type="spellStart"/>
      <w:r>
        <w:rPr>
          <w:i/>
        </w:rPr>
        <w:t>r</w:t>
      </w:r>
      <w:proofErr w:type="spellEnd"/>
      <w:r>
        <w:rPr>
          <w:i/>
        </w:rPr>
        <w:t xml:space="preserve"> </w:t>
      </w:r>
      <w:r>
        <w:t>is the quartz pre-</w:t>
      </w:r>
    </w:p>
    <w:p w14:paraId="58D2221A" w14:textId="77777777" w:rsidR="0081446C" w:rsidRDefault="002452A6">
      <w:pPr>
        <w:spacing w:after="145" w:line="259" w:lineRule="auto"/>
        <w:ind w:left="240" w:firstLine="0"/>
        <w:jc w:val="left"/>
      </w:pPr>
      <w:r>
        <w:rPr>
          <w:noProof/>
        </w:rPr>
        <w:drawing>
          <wp:inline distT="0" distB="0" distL="0" distR="0" wp14:anchorId="73D5B9AA" wp14:editId="6940AA03">
            <wp:extent cx="3200400" cy="218440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18"/>
                    <a:stretch>
                      <a:fillRect/>
                    </a:stretch>
                  </pic:blipFill>
                  <pic:spPr>
                    <a:xfrm>
                      <a:off x="0" y="0"/>
                      <a:ext cx="3200400" cy="2184400"/>
                    </a:xfrm>
                    <a:prstGeom prst="rect">
                      <a:avLst/>
                    </a:prstGeom>
                  </pic:spPr>
                </pic:pic>
              </a:graphicData>
            </a:graphic>
          </wp:inline>
        </w:drawing>
      </w:r>
    </w:p>
    <w:p w14:paraId="10732C78" w14:textId="77777777" w:rsidR="0081446C" w:rsidRDefault="002452A6">
      <w:pPr>
        <w:spacing w:after="38" w:line="229" w:lineRule="auto"/>
        <w:ind w:left="240" w:firstLine="138"/>
      </w:pPr>
      <w:r>
        <w:rPr>
          <w:sz w:val="17"/>
        </w:rPr>
        <w:t>F</w:t>
      </w:r>
      <w:r>
        <w:rPr>
          <w:sz w:val="12"/>
        </w:rPr>
        <w:t>IG</w:t>
      </w:r>
      <w:r>
        <w:rPr>
          <w:sz w:val="17"/>
        </w:rPr>
        <w:t xml:space="preserve">. </w:t>
      </w:r>
      <w:proofErr w:type="gramStart"/>
      <w:r>
        <w:rPr>
          <w:sz w:val="17"/>
        </w:rPr>
        <w:t>6.—</w:t>
      </w:r>
      <w:proofErr w:type="gramEnd"/>
      <w:r>
        <w:rPr>
          <w:sz w:val="17"/>
        </w:rPr>
        <w:t>CL micrograph showing grain contacts (arrows) with possible interpenetration of quartz grains.</w:t>
      </w:r>
    </w:p>
    <w:p w14:paraId="2D7DB616" w14:textId="77777777" w:rsidR="0081446C" w:rsidRDefault="002452A6">
      <w:pPr>
        <w:spacing w:after="101" w:line="240" w:lineRule="auto"/>
        <w:ind w:left="0" w:firstLine="0"/>
        <w:jc w:val="left"/>
      </w:pPr>
      <w:proofErr w:type="spellStart"/>
      <w:r>
        <w:t>cipitation</w:t>
      </w:r>
      <w:proofErr w:type="spellEnd"/>
      <w:r>
        <w:t xml:space="preserve"> rate in moles/cm</w:t>
      </w:r>
      <w:r>
        <w:rPr>
          <w:sz w:val="18"/>
          <w:vertAlign w:val="superscript"/>
        </w:rPr>
        <w:t>2</w:t>
      </w:r>
      <w:r>
        <w:t xml:space="preserve">s, and </w:t>
      </w:r>
      <w:proofErr w:type="spellStart"/>
      <w:r>
        <w:rPr>
          <w:rFonts w:ascii="Calibri" w:eastAsia="Calibri" w:hAnsi="Calibri" w:cs="Calibri"/>
        </w:rPr>
        <w:t>r</w:t>
      </w:r>
      <w:r>
        <w:t>is</w:t>
      </w:r>
      <w:proofErr w:type="spellEnd"/>
      <w:r>
        <w:t xml:space="preserve"> the density of quartz (2.65 g/cm</w:t>
      </w:r>
      <w:r>
        <w:rPr>
          <w:sz w:val="18"/>
          <w:vertAlign w:val="superscript"/>
        </w:rPr>
        <w:t>3</w:t>
      </w:r>
      <w:r>
        <w:t xml:space="preserve">). The temperature dependence of the precipitation rate can be expressed by an </w:t>
      </w:r>
      <w:proofErr w:type="spellStart"/>
      <w:r>
        <w:t>Ahrre</w:t>
      </w:r>
      <w:r>
        <w:t>nius</w:t>
      </w:r>
      <w:proofErr w:type="spellEnd"/>
      <w:r>
        <w:t>-type function:</w:t>
      </w:r>
    </w:p>
    <w:p w14:paraId="4ABF3033" w14:textId="77777777" w:rsidR="0081446C" w:rsidRDefault="002452A6">
      <w:pPr>
        <w:tabs>
          <w:tab w:val="center" w:pos="2521"/>
          <w:tab w:val="right" w:pos="5044"/>
        </w:tabs>
        <w:spacing w:after="72" w:line="259" w:lineRule="auto"/>
        <w:ind w:left="0" w:right="-9" w:firstLine="0"/>
        <w:jc w:val="left"/>
      </w:pPr>
      <w:r>
        <w:rPr>
          <w:rFonts w:ascii="Calibri" w:eastAsia="Calibri" w:hAnsi="Calibri" w:cs="Calibri"/>
          <w:color w:val="000000"/>
          <w:sz w:val="22"/>
        </w:rPr>
        <w:tab/>
      </w:r>
      <w:r>
        <w:rPr>
          <w:i/>
        </w:rPr>
        <w:t xml:space="preserve">r </w:t>
      </w:r>
      <w:r>
        <w:rPr>
          <w:rFonts w:ascii="Calibri" w:eastAsia="Calibri" w:hAnsi="Calibri" w:cs="Calibri"/>
        </w:rPr>
        <w:t xml:space="preserve">5 </w:t>
      </w:r>
      <w:proofErr w:type="spellStart"/>
      <w:r>
        <w:rPr>
          <w:rFonts w:ascii="Calibri" w:eastAsia="Calibri" w:hAnsi="Calibri" w:cs="Calibri"/>
        </w:rPr>
        <w:t>a</w:t>
      </w:r>
      <w:r>
        <w:t>exp</w:t>
      </w:r>
      <w:proofErr w:type="spellEnd"/>
      <w:r>
        <w:t>(</w:t>
      </w:r>
      <w:r>
        <w:rPr>
          <w:rFonts w:ascii="Calibri" w:eastAsia="Calibri" w:hAnsi="Calibri" w:cs="Calibri"/>
        </w:rPr>
        <w:t>2</w:t>
      </w:r>
      <w:r>
        <w:rPr>
          <w:i/>
        </w:rPr>
        <w:t>E</w:t>
      </w:r>
      <w:r>
        <w:t>a/</w:t>
      </w:r>
      <w:r>
        <w:rPr>
          <w:i/>
        </w:rPr>
        <w:t>RT</w:t>
      </w:r>
      <w:r>
        <w:t>)</w:t>
      </w:r>
      <w:r>
        <w:tab/>
        <w:t>(3)</w:t>
      </w:r>
    </w:p>
    <w:p w14:paraId="23A8F5F0" w14:textId="77777777" w:rsidR="0081446C" w:rsidRDefault="002452A6">
      <w:pPr>
        <w:ind w:left="-15" w:firstLine="0"/>
      </w:pPr>
      <w:r>
        <w:t xml:space="preserve">where </w:t>
      </w:r>
      <w:r>
        <w:rPr>
          <w:rFonts w:ascii="Calibri" w:eastAsia="Calibri" w:hAnsi="Calibri" w:cs="Calibri"/>
        </w:rPr>
        <w:t xml:space="preserve">a </w:t>
      </w:r>
      <w:r>
        <w:t>is a constant (moles/cm</w:t>
      </w:r>
      <w:r>
        <w:rPr>
          <w:sz w:val="18"/>
          <w:vertAlign w:val="superscript"/>
        </w:rPr>
        <w:t>2</w:t>
      </w:r>
      <w:r>
        <w:t xml:space="preserve">s), </w:t>
      </w:r>
      <w:proofErr w:type="spellStart"/>
      <w:r>
        <w:rPr>
          <w:i/>
        </w:rPr>
        <w:t>Ea</w:t>
      </w:r>
      <w:proofErr w:type="spellEnd"/>
      <w:r>
        <w:rPr>
          <w:i/>
        </w:rPr>
        <w:t xml:space="preserve"> </w:t>
      </w:r>
      <w:r>
        <w:t xml:space="preserve">is the activation energy of the reaction (J/mole), </w:t>
      </w:r>
      <w:r>
        <w:rPr>
          <w:i/>
        </w:rPr>
        <w:t xml:space="preserve">R </w:t>
      </w:r>
      <w:r>
        <w:t>is the gas constant (8.314 J/</w:t>
      </w:r>
      <w:proofErr w:type="spellStart"/>
      <w:r>
        <w:t>moleK</w:t>
      </w:r>
      <w:proofErr w:type="spellEnd"/>
      <w:r>
        <w:t xml:space="preserve">) and </w:t>
      </w:r>
      <w:r>
        <w:rPr>
          <w:i/>
        </w:rPr>
        <w:t xml:space="preserve">T </w:t>
      </w:r>
      <w:r>
        <w:t xml:space="preserve">is temperature (in Kelvins). Any temperature history can be approximated to any desired degree of accuracy by a series of </w:t>
      </w:r>
      <w:r>
        <w:lastRenderedPageBreak/>
        <w:t>segments where temperature either remains constant or changes linearly, and for a linear temperature change</w:t>
      </w:r>
    </w:p>
    <w:p w14:paraId="23EFB0C3" w14:textId="77777777" w:rsidR="0081446C" w:rsidRDefault="002452A6">
      <w:pPr>
        <w:spacing w:after="111"/>
        <w:ind w:left="-15" w:firstLine="0"/>
      </w:pPr>
      <w:r>
        <w:t>Equation 3 can be transfor</w:t>
      </w:r>
      <w:r>
        <w:t>med to</w:t>
      </w:r>
    </w:p>
    <w:p w14:paraId="3D5CE1A3" w14:textId="77777777" w:rsidR="0081446C" w:rsidRDefault="002452A6">
      <w:pPr>
        <w:tabs>
          <w:tab w:val="center" w:pos="2520"/>
          <w:tab w:val="right" w:pos="5044"/>
        </w:tabs>
        <w:spacing w:after="105" w:line="259" w:lineRule="auto"/>
        <w:ind w:left="0" w:right="-9" w:firstLine="0"/>
        <w:jc w:val="left"/>
      </w:pPr>
      <w:r>
        <w:rPr>
          <w:rFonts w:ascii="Calibri" w:eastAsia="Calibri" w:hAnsi="Calibri" w:cs="Calibri"/>
          <w:color w:val="000000"/>
          <w:sz w:val="22"/>
        </w:rPr>
        <w:tab/>
      </w:r>
      <w:r>
        <w:rPr>
          <w:i/>
        </w:rPr>
        <w:t xml:space="preserve">r </w:t>
      </w:r>
      <w:r>
        <w:rPr>
          <w:rFonts w:ascii="Calibri" w:eastAsia="Calibri" w:hAnsi="Calibri" w:cs="Calibri"/>
        </w:rPr>
        <w:t xml:space="preserve">5 </w:t>
      </w:r>
      <w:proofErr w:type="spellStart"/>
      <w:proofErr w:type="gramStart"/>
      <w:r>
        <w:rPr>
          <w:rFonts w:ascii="Calibri" w:eastAsia="Calibri" w:hAnsi="Calibri" w:cs="Calibri"/>
        </w:rPr>
        <w:t>a</w:t>
      </w:r>
      <w:r>
        <w:t>exp</w:t>
      </w:r>
      <w:proofErr w:type="spellEnd"/>
      <w:r>
        <w:t>(</w:t>
      </w:r>
      <w:proofErr w:type="gramEnd"/>
      <w:r>
        <w:rPr>
          <w:rFonts w:ascii="Calibri" w:eastAsia="Calibri" w:hAnsi="Calibri" w:cs="Calibri"/>
        </w:rPr>
        <w:t>2</w:t>
      </w:r>
      <w:r>
        <w:rPr>
          <w:i/>
        </w:rPr>
        <w:t>E</w:t>
      </w:r>
      <w:r>
        <w:t>a/</w:t>
      </w:r>
      <w:r>
        <w:rPr>
          <w:i/>
        </w:rPr>
        <w:t>R</w:t>
      </w:r>
      <w:r>
        <w:t>(</w:t>
      </w:r>
      <w:proofErr w:type="spellStart"/>
      <w:r>
        <w:rPr>
          <w:i/>
        </w:rPr>
        <w:t>c</w:t>
      </w:r>
      <w:r>
        <w:rPr>
          <w:sz w:val="18"/>
          <w:vertAlign w:val="subscript"/>
        </w:rPr>
        <w:t>n</w:t>
      </w:r>
      <w:r>
        <w:rPr>
          <w:i/>
        </w:rPr>
        <w:t>t</w:t>
      </w:r>
      <w:proofErr w:type="spellEnd"/>
      <w:r>
        <w:rPr>
          <w:i/>
        </w:rPr>
        <w:t xml:space="preserve"> </w:t>
      </w:r>
      <w:r>
        <w:rPr>
          <w:rFonts w:ascii="Calibri" w:eastAsia="Calibri" w:hAnsi="Calibri" w:cs="Calibri"/>
        </w:rPr>
        <w:t xml:space="preserve">1 </w:t>
      </w:r>
      <w:proofErr w:type="spellStart"/>
      <w:r>
        <w:rPr>
          <w:i/>
        </w:rPr>
        <w:t>d</w:t>
      </w:r>
      <w:r>
        <w:rPr>
          <w:sz w:val="18"/>
          <w:vertAlign w:val="subscript"/>
        </w:rPr>
        <w:t>n</w:t>
      </w:r>
      <w:proofErr w:type="spellEnd"/>
      <w:r>
        <w:t>))</w:t>
      </w:r>
      <w:r>
        <w:tab/>
        <w:t>(4)</w:t>
      </w:r>
    </w:p>
    <w:p w14:paraId="2F48F7EB" w14:textId="77777777" w:rsidR="0081446C" w:rsidRDefault="002452A6">
      <w:pPr>
        <w:spacing w:after="506"/>
        <w:ind w:left="-15" w:firstLine="0"/>
      </w:pPr>
      <w:r>
        <w:t xml:space="preserve">where </w:t>
      </w:r>
      <w:proofErr w:type="spellStart"/>
      <w:r>
        <w:rPr>
          <w:i/>
        </w:rPr>
        <w:t>c</w:t>
      </w:r>
      <w:r>
        <w:rPr>
          <w:i/>
          <w:sz w:val="18"/>
          <w:vertAlign w:val="subscript"/>
        </w:rPr>
        <w:t>n</w:t>
      </w:r>
      <w:proofErr w:type="spellEnd"/>
      <w:r>
        <w:rPr>
          <w:i/>
          <w:sz w:val="18"/>
          <w:vertAlign w:val="subscript"/>
        </w:rPr>
        <w:t xml:space="preserve"> </w:t>
      </w:r>
      <w:r>
        <w:t xml:space="preserve">is heating rate in K/s, </w:t>
      </w:r>
      <w:proofErr w:type="spellStart"/>
      <w:r>
        <w:rPr>
          <w:i/>
        </w:rPr>
        <w:t>d</w:t>
      </w:r>
      <w:r>
        <w:rPr>
          <w:sz w:val="18"/>
          <w:vertAlign w:val="subscript"/>
        </w:rPr>
        <w:t>n</w:t>
      </w:r>
      <w:proofErr w:type="spellEnd"/>
      <w:r>
        <w:rPr>
          <w:sz w:val="18"/>
          <w:vertAlign w:val="subscript"/>
        </w:rPr>
        <w:t xml:space="preserve"> </w:t>
      </w:r>
      <w:r>
        <w:t>is the initial temperature, and the index n refers to the relevant segment of the temperature history curve of the sandstone under consideration. Inserting the expression for precipi</w:t>
      </w:r>
      <w:r>
        <w:t>tation rate from Equation 4 into Equation 2 enables the volume of quartz cement precipitated in a cm</w:t>
      </w:r>
      <w:r>
        <w:rPr>
          <w:sz w:val="18"/>
          <w:vertAlign w:val="superscript"/>
        </w:rPr>
        <w:t xml:space="preserve">3 </w:t>
      </w:r>
      <w:r>
        <w:t xml:space="preserve">of sandstone from time </w:t>
      </w:r>
      <w:r>
        <w:rPr>
          <w:i/>
        </w:rPr>
        <w:t>t</w:t>
      </w:r>
      <w:r>
        <w:rPr>
          <w:i/>
          <w:sz w:val="18"/>
          <w:vertAlign w:val="subscript"/>
        </w:rPr>
        <w:t xml:space="preserve">0 </w:t>
      </w:r>
      <w:r>
        <w:t xml:space="preserve">to time </w:t>
      </w:r>
      <w:r>
        <w:rPr>
          <w:i/>
        </w:rPr>
        <w:t>t</w:t>
      </w:r>
      <w:r>
        <w:rPr>
          <w:i/>
          <w:sz w:val="18"/>
          <w:vertAlign w:val="subscript"/>
        </w:rPr>
        <w:t xml:space="preserve">m </w:t>
      </w:r>
      <w:r>
        <w:t>to be calculated as the sum of a series of integrals where each integral determines the volume of quartz cement preci</w:t>
      </w:r>
      <w:r>
        <w:t>pitated during a time step:</w:t>
      </w:r>
    </w:p>
    <w:p w14:paraId="1D5BB3B6" w14:textId="77777777" w:rsidR="0081446C" w:rsidRDefault="002452A6">
      <w:pPr>
        <w:tabs>
          <w:tab w:val="center" w:pos="1490"/>
          <w:tab w:val="center" w:pos="2706"/>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70C72DA6" wp14:editId="242F1D1C">
                <wp:simplePos x="0" y="0"/>
                <wp:positionH relativeFrom="column">
                  <wp:posOffset>712476</wp:posOffset>
                </wp:positionH>
                <wp:positionV relativeFrom="paragraph">
                  <wp:posOffset>106902</wp:posOffset>
                </wp:positionV>
                <wp:extent cx="87630" cy="6350"/>
                <wp:effectExtent l="0" t="0" r="0" b="0"/>
                <wp:wrapSquare wrapText="bothSides"/>
                <wp:docPr id="21050" name="Group 21050"/>
                <wp:cNvGraphicFramePr/>
                <a:graphic xmlns:a="http://schemas.openxmlformats.org/drawingml/2006/main">
                  <a:graphicData uri="http://schemas.microsoft.com/office/word/2010/wordprocessingGroup">
                    <wpg:wgp>
                      <wpg:cNvGrpSpPr/>
                      <wpg:grpSpPr>
                        <a:xfrm>
                          <a:off x="0" y="0"/>
                          <a:ext cx="87630" cy="6350"/>
                          <a:chOff x="0" y="0"/>
                          <a:chExt cx="87630" cy="6350"/>
                        </a:xfrm>
                      </wpg:grpSpPr>
                      <wps:wsp>
                        <wps:cNvPr id="25274" name="Shape 25274"/>
                        <wps:cNvSpPr/>
                        <wps:spPr>
                          <a:xfrm>
                            <a:off x="0" y="0"/>
                            <a:ext cx="87630" cy="9144"/>
                          </a:xfrm>
                          <a:custGeom>
                            <a:avLst/>
                            <a:gdLst/>
                            <a:ahLst/>
                            <a:cxnLst/>
                            <a:rect l="0" t="0" r="0" b="0"/>
                            <a:pathLst>
                              <a:path w="87630" h="9144">
                                <a:moveTo>
                                  <a:pt x="0" y="0"/>
                                </a:moveTo>
                                <a:lnTo>
                                  <a:pt x="87630" y="0"/>
                                </a:lnTo>
                                <a:lnTo>
                                  <a:pt x="8763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050" style="width:6.89999pt;height:0.5pt;position:absolute;mso-position-horizontal-relative:text;mso-position-horizontal:absolute;margin-left:56.1004pt;mso-position-vertical-relative:text;margin-top:8.41748pt;" coordsize="876,63">
                <v:shape id="Shape 25275" style="position:absolute;width:876;height:91;left:0;top:0;" coordsize="87630,9144" path="m0,0l87630,0l87630,9144l0,9144l0,0">
                  <v:stroke weight="0pt" endcap="flat" joinstyle="miter" miterlimit="10" on="false" color="#000000" opacity="0"/>
                  <v:fill on="true" color="#181717"/>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3E7C92EA" wp14:editId="4C1CE962">
                <wp:simplePos x="0" y="0"/>
                <wp:positionH relativeFrom="column">
                  <wp:posOffset>1445901</wp:posOffset>
                </wp:positionH>
                <wp:positionV relativeFrom="paragraph">
                  <wp:posOffset>106902</wp:posOffset>
                </wp:positionV>
                <wp:extent cx="544195" cy="6350"/>
                <wp:effectExtent l="0" t="0" r="0" b="0"/>
                <wp:wrapSquare wrapText="bothSides"/>
                <wp:docPr id="21051" name="Group 21051"/>
                <wp:cNvGraphicFramePr/>
                <a:graphic xmlns:a="http://schemas.openxmlformats.org/drawingml/2006/main">
                  <a:graphicData uri="http://schemas.microsoft.com/office/word/2010/wordprocessingGroup">
                    <wpg:wgp>
                      <wpg:cNvGrpSpPr/>
                      <wpg:grpSpPr>
                        <a:xfrm>
                          <a:off x="0" y="0"/>
                          <a:ext cx="544195" cy="6350"/>
                          <a:chOff x="0" y="0"/>
                          <a:chExt cx="544195" cy="6350"/>
                        </a:xfrm>
                      </wpg:grpSpPr>
                      <wps:wsp>
                        <wps:cNvPr id="25276" name="Shape 25276"/>
                        <wps:cNvSpPr/>
                        <wps:spPr>
                          <a:xfrm>
                            <a:off x="0" y="0"/>
                            <a:ext cx="544195" cy="9144"/>
                          </a:xfrm>
                          <a:custGeom>
                            <a:avLst/>
                            <a:gdLst/>
                            <a:ahLst/>
                            <a:cxnLst/>
                            <a:rect l="0" t="0" r="0" b="0"/>
                            <a:pathLst>
                              <a:path w="544195" h="9144">
                                <a:moveTo>
                                  <a:pt x="0" y="0"/>
                                </a:moveTo>
                                <a:lnTo>
                                  <a:pt x="544195" y="0"/>
                                </a:lnTo>
                                <a:lnTo>
                                  <a:pt x="544195"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051" style="width:42.85pt;height:0.5pt;position:absolute;mso-position-horizontal-relative:text;mso-position-horizontal:absolute;margin-left:113.85pt;mso-position-vertical-relative:text;margin-top:8.41748pt;" coordsize="5441,63">
                <v:shape id="Shape 25277" style="position:absolute;width:5441;height:91;left:0;top:0;" coordsize="544195,9144" path="m0,0l544195,0l544195,9144l0,9144l0,0">
                  <v:stroke weight="0pt" endcap="flat" joinstyle="miter" miterlimit="10" on="false" color="#000000" opacity="0"/>
                  <v:fill on="true" color="#181717"/>
                </v:shape>
                <w10:wrap type="square"/>
              </v:group>
            </w:pict>
          </mc:Fallback>
        </mc:AlternateContent>
      </w:r>
      <w:r>
        <w:rPr>
          <w:rFonts w:ascii="Calibri" w:eastAsia="Calibri" w:hAnsi="Calibri" w:cs="Calibri"/>
          <w:color w:val="000000"/>
          <w:sz w:val="22"/>
        </w:rPr>
        <w:tab/>
      </w:r>
      <w:r>
        <w:rPr>
          <w:i/>
        </w:rPr>
        <w:t xml:space="preserve">M </w:t>
      </w:r>
      <w:r>
        <w:rPr>
          <w:sz w:val="18"/>
          <w:vertAlign w:val="subscript"/>
        </w:rPr>
        <w:t xml:space="preserve">0 </w:t>
      </w:r>
      <w:r>
        <w:rPr>
          <w:rFonts w:ascii="Calibri" w:eastAsia="Calibri" w:hAnsi="Calibri" w:cs="Calibri"/>
          <w:sz w:val="57"/>
        </w:rPr>
        <w:t>E</w:t>
      </w:r>
      <w:r>
        <w:rPr>
          <w:i/>
          <w:sz w:val="11"/>
        </w:rPr>
        <w:t>t</w:t>
      </w:r>
      <w:r>
        <w:rPr>
          <w:sz w:val="9"/>
        </w:rPr>
        <w:t>0</w:t>
      </w:r>
      <w:r>
        <w:rPr>
          <w:i/>
          <w:sz w:val="18"/>
          <w:vertAlign w:val="superscript"/>
        </w:rPr>
        <w:t>t</w:t>
      </w:r>
      <w:r>
        <w:rPr>
          <w:sz w:val="11"/>
          <w:vertAlign w:val="superscript"/>
        </w:rPr>
        <w:t>1</w:t>
      </w:r>
      <w:r>
        <w:rPr>
          <w:sz w:val="11"/>
          <w:vertAlign w:val="superscript"/>
        </w:rPr>
        <w:tab/>
      </w:r>
      <w:r>
        <w:rPr>
          <w:rFonts w:ascii="Calibri" w:eastAsia="Calibri" w:hAnsi="Calibri" w:cs="Calibri"/>
          <w:sz w:val="44"/>
        </w:rPr>
        <w:t xml:space="preserve">1 </w:t>
      </w:r>
      <w:r>
        <w:rPr>
          <w:sz w:val="11"/>
        </w:rPr>
        <w:t>1</w:t>
      </w:r>
      <w:r>
        <w:rPr>
          <w:rFonts w:ascii="Calibri" w:eastAsia="Calibri" w:hAnsi="Calibri" w:cs="Calibri"/>
        </w:rPr>
        <w:t>2</w:t>
      </w:r>
      <w:r>
        <w:rPr>
          <w:i/>
        </w:rPr>
        <w:t>E</w:t>
      </w:r>
      <w:r>
        <w:rPr>
          <w:i/>
          <w:sz w:val="18"/>
          <w:vertAlign w:val="subscript"/>
        </w:rPr>
        <w:t xml:space="preserve">a </w:t>
      </w:r>
      <w:r>
        <w:rPr>
          <w:sz w:val="11"/>
        </w:rPr>
        <w:t xml:space="preserve">1 </w:t>
      </w:r>
      <w:r>
        <w:rPr>
          <w:rFonts w:ascii="Calibri" w:eastAsia="Calibri" w:hAnsi="Calibri" w:cs="Calibri"/>
          <w:sz w:val="44"/>
        </w:rPr>
        <w:t>2</w:t>
      </w:r>
    </w:p>
    <w:p w14:paraId="620A0F94" w14:textId="77777777" w:rsidR="0081446C" w:rsidRDefault="002452A6">
      <w:pPr>
        <w:tabs>
          <w:tab w:val="center" w:pos="1132"/>
          <w:tab w:val="center" w:pos="2674"/>
        </w:tabs>
        <w:spacing w:after="0" w:line="259" w:lineRule="auto"/>
        <w:ind w:left="0" w:firstLine="0"/>
        <w:jc w:val="left"/>
      </w:pPr>
      <w:r>
        <w:rPr>
          <w:rFonts w:ascii="Calibri" w:eastAsia="Calibri" w:hAnsi="Calibri" w:cs="Calibri"/>
          <w:color w:val="000000"/>
          <w:sz w:val="22"/>
        </w:rPr>
        <w:tab/>
      </w:r>
      <w:r>
        <w:rPr>
          <w:i/>
        </w:rPr>
        <w:t xml:space="preserve">V </w:t>
      </w:r>
      <w:r>
        <w:rPr>
          <w:rFonts w:ascii="Calibri" w:eastAsia="Calibri" w:hAnsi="Calibri" w:cs="Calibri"/>
        </w:rPr>
        <w:t>5</w:t>
      </w:r>
      <w:r>
        <w:rPr>
          <w:i/>
        </w:rPr>
        <w:t xml:space="preserve">A </w:t>
      </w:r>
      <w:proofErr w:type="gramStart"/>
      <w:r>
        <w:rPr>
          <w:i/>
        </w:rPr>
        <w:t>a</w:t>
      </w:r>
      <w:proofErr w:type="gramEnd"/>
      <w:r>
        <w:rPr>
          <w:i/>
        </w:rPr>
        <w:tab/>
      </w:r>
      <w:proofErr w:type="spellStart"/>
      <w:r>
        <w:t>exp</w:t>
      </w:r>
      <w:r>
        <w:rPr>
          <w:i/>
        </w:rPr>
        <w:t>dt</w:t>
      </w:r>
      <w:proofErr w:type="spellEnd"/>
    </w:p>
    <w:p w14:paraId="37047F07" w14:textId="77777777" w:rsidR="0081446C" w:rsidRDefault="002452A6">
      <w:pPr>
        <w:tabs>
          <w:tab w:val="center" w:pos="1202"/>
          <w:tab w:val="center" w:pos="2706"/>
        </w:tabs>
        <w:spacing w:after="567" w:line="259" w:lineRule="auto"/>
        <w:ind w:left="0" w:firstLine="0"/>
        <w:jc w:val="left"/>
      </w:pPr>
      <w:r>
        <w:rPr>
          <w:rFonts w:ascii="Calibri" w:eastAsia="Calibri" w:hAnsi="Calibri" w:cs="Calibri"/>
          <w:color w:val="000000"/>
          <w:sz w:val="22"/>
        </w:rPr>
        <w:tab/>
      </w:r>
      <w:r>
        <w:rPr>
          <w:rFonts w:ascii="Calibri" w:eastAsia="Calibri" w:hAnsi="Calibri" w:cs="Calibri"/>
        </w:rPr>
        <w:t>r</w:t>
      </w:r>
      <w:r>
        <w:rPr>
          <w:rFonts w:ascii="Calibri" w:eastAsia="Calibri" w:hAnsi="Calibri" w:cs="Calibri"/>
        </w:rPr>
        <w:tab/>
      </w:r>
      <w:proofErr w:type="gramStart"/>
      <w:r>
        <w:rPr>
          <w:i/>
        </w:rPr>
        <w:t>R</w:t>
      </w:r>
      <w:r>
        <w:t>(</w:t>
      </w:r>
      <w:proofErr w:type="gramEnd"/>
      <w:r>
        <w:rPr>
          <w:i/>
        </w:rPr>
        <w:t xml:space="preserve">c t </w:t>
      </w:r>
      <w:r>
        <w:rPr>
          <w:rFonts w:ascii="Calibri" w:eastAsia="Calibri" w:hAnsi="Calibri" w:cs="Calibri"/>
        </w:rPr>
        <w:t xml:space="preserve">1 </w:t>
      </w:r>
      <w:r>
        <w:rPr>
          <w:i/>
        </w:rPr>
        <w:t xml:space="preserve">d </w:t>
      </w:r>
      <w:r>
        <w:t>)</w:t>
      </w:r>
    </w:p>
    <w:p w14:paraId="4289F65A" w14:textId="77777777" w:rsidR="0081446C" w:rsidRDefault="002452A6">
      <w:pPr>
        <w:tabs>
          <w:tab w:val="center" w:pos="1715"/>
          <w:tab w:val="center" w:pos="2933"/>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0C322E4B" wp14:editId="7C26B6FA">
                <wp:simplePos x="0" y="0"/>
                <wp:positionH relativeFrom="column">
                  <wp:posOffset>854703</wp:posOffset>
                </wp:positionH>
                <wp:positionV relativeFrom="paragraph">
                  <wp:posOffset>106915</wp:posOffset>
                </wp:positionV>
                <wp:extent cx="87643" cy="6350"/>
                <wp:effectExtent l="0" t="0" r="0" b="0"/>
                <wp:wrapSquare wrapText="bothSides"/>
                <wp:docPr id="21052" name="Group 21052"/>
                <wp:cNvGraphicFramePr/>
                <a:graphic xmlns:a="http://schemas.openxmlformats.org/drawingml/2006/main">
                  <a:graphicData uri="http://schemas.microsoft.com/office/word/2010/wordprocessingGroup">
                    <wpg:wgp>
                      <wpg:cNvGrpSpPr/>
                      <wpg:grpSpPr>
                        <a:xfrm>
                          <a:off x="0" y="0"/>
                          <a:ext cx="87643" cy="6350"/>
                          <a:chOff x="0" y="0"/>
                          <a:chExt cx="87643" cy="6350"/>
                        </a:xfrm>
                      </wpg:grpSpPr>
                      <wps:wsp>
                        <wps:cNvPr id="25278" name="Shape 25278"/>
                        <wps:cNvSpPr/>
                        <wps:spPr>
                          <a:xfrm>
                            <a:off x="0" y="0"/>
                            <a:ext cx="87643" cy="9144"/>
                          </a:xfrm>
                          <a:custGeom>
                            <a:avLst/>
                            <a:gdLst/>
                            <a:ahLst/>
                            <a:cxnLst/>
                            <a:rect l="0" t="0" r="0" b="0"/>
                            <a:pathLst>
                              <a:path w="87643" h="9144">
                                <a:moveTo>
                                  <a:pt x="0" y="0"/>
                                </a:moveTo>
                                <a:lnTo>
                                  <a:pt x="87643" y="0"/>
                                </a:lnTo>
                                <a:lnTo>
                                  <a:pt x="87643"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052" style="width:6.901pt;height:0.5pt;position:absolute;mso-position-horizontal-relative:text;mso-position-horizontal:absolute;margin-left:67.2994pt;mso-position-vertical-relative:text;margin-top:8.41852pt;" coordsize="876,63">
                <v:shape id="Shape 25279" style="position:absolute;width:876;height:91;left:0;top:0;" coordsize="87643,9144" path="m0,0l87643,0l87643,9144l0,9144l0,0">
                  <v:stroke weight="0pt" endcap="flat" joinstyle="miter" miterlimit="10" on="false" color="#000000" opacity="0"/>
                  <v:fill on="true" color="#181717"/>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74469CD0" wp14:editId="53FACB7A">
                <wp:simplePos x="0" y="0"/>
                <wp:positionH relativeFrom="column">
                  <wp:posOffset>1590046</wp:posOffset>
                </wp:positionH>
                <wp:positionV relativeFrom="paragraph">
                  <wp:posOffset>106915</wp:posOffset>
                </wp:positionV>
                <wp:extent cx="544182" cy="6350"/>
                <wp:effectExtent l="0" t="0" r="0" b="0"/>
                <wp:wrapSquare wrapText="bothSides"/>
                <wp:docPr id="21053" name="Group 21053"/>
                <wp:cNvGraphicFramePr/>
                <a:graphic xmlns:a="http://schemas.openxmlformats.org/drawingml/2006/main">
                  <a:graphicData uri="http://schemas.microsoft.com/office/word/2010/wordprocessingGroup">
                    <wpg:wgp>
                      <wpg:cNvGrpSpPr/>
                      <wpg:grpSpPr>
                        <a:xfrm>
                          <a:off x="0" y="0"/>
                          <a:ext cx="544182" cy="6350"/>
                          <a:chOff x="0" y="0"/>
                          <a:chExt cx="544182" cy="6350"/>
                        </a:xfrm>
                      </wpg:grpSpPr>
                      <wps:wsp>
                        <wps:cNvPr id="25280" name="Shape 25280"/>
                        <wps:cNvSpPr/>
                        <wps:spPr>
                          <a:xfrm>
                            <a:off x="0" y="0"/>
                            <a:ext cx="544182" cy="9144"/>
                          </a:xfrm>
                          <a:custGeom>
                            <a:avLst/>
                            <a:gdLst/>
                            <a:ahLst/>
                            <a:cxnLst/>
                            <a:rect l="0" t="0" r="0" b="0"/>
                            <a:pathLst>
                              <a:path w="544182" h="9144">
                                <a:moveTo>
                                  <a:pt x="0" y="0"/>
                                </a:moveTo>
                                <a:lnTo>
                                  <a:pt x="544182" y="0"/>
                                </a:lnTo>
                                <a:lnTo>
                                  <a:pt x="544182"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053" style="width:42.849pt;height:0.5pt;position:absolute;mso-position-horizontal-relative:text;mso-position-horizontal:absolute;margin-left:125.2pt;mso-position-vertical-relative:text;margin-top:8.41852pt;" coordsize="5441,63">
                <v:shape id="Shape 25281" style="position:absolute;width:5441;height:91;left:0;top:0;" coordsize="544182,9144" path="m0,0l544182,0l544182,9144l0,9144l0,0">
                  <v:stroke weight="0pt" endcap="flat" joinstyle="miter" miterlimit="10" on="false" color="#000000" opacity="0"/>
                  <v:fill on="true" color="#181717"/>
                </v:shape>
                <w10:wrap type="square"/>
              </v:group>
            </w:pict>
          </mc:Fallback>
        </mc:AlternateContent>
      </w:r>
      <w:r>
        <w:rPr>
          <w:rFonts w:ascii="Calibri" w:eastAsia="Calibri" w:hAnsi="Calibri" w:cs="Calibri"/>
          <w:color w:val="000000"/>
          <w:sz w:val="22"/>
        </w:rPr>
        <w:tab/>
      </w:r>
      <w:r>
        <w:rPr>
          <w:i/>
        </w:rPr>
        <w:t xml:space="preserve">M </w:t>
      </w:r>
      <w:r>
        <w:rPr>
          <w:sz w:val="18"/>
          <w:vertAlign w:val="subscript"/>
        </w:rPr>
        <w:t xml:space="preserve">1 </w:t>
      </w:r>
      <w:r>
        <w:rPr>
          <w:rFonts w:ascii="Calibri" w:eastAsia="Calibri" w:hAnsi="Calibri" w:cs="Calibri"/>
          <w:sz w:val="57"/>
        </w:rPr>
        <w:t>E</w:t>
      </w:r>
      <w:r>
        <w:rPr>
          <w:i/>
          <w:sz w:val="11"/>
        </w:rPr>
        <w:t>t</w:t>
      </w:r>
      <w:r>
        <w:rPr>
          <w:sz w:val="9"/>
        </w:rPr>
        <w:t>1</w:t>
      </w:r>
      <w:r>
        <w:rPr>
          <w:i/>
          <w:sz w:val="18"/>
          <w:vertAlign w:val="superscript"/>
        </w:rPr>
        <w:t>t</w:t>
      </w:r>
      <w:r>
        <w:rPr>
          <w:sz w:val="11"/>
          <w:vertAlign w:val="superscript"/>
        </w:rPr>
        <w:t>2</w:t>
      </w:r>
      <w:r>
        <w:rPr>
          <w:sz w:val="11"/>
          <w:vertAlign w:val="superscript"/>
        </w:rPr>
        <w:tab/>
      </w:r>
      <w:r>
        <w:rPr>
          <w:rFonts w:ascii="Calibri" w:eastAsia="Calibri" w:hAnsi="Calibri" w:cs="Calibri"/>
          <w:sz w:val="44"/>
        </w:rPr>
        <w:t xml:space="preserve">1 </w:t>
      </w:r>
      <w:r>
        <w:rPr>
          <w:sz w:val="11"/>
        </w:rPr>
        <w:t>2</w:t>
      </w:r>
      <w:r>
        <w:rPr>
          <w:rFonts w:ascii="Calibri" w:eastAsia="Calibri" w:hAnsi="Calibri" w:cs="Calibri"/>
        </w:rPr>
        <w:t>2</w:t>
      </w:r>
      <w:r>
        <w:rPr>
          <w:i/>
        </w:rPr>
        <w:t>E</w:t>
      </w:r>
      <w:r>
        <w:rPr>
          <w:i/>
          <w:sz w:val="18"/>
          <w:vertAlign w:val="subscript"/>
        </w:rPr>
        <w:t xml:space="preserve">a </w:t>
      </w:r>
      <w:r>
        <w:rPr>
          <w:sz w:val="11"/>
        </w:rPr>
        <w:t xml:space="preserve">2 </w:t>
      </w:r>
      <w:r>
        <w:rPr>
          <w:rFonts w:ascii="Calibri" w:eastAsia="Calibri" w:hAnsi="Calibri" w:cs="Calibri"/>
          <w:sz w:val="44"/>
        </w:rPr>
        <w:t>2</w:t>
      </w:r>
    </w:p>
    <w:p w14:paraId="41BCA71F" w14:textId="77777777" w:rsidR="0081446C" w:rsidRDefault="002452A6">
      <w:pPr>
        <w:spacing w:after="674" w:line="259" w:lineRule="auto"/>
        <w:ind w:left="1353" w:right="1254" w:hanging="235"/>
        <w:jc w:val="left"/>
      </w:pPr>
      <w:r>
        <w:rPr>
          <w:rFonts w:ascii="Calibri" w:eastAsia="Calibri" w:hAnsi="Calibri" w:cs="Calibri"/>
        </w:rPr>
        <w:t>1</w:t>
      </w:r>
      <w:r>
        <w:rPr>
          <w:i/>
        </w:rPr>
        <w:t xml:space="preserve">A a </w:t>
      </w:r>
      <w:proofErr w:type="spellStart"/>
      <w:r>
        <w:t>exp</w:t>
      </w:r>
      <w:r>
        <w:rPr>
          <w:i/>
        </w:rPr>
        <w:t>dt</w:t>
      </w:r>
      <w:proofErr w:type="spellEnd"/>
      <w:r>
        <w:rPr>
          <w:i/>
        </w:rPr>
        <w:t xml:space="preserve"> </w:t>
      </w:r>
      <w:r>
        <w:rPr>
          <w:rFonts w:ascii="Calibri" w:eastAsia="Calibri" w:hAnsi="Calibri" w:cs="Calibri"/>
        </w:rPr>
        <w:t>r</w:t>
      </w:r>
      <w:r>
        <w:rPr>
          <w:rFonts w:ascii="Calibri" w:eastAsia="Calibri" w:hAnsi="Calibri" w:cs="Calibri"/>
        </w:rPr>
        <w:tab/>
      </w:r>
      <w:proofErr w:type="gramStart"/>
      <w:r>
        <w:rPr>
          <w:i/>
        </w:rPr>
        <w:t>R</w:t>
      </w:r>
      <w:r>
        <w:t>(</w:t>
      </w:r>
      <w:proofErr w:type="gramEnd"/>
      <w:r>
        <w:rPr>
          <w:i/>
        </w:rPr>
        <w:t xml:space="preserve">c t </w:t>
      </w:r>
      <w:r>
        <w:rPr>
          <w:rFonts w:ascii="Calibri" w:eastAsia="Calibri" w:hAnsi="Calibri" w:cs="Calibri"/>
        </w:rPr>
        <w:t xml:space="preserve">1 </w:t>
      </w:r>
      <w:r>
        <w:rPr>
          <w:i/>
        </w:rPr>
        <w:t xml:space="preserve">d </w:t>
      </w:r>
      <w:r>
        <w:t>)</w:t>
      </w:r>
    </w:p>
    <w:p w14:paraId="7D643496" w14:textId="77777777" w:rsidR="0081446C" w:rsidRDefault="002452A6">
      <w:pPr>
        <w:tabs>
          <w:tab w:val="center" w:pos="1716"/>
          <w:tab w:val="center" w:pos="2287"/>
          <w:tab w:val="center" w:pos="3348"/>
          <w:tab w:val="center" w:pos="3990"/>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575CE129" wp14:editId="2136B392">
                <wp:simplePos x="0" y="0"/>
                <wp:positionH relativeFrom="column">
                  <wp:posOffset>1045851</wp:posOffset>
                </wp:positionH>
                <wp:positionV relativeFrom="paragraph">
                  <wp:posOffset>68487</wp:posOffset>
                </wp:positionV>
                <wp:extent cx="87630" cy="6350"/>
                <wp:effectExtent l="0" t="0" r="0" b="0"/>
                <wp:wrapSquare wrapText="bothSides"/>
                <wp:docPr id="21054" name="Group 21054"/>
                <wp:cNvGraphicFramePr/>
                <a:graphic xmlns:a="http://schemas.openxmlformats.org/drawingml/2006/main">
                  <a:graphicData uri="http://schemas.microsoft.com/office/word/2010/wordprocessingGroup">
                    <wpg:wgp>
                      <wpg:cNvGrpSpPr/>
                      <wpg:grpSpPr>
                        <a:xfrm>
                          <a:off x="0" y="0"/>
                          <a:ext cx="87630" cy="6350"/>
                          <a:chOff x="0" y="0"/>
                          <a:chExt cx="87630" cy="6350"/>
                        </a:xfrm>
                      </wpg:grpSpPr>
                      <wps:wsp>
                        <wps:cNvPr id="25282" name="Shape 25282"/>
                        <wps:cNvSpPr/>
                        <wps:spPr>
                          <a:xfrm>
                            <a:off x="0" y="0"/>
                            <a:ext cx="87630" cy="9144"/>
                          </a:xfrm>
                          <a:custGeom>
                            <a:avLst/>
                            <a:gdLst/>
                            <a:ahLst/>
                            <a:cxnLst/>
                            <a:rect l="0" t="0" r="0" b="0"/>
                            <a:pathLst>
                              <a:path w="87630" h="9144">
                                <a:moveTo>
                                  <a:pt x="0" y="0"/>
                                </a:moveTo>
                                <a:lnTo>
                                  <a:pt x="87630" y="0"/>
                                </a:lnTo>
                                <a:lnTo>
                                  <a:pt x="8763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054" style="width:6.89999pt;height:0.5pt;position:absolute;mso-position-horizontal-relative:text;mso-position-horizontal:absolute;margin-left:82.3504pt;mso-position-vertical-relative:text;margin-top:5.39264pt;" coordsize="876,63">
                <v:shape id="Shape 25283" style="position:absolute;width:876;height:91;left:0;top:0;" coordsize="87630,9144" path="m0,0l87630,0l87630,9144l0,9144l0,0">
                  <v:stroke weight="0pt" endcap="flat" joinstyle="miter" miterlimit="10" on="false" color="#000000" opacity="0"/>
                  <v:fill on="true" color="#181717"/>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4A939B11" wp14:editId="1BB0A967">
                <wp:simplePos x="0" y="0"/>
                <wp:positionH relativeFrom="column">
                  <wp:posOffset>1955171</wp:posOffset>
                </wp:positionH>
                <wp:positionV relativeFrom="paragraph">
                  <wp:posOffset>68487</wp:posOffset>
                </wp:positionV>
                <wp:extent cx="595617" cy="6350"/>
                <wp:effectExtent l="0" t="0" r="0" b="0"/>
                <wp:wrapSquare wrapText="bothSides"/>
                <wp:docPr id="21055" name="Group 21055"/>
                <wp:cNvGraphicFramePr/>
                <a:graphic xmlns:a="http://schemas.openxmlformats.org/drawingml/2006/main">
                  <a:graphicData uri="http://schemas.microsoft.com/office/word/2010/wordprocessingGroup">
                    <wpg:wgp>
                      <wpg:cNvGrpSpPr/>
                      <wpg:grpSpPr>
                        <a:xfrm>
                          <a:off x="0" y="0"/>
                          <a:ext cx="595617" cy="6350"/>
                          <a:chOff x="0" y="0"/>
                          <a:chExt cx="595617" cy="6350"/>
                        </a:xfrm>
                      </wpg:grpSpPr>
                      <wps:wsp>
                        <wps:cNvPr id="25284" name="Shape 25284"/>
                        <wps:cNvSpPr/>
                        <wps:spPr>
                          <a:xfrm>
                            <a:off x="0" y="0"/>
                            <a:ext cx="595617" cy="9144"/>
                          </a:xfrm>
                          <a:custGeom>
                            <a:avLst/>
                            <a:gdLst/>
                            <a:ahLst/>
                            <a:cxnLst/>
                            <a:rect l="0" t="0" r="0" b="0"/>
                            <a:pathLst>
                              <a:path w="595617" h="9144">
                                <a:moveTo>
                                  <a:pt x="0" y="0"/>
                                </a:moveTo>
                                <a:lnTo>
                                  <a:pt x="595617" y="0"/>
                                </a:lnTo>
                                <a:lnTo>
                                  <a:pt x="595617"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055" style="width:46.899pt;height:0.5pt;position:absolute;mso-position-horizontal-relative:text;mso-position-horizontal:absolute;margin-left:153.95pt;mso-position-vertical-relative:text;margin-top:5.39264pt;" coordsize="5956,63">
                <v:shape id="Shape 25285" style="position:absolute;width:5956;height:91;left:0;top:0;" coordsize="595617,9144" path="m0,0l595617,0l595617,9144l0,9144l0,0">
                  <v:stroke weight="0pt" endcap="flat" joinstyle="miter" miterlimit="10" on="false" color="#000000" opacity="0"/>
                  <v:fill on="true" color="#181717"/>
                </v:shape>
                <w10:wrap type="square"/>
              </v:group>
            </w:pict>
          </mc:Fallback>
        </mc:AlternateContent>
      </w:r>
      <w:r>
        <w:rPr>
          <w:rFonts w:ascii="Calibri" w:eastAsia="Calibri" w:hAnsi="Calibri" w:cs="Calibri"/>
          <w:color w:val="000000"/>
          <w:sz w:val="22"/>
        </w:rPr>
        <w:tab/>
      </w:r>
      <w:proofErr w:type="spellStart"/>
      <w:r>
        <w:rPr>
          <w:i/>
        </w:rPr>
        <w:t>M</w:t>
      </w:r>
      <w:r>
        <w:rPr>
          <w:i/>
        </w:rPr>
        <w:tab/>
      </w:r>
      <w:r>
        <w:rPr>
          <w:i/>
          <w:sz w:val="18"/>
          <w:vertAlign w:val="subscript"/>
        </w:rPr>
        <w:t>m</w:t>
      </w:r>
      <w:proofErr w:type="spellEnd"/>
      <w:r>
        <w:rPr>
          <w:i/>
          <w:sz w:val="18"/>
          <w:vertAlign w:val="subscript"/>
        </w:rPr>
        <w:t xml:space="preserve"> </w:t>
      </w:r>
      <w:r>
        <w:rPr>
          <w:sz w:val="18"/>
          <w:vertAlign w:val="subscript"/>
        </w:rPr>
        <w:t xml:space="preserve">1 </w:t>
      </w:r>
      <w:r>
        <w:rPr>
          <w:rFonts w:ascii="Calibri" w:eastAsia="Calibri" w:hAnsi="Calibri" w:cs="Calibri"/>
          <w:sz w:val="57"/>
        </w:rPr>
        <w:t>E</w:t>
      </w:r>
      <w:r>
        <w:rPr>
          <w:i/>
          <w:sz w:val="11"/>
        </w:rPr>
        <w:t>t</w:t>
      </w:r>
      <w:r>
        <w:rPr>
          <w:i/>
          <w:sz w:val="9"/>
        </w:rPr>
        <w:t>m</w:t>
      </w:r>
      <w:r>
        <w:rPr>
          <w:i/>
          <w:sz w:val="11"/>
        </w:rPr>
        <w:t>t</w:t>
      </w:r>
      <w:r>
        <w:rPr>
          <w:i/>
          <w:sz w:val="9"/>
        </w:rPr>
        <w:t>m</w:t>
      </w:r>
      <w:r>
        <w:rPr>
          <w:rFonts w:ascii="Calibri" w:eastAsia="Calibri" w:hAnsi="Calibri" w:cs="Calibri"/>
          <w:sz w:val="8"/>
        </w:rPr>
        <w:t>2</w:t>
      </w:r>
      <w:r>
        <w:rPr>
          <w:sz w:val="9"/>
        </w:rPr>
        <w:t>1</w:t>
      </w:r>
      <w:r>
        <w:rPr>
          <w:sz w:val="9"/>
        </w:rPr>
        <w:tab/>
      </w:r>
      <w:r>
        <w:rPr>
          <w:rFonts w:ascii="Calibri" w:eastAsia="Calibri" w:hAnsi="Calibri" w:cs="Calibri"/>
          <w:sz w:val="44"/>
        </w:rPr>
        <w:t xml:space="preserve">1 </w:t>
      </w:r>
      <w:r>
        <w:rPr>
          <w:i/>
          <w:sz w:val="11"/>
        </w:rPr>
        <w:t>m</w:t>
      </w:r>
      <w:r>
        <w:rPr>
          <w:rFonts w:ascii="Calibri" w:eastAsia="Calibri" w:hAnsi="Calibri" w:cs="Calibri"/>
        </w:rPr>
        <w:t>2</w:t>
      </w:r>
      <w:r>
        <w:rPr>
          <w:i/>
        </w:rPr>
        <w:t>E</w:t>
      </w:r>
      <w:r>
        <w:rPr>
          <w:i/>
          <w:sz w:val="18"/>
          <w:vertAlign w:val="superscript"/>
        </w:rPr>
        <w:t>a</w:t>
      </w:r>
      <w:r>
        <w:rPr>
          <w:i/>
          <w:sz w:val="18"/>
          <w:vertAlign w:val="superscript"/>
        </w:rPr>
        <w:tab/>
      </w:r>
      <w:r>
        <w:rPr>
          <w:i/>
          <w:sz w:val="11"/>
        </w:rPr>
        <w:t xml:space="preserve">m </w:t>
      </w:r>
      <w:r>
        <w:rPr>
          <w:rFonts w:ascii="Calibri" w:eastAsia="Calibri" w:hAnsi="Calibri" w:cs="Calibri"/>
          <w:sz w:val="44"/>
        </w:rPr>
        <w:t>2</w:t>
      </w:r>
    </w:p>
    <w:p w14:paraId="08426704" w14:textId="77777777" w:rsidR="0081446C" w:rsidRDefault="002452A6">
      <w:pPr>
        <w:spacing w:after="105"/>
        <w:ind w:left="1658" w:hanging="536"/>
      </w:pPr>
      <w:r>
        <w:rPr>
          <w:rFonts w:ascii="Calibri" w:eastAsia="Calibri" w:hAnsi="Calibri" w:cs="Calibri"/>
        </w:rPr>
        <w:t xml:space="preserve">1 </w:t>
      </w:r>
      <w:r>
        <w:t>· · ·</w:t>
      </w:r>
      <w:r>
        <w:rPr>
          <w:i/>
        </w:rPr>
        <w:t xml:space="preserve">A </w:t>
      </w:r>
      <w:r>
        <w:rPr>
          <w:rFonts w:ascii="Calibri" w:eastAsia="Calibri" w:hAnsi="Calibri" w:cs="Calibri"/>
          <w:sz w:val="16"/>
          <w:vertAlign w:val="subscript"/>
        </w:rPr>
        <w:t xml:space="preserve">2 </w:t>
      </w:r>
      <w:r>
        <w:rPr>
          <w:i/>
        </w:rPr>
        <w:t xml:space="preserve">a </w:t>
      </w:r>
      <w:proofErr w:type="spellStart"/>
      <w:r>
        <w:t>exp</w:t>
      </w:r>
      <w:r>
        <w:rPr>
          <w:i/>
        </w:rPr>
        <w:t>dt</w:t>
      </w:r>
      <w:proofErr w:type="spellEnd"/>
      <w:r>
        <w:rPr>
          <w:i/>
        </w:rPr>
        <w:t xml:space="preserve"> </w:t>
      </w:r>
      <w:r>
        <w:t xml:space="preserve">(5) </w:t>
      </w:r>
      <w:r>
        <w:rPr>
          <w:rFonts w:ascii="Calibri" w:eastAsia="Calibri" w:hAnsi="Calibri" w:cs="Calibri"/>
        </w:rPr>
        <w:t>r</w:t>
      </w:r>
      <w:r>
        <w:rPr>
          <w:rFonts w:ascii="Calibri" w:eastAsia="Calibri" w:hAnsi="Calibri" w:cs="Calibri"/>
        </w:rPr>
        <w:tab/>
      </w:r>
      <w:proofErr w:type="gramStart"/>
      <w:r>
        <w:rPr>
          <w:i/>
        </w:rPr>
        <w:t>R</w:t>
      </w:r>
      <w:r>
        <w:t>(</w:t>
      </w:r>
      <w:proofErr w:type="gramEnd"/>
      <w:r>
        <w:rPr>
          <w:i/>
        </w:rPr>
        <w:t xml:space="preserve">c t </w:t>
      </w:r>
      <w:r>
        <w:rPr>
          <w:rFonts w:ascii="Calibri" w:eastAsia="Calibri" w:hAnsi="Calibri" w:cs="Calibri"/>
        </w:rPr>
        <w:t xml:space="preserve">1 </w:t>
      </w:r>
      <w:r>
        <w:rPr>
          <w:i/>
        </w:rPr>
        <w:t xml:space="preserve">d </w:t>
      </w:r>
      <w:r>
        <w:t>)</w:t>
      </w:r>
    </w:p>
    <w:p w14:paraId="7676B621" w14:textId="77777777" w:rsidR="0081446C" w:rsidRDefault="002452A6">
      <w:pPr>
        <w:spacing w:after="109"/>
        <w:ind w:left="-15" w:firstLine="0"/>
      </w:pPr>
      <w:r>
        <w:t xml:space="preserve">Quartz surface area, </w:t>
      </w:r>
      <w:r>
        <w:rPr>
          <w:i/>
        </w:rPr>
        <w:t xml:space="preserve">A, </w:t>
      </w:r>
      <w:r>
        <w:t>available for quartz overgrowth formation is adjusted after each time step according to the equation</w:t>
      </w:r>
    </w:p>
    <w:p w14:paraId="4335FA3D" w14:textId="77777777" w:rsidR="0081446C" w:rsidRDefault="002452A6">
      <w:pPr>
        <w:tabs>
          <w:tab w:val="center" w:pos="2522"/>
          <w:tab w:val="right" w:pos="5044"/>
        </w:tabs>
        <w:spacing w:after="102" w:line="259" w:lineRule="auto"/>
        <w:ind w:left="0" w:right="-9" w:firstLine="0"/>
        <w:jc w:val="left"/>
      </w:pPr>
      <w:r>
        <w:rPr>
          <w:rFonts w:ascii="Calibri" w:eastAsia="Calibri" w:hAnsi="Calibri" w:cs="Calibri"/>
          <w:color w:val="000000"/>
          <w:sz w:val="22"/>
        </w:rPr>
        <w:tab/>
      </w:r>
      <w:r>
        <w:rPr>
          <w:i/>
        </w:rPr>
        <w:t xml:space="preserve">A </w:t>
      </w:r>
      <w:r>
        <w:rPr>
          <w:rFonts w:ascii="Calibri" w:eastAsia="Calibri" w:hAnsi="Calibri" w:cs="Calibri"/>
        </w:rPr>
        <w:t xml:space="preserve">5 </w:t>
      </w:r>
      <w:r>
        <w:t xml:space="preserve">(1 </w:t>
      </w:r>
      <w:r>
        <w:rPr>
          <w:rFonts w:ascii="Calibri" w:eastAsia="Calibri" w:hAnsi="Calibri" w:cs="Calibri"/>
        </w:rPr>
        <w:t xml:space="preserve">2 </w:t>
      </w:r>
      <w:r>
        <w:rPr>
          <w:i/>
        </w:rPr>
        <w:t>C</w:t>
      </w:r>
      <w:r>
        <w:t>)6</w:t>
      </w:r>
      <w:r>
        <w:rPr>
          <w:i/>
        </w:rPr>
        <w:t>fV</w:t>
      </w:r>
      <w:r>
        <w:rPr>
          <w:rFonts w:ascii="Calibri" w:eastAsia="Calibri" w:hAnsi="Calibri" w:cs="Calibri"/>
        </w:rPr>
        <w:t>F</w:t>
      </w:r>
      <w:r>
        <w:t>/</w:t>
      </w:r>
      <w:r>
        <w:rPr>
          <w:i/>
        </w:rPr>
        <w:t>D</w:t>
      </w:r>
      <w:r>
        <w:rPr>
          <w:rFonts w:ascii="Calibri" w:eastAsia="Calibri" w:hAnsi="Calibri" w:cs="Calibri"/>
        </w:rPr>
        <w:t>F</w:t>
      </w:r>
      <w:r>
        <w:rPr>
          <w:sz w:val="18"/>
          <w:vertAlign w:val="subscript"/>
        </w:rPr>
        <w:t>0</w:t>
      </w:r>
      <w:r>
        <w:rPr>
          <w:sz w:val="18"/>
          <w:vertAlign w:val="subscript"/>
        </w:rPr>
        <w:tab/>
      </w:r>
      <w:r>
        <w:t>(6)</w:t>
      </w:r>
    </w:p>
    <w:p w14:paraId="08CDBF85" w14:textId="77777777" w:rsidR="0081446C" w:rsidRDefault="002452A6">
      <w:pPr>
        <w:ind w:left="-15" w:firstLine="0"/>
      </w:pPr>
      <w:r>
        <w:t xml:space="preserve">where </w:t>
      </w:r>
      <w:r>
        <w:rPr>
          <w:rFonts w:ascii="Calibri" w:eastAsia="Calibri" w:hAnsi="Calibri" w:cs="Calibri"/>
        </w:rPr>
        <w:t xml:space="preserve">F </w:t>
      </w:r>
      <w:r>
        <w:t xml:space="preserve">is present porosity and </w:t>
      </w:r>
      <w:r>
        <w:rPr>
          <w:rFonts w:ascii="Calibri" w:eastAsia="Calibri" w:hAnsi="Calibri" w:cs="Calibri"/>
        </w:rPr>
        <w:t>F</w:t>
      </w:r>
      <w:r>
        <w:rPr>
          <w:sz w:val="18"/>
          <w:vertAlign w:val="subscript"/>
        </w:rPr>
        <w:t xml:space="preserve">0 </w:t>
      </w:r>
      <w:r>
        <w:t>is depositional porosity.</w:t>
      </w:r>
    </w:p>
    <w:p w14:paraId="5838FE1F" w14:textId="77777777" w:rsidR="0081446C" w:rsidRDefault="002452A6">
      <w:pPr>
        <w:ind w:left="-15"/>
      </w:pPr>
      <w:r>
        <w:t>Input data for the modeling of quartz cementation includes detrital m</w:t>
      </w:r>
      <w:r>
        <w:t>ineralogy, quartz grain size, percentage of quartz grain surfaces coated by clay or other non-quartz substances, and temperature history. Volumes of other diagenetic minerals can be entered manually at any time step in the</w:t>
      </w:r>
    </w:p>
    <w:p w14:paraId="1D79DCEE" w14:textId="77777777" w:rsidR="0081446C" w:rsidRDefault="0081446C">
      <w:pPr>
        <w:sectPr w:rsidR="0081446C">
          <w:type w:val="continuous"/>
          <w:pgSz w:w="12240" w:h="15840"/>
          <w:pgMar w:top="1290" w:right="836" w:bottom="1459" w:left="840" w:header="720" w:footer="720" w:gutter="0"/>
          <w:cols w:num="2" w:space="241"/>
        </w:sectPr>
      </w:pPr>
    </w:p>
    <w:p w14:paraId="671D5EFD" w14:textId="77777777" w:rsidR="0081446C" w:rsidRDefault="002452A6">
      <w:pPr>
        <w:spacing w:after="0" w:line="219" w:lineRule="auto"/>
        <w:ind w:left="7080" w:right="214" w:firstLine="148"/>
        <w:jc w:val="left"/>
      </w:pPr>
      <w:r>
        <w:rPr>
          <w:noProof/>
        </w:rPr>
        <w:lastRenderedPageBreak/>
        <w:drawing>
          <wp:anchor distT="0" distB="0" distL="114300" distR="114300" simplePos="0" relativeHeight="251667456" behindDoc="0" locked="0" layoutInCell="1" allowOverlap="0" wp14:anchorId="635FA02B" wp14:editId="669083F6">
            <wp:simplePos x="0" y="0"/>
            <wp:positionH relativeFrom="column">
              <wp:posOffset>-57152</wp:posOffset>
            </wp:positionH>
            <wp:positionV relativeFrom="paragraph">
              <wp:posOffset>-7280435</wp:posOffset>
            </wp:positionV>
            <wp:extent cx="4305300" cy="7924800"/>
            <wp:effectExtent l="0" t="0" r="0" b="0"/>
            <wp:wrapSquare wrapText="bothSides"/>
            <wp:docPr id="1439" name="Picture 1439"/>
            <wp:cNvGraphicFramePr/>
            <a:graphic xmlns:a="http://schemas.openxmlformats.org/drawingml/2006/main">
              <a:graphicData uri="http://schemas.openxmlformats.org/drawingml/2006/picture">
                <pic:pic xmlns:pic="http://schemas.openxmlformats.org/drawingml/2006/picture">
                  <pic:nvPicPr>
                    <pic:cNvPr id="1439" name="Picture 1439"/>
                    <pic:cNvPicPr/>
                  </pic:nvPicPr>
                  <pic:blipFill>
                    <a:blip r:embed="rId19"/>
                    <a:stretch>
                      <a:fillRect/>
                    </a:stretch>
                  </pic:blipFill>
                  <pic:spPr>
                    <a:xfrm>
                      <a:off x="0" y="0"/>
                      <a:ext cx="4305300" cy="7924800"/>
                    </a:xfrm>
                    <a:prstGeom prst="rect">
                      <a:avLst/>
                    </a:prstGeom>
                  </pic:spPr>
                </pic:pic>
              </a:graphicData>
            </a:graphic>
          </wp:anchor>
        </w:drawing>
      </w:r>
      <w:r>
        <w:rPr>
          <w:sz w:val="17"/>
        </w:rPr>
        <w:t>F</w:t>
      </w:r>
      <w:r>
        <w:rPr>
          <w:sz w:val="12"/>
        </w:rPr>
        <w:t>IG</w:t>
      </w:r>
      <w:r>
        <w:rPr>
          <w:sz w:val="17"/>
        </w:rPr>
        <w:t xml:space="preserve">. </w:t>
      </w:r>
      <w:proofErr w:type="gramStart"/>
      <w:r>
        <w:rPr>
          <w:sz w:val="17"/>
        </w:rPr>
        <w:t>7.—</w:t>
      </w:r>
      <w:proofErr w:type="gramEnd"/>
      <w:r>
        <w:rPr>
          <w:sz w:val="17"/>
        </w:rPr>
        <w:t xml:space="preserve">Contact between two quartz grains in the backscatter mode and element mapping for Al, Si, K, and Fe. Sample 2452.75 </w:t>
      </w:r>
      <w:proofErr w:type="spellStart"/>
      <w:r>
        <w:rPr>
          <w:sz w:val="17"/>
        </w:rPr>
        <w:t>mRKB</w:t>
      </w:r>
      <w:proofErr w:type="spellEnd"/>
      <w:r>
        <w:rPr>
          <w:sz w:val="17"/>
        </w:rPr>
        <w:t>. The images show the presence of aluminum and potassium in the contact (arrows), suggesting the presence of very thin clay films.</w:t>
      </w:r>
    </w:p>
    <w:tbl>
      <w:tblPr>
        <w:tblStyle w:val="TableGrid"/>
        <w:tblpPr w:vertAnchor="text" w:tblpY="335"/>
        <w:tblOverlap w:val="never"/>
        <w:tblW w:w="5040" w:type="dxa"/>
        <w:tblInd w:w="0" w:type="dxa"/>
        <w:tblCellMar>
          <w:top w:w="16" w:type="dxa"/>
          <w:left w:w="0" w:type="dxa"/>
          <w:bottom w:w="16" w:type="dxa"/>
          <w:right w:w="98" w:type="dxa"/>
        </w:tblCellMar>
        <w:tblLook w:val="04A0" w:firstRow="1" w:lastRow="0" w:firstColumn="1" w:lastColumn="0" w:noHBand="0" w:noVBand="1"/>
      </w:tblPr>
      <w:tblGrid>
        <w:gridCol w:w="845"/>
        <w:gridCol w:w="917"/>
        <w:gridCol w:w="729"/>
        <w:gridCol w:w="850"/>
        <w:gridCol w:w="900"/>
        <w:gridCol w:w="799"/>
      </w:tblGrid>
      <w:tr w:rsidR="0081446C" w14:paraId="145E8140" w14:textId="77777777">
        <w:trPr>
          <w:trHeight w:val="660"/>
        </w:trPr>
        <w:tc>
          <w:tcPr>
            <w:tcW w:w="845" w:type="dxa"/>
            <w:tcBorders>
              <w:top w:val="double" w:sz="4" w:space="0" w:color="181717"/>
              <w:left w:val="nil"/>
              <w:bottom w:val="single" w:sz="4" w:space="0" w:color="181717"/>
              <w:right w:val="nil"/>
            </w:tcBorders>
            <w:vAlign w:val="bottom"/>
          </w:tcPr>
          <w:p w14:paraId="6CD20984" w14:textId="77777777" w:rsidR="0081446C" w:rsidRDefault="002452A6">
            <w:pPr>
              <w:spacing w:after="0" w:line="259" w:lineRule="auto"/>
              <w:ind w:left="189" w:firstLine="8"/>
              <w:jc w:val="left"/>
            </w:pPr>
            <w:r>
              <w:rPr>
                <w:sz w:val="13"/>
              </w:rPr>
              <w:t xml:space="preserve">Depth, </w:t>
            </w:r>
            <w:proofErr w:type="spellStart"/>
            <w:r>
              <w:rPr>
                <w:sz w:val="13"/>
              </w:rPr>
              <w:t>mRKB</w:t>
            </w:r>
            <w:proofErr w:type="spellEnd"/>
          </w:p>
        </w:tc>
        <w:tc>
          <w:tcPr>
            <w:tcW w:w="917" w:type="dxa"/>
            <w:tcBorders>
              <w:top w:val="double" w:sz="4" w:space="0" w:color="181717"/>
              <w:left w:val="nil"/>
              <w:bottom w:val="single" w:sz="4" w:space="0" w:color="181717"/>
              <w:right w:val="nil"/>
            </w:tcBorders>
          </w:tcPr>
          <w:p w14:paraId="50C40596" w14:textId="77777777" w:rsidR="0081446C" w:rsidRDefault="002452A6">
            <w:pPr>
              <w:spacing w:after="0" w:line="259" w:lineRule="auto"/>
              <w:ind w:left="121" w:firstLine="0"/>
              <w:jc w:val="left"/>
            </w:pPr>
            <w:r>
              <w:rPr>
                <w:sz w:val="13"/>
              </w:rPr>
              <w:t>Quartz</w:t>
            </w:r>
          </w:p>
          <w:p w14:paraId="0B17366B" w14:textId="77777777" w:rsidR="0081446C" w:rsidRDefault="002452A6">
            <w:pPr>
              <w:spacing w:after="0" w:line="259" w:lineRule="auto"/>
              <w:ind w:left="99" w:firstLine="0"/>
              <w:jc w:val="left"/>
            </w:pPr>
            <w:r>
              <w:rPr>
                <w:sz w:val="13"/>
              </w:rPr>
              <w:t>Cement</w:t>
            </w:r>
          </w:p>
          <w:p w14:paraId="148F6211" w14:textId="77777777" w:rsidR="0081446C" w:rsidRDefault="002452A6">
            <w:pPr>
              <w:spacing w:after="0" w:line="259" w:lineRule="auto"/>
              <w:ind w:left="0" w:firstLine="0"/>
              <w:jc w:val="left"/>
            </w:pPr>
            <w:r>
              <w:rPr>
                <w:sz w:val="13"/>
              </w:rPr>
              <w:t>Without CL</w:t>
            </w:r>
          </w:p>
          <w:p w14:paraId="5BB1ECAF" w14:textId="77777777" w:rsidR="0081446C" w:rsidRDefault="002452A6">
            <w:pPr>
              <w:spacing w:after="0" w:line="259" w:lineRule="auto"/>
              <w:ind w:left="228" w:firstLine="0"/>
              <w:jc w:val="left"/>
            </w:pPr>
            <w:r>
              <w:rPr>
                <w:sz w:val="13"/>
              </w:rPr>
              <w:t>%</w:t>
            </w:r>
          </w:p>
        </w:tc>
        <w:tc>
          <w:tcPr>
            <w:tcW w:w="729" w:type="dxa"/>
            <w:tcBorders>
              <w:top w:val="double" w:sz="4" w:space="0" w:color="181717"/>
              <w:left w:val="nil"/>
              <w:bottom w:val="single" w:sz="4" w:space="0" w:color="181717"/>
              <w:right w:val="nil"/>
            </w:tcBorders>
          </w:tcPr>
          <w:p w14:paraId="53D1CC7D" w14:textId="77777777" w:rsidR="0081446C" w:rsidRDefault="002452A6">
            <w:pPr>
              <w:spacing w:after="0" w:line="259" w:lineRule="auto"/>
              <w:ind w:left="74" w:firstLine="0"/>
              <w:jc w:val="left"/>
            </w:pPr>
            <w:r>
              <w:rPr>
                <w:sz w:val="13"/>
              </w:rPr>
              <w:t>Quartz</w:t>
            </w:r>
          </w:p>
          <w:p w14:paraId="329ECC39" w14:textId="77777777" w:rsidR="0081446C" w:rsidRDefault="002452A6">
            <w:pPr>
              <w:spacing w:after="0" w:line="259" w:lineRule="auto"/>
              <w:ind w:left="52" w:firstLine="0"/>
              <w:jc w:val="left"/>
            </w:pPr>
            <w:r>
              <w:rPr>
                <w:sz w:val="13"/>
              </w:rPr>
              <w:t>Cement</w:t>
            </w:r>
          </w:p>
          <w:p w14:paraId="110D875E" w14:textId="77777777" w:rsidR="0081446C" w:rsidRDefault="002452A6">
            <w:pPr>
              <w:spacing w:after="0" w:line="259" w:lineRule="auto"/>
              <w:ind w:left="0" w:firstLine="0"/>
              <w:jc w:val="left"/>
            </w:pPr>
            <w:r>
              <w:rPr>
                <w:sz w:val="13"/>
              </w:rPr>
              <w:t>Using CL</w:t>
            </w:r>
          </w:p>
          <w:p w14:paraId="4F0EE0C3" w14:textId="77777777" w:rsidR="0081446C" w:rsidRDefault="002452A6">
            <w:pPr>
              <w:spacing w:after="0" w:line="259" w:lineRule="auto"/>
              <w:ind w:left="181" w:firstLine="0"/>
              <w:jc w:val="left"/>
            </w:pPr>
            <w:r>
              <w:rPr>
                <w:sz w:val="13"/>
              </w:rPr>
              <w:t>%</w:t>
            </w:r>
          </w:p>
        </w:tc>
        <w:tc>
          <w:tcPr>
            <w:tcW w:w="850" w:type="dxa"/>
            <w:tcBorders>
              <w:top w:val="double" w:sz="4" w:space="0" w:color="181717"/>
              <w:left w:val="nil"/>
              <w:bottom w:val="single" w:sz="4" w:space="0" w:color="181717"/>
              <w:right w:val="nil"/>
            </w:tcBorders>
          </w:tcPr>
          <w:p w14:paraId="08D17ADA" w14:textId="77777777" w:rsidR="0081446C" w:rsidRDefault="002452A6">
            <w:pPr>
              <w:spacing w:after="0" w:line="259" w:lineRule="auto"/>
              <w:ind w:left="123" w:firstLine="0"/>
              <w:jc w:val="left"/>
            </w:pPr>
            <w:r>
              <w:rPr>
                <w:sz w:val="13"/>
              </w:rPr>
              <w:t>Estimated</w:t>
            </w:r>
          </w:p>
          <w:p w14:paraId="6762A0C9" w14:textId="77777777" w:rsidR="0081446C" w:rsidRDefault="002452A6">
            <w:pPr>
              <w:spacing w:after="0" w:line="259" w:lineRule="auto"/>
              <w:ind w:left="177" w:firstLine="0"/>
              <w:jc w:val="left"/>
            </w:pPr>
            <w:r>
              <w:rPr>
                <w:sz w:val="13"/>
              </w:rPr>
              <w:t>Detrital</w:t>
            </w:r>
          </w:p>
          <w:p w14:paraId="4DBF2393" w14:textId="77777777" w:rsidR="0081446C" w:rsidRDefault="002452A6">
            <w:pPr>
              <w:spacing w:after="0" w:line="259" w:lineRule="auto"/>
              <w:ind w:left="0" w:firstLine="0"/>
              <w:jc w:val="left"/>
            </w:pPr>
            <w:r>
              <w:rPr>
                <w:sz w:val="13"/>
              </w:rPr>
              <w:t>Quartz Cement</w:t>
            </w:r>
          </w:p>
          <w:p w14:paraId="38C48F1A" w14:textId="77777777" w:rsidR="0081446C" w:rsidRDefault="002452A6">
            <w:pPr>
              <w:spacing w:after="0" w:line="259" w:lineRule="auto"/>
              <w:ind w:left="302" w:firstLine="0"/>
              <w:jc w:val="left"/>
            </w:pPr>
            <w:r>
              <w:rPr>
                <w:sz w:val="13"/>
              </w:rPr>
              <w:t>%</w:t>
            </w:r>
          </w:p>
        </w:tc>
        <w:tc>
          <w:tcPr>
            <w:tcW w:w="900" w:type="dxa"/>
            <w:tcBorders>
              <w:top w:val="double" w:sz="4" w:space="0" w:color="181717"/>
              <w:left w:val="nil"/>
              <w:bottom w:val="single" w:sz="4" w:space="0" w:color="181717"/>
              <w:right w:val="nil"/>
            </w:tcBorders>
          </w:tcPr>
          <w:p w14:paraId="67B2A3F9" w14:textId="77777777" w:rsidR="0081446C" w:rsidRDefault="002452A6">
            <w:pPr>
              <w:spacing w:after="0" w:line="259" w:lineRule="auto"/>
              <w:ind w:left="126" w:firstLine="0"/>
              <w:jc w:val="left"/>
            </w:pPr>
            <w:r>
              <w:rPr>
                <w:sz w:val="13"/>
              </w:rPr>
              <w:t>Corrected</w:t>
            </w:r>
          </w:p>
          <w:p w14:paraId="4B4964E4" w14:textId="77777777" w:rsidR="0081446C" w:rsidRDefault="002452A6">
            <w:pPr>
              <w:spacing w:after="0" w:line="259" w:lineRule="auto"/>
              <w:ind w:left="0" w:firstLine="0"/>
              <w:jc w:val="left"/>
            </w:pPr>
            <w:r>
              <w:rPr>
                <w:sz w:val="13"/>
              </w:rPr>
              <w:t>Quartz Cement</w:t>
            </w:r>
          </w:p>
          <w:p w14:paraId="59B06C13" w14:textId="77777777" w:rsidR="0081446C" w:rsidRDefault="002452A6">
            <w:pPr>
              <w:spacing w:after="0" w:line="259" w:lineRule="auto"/>
              <w:ind w:left="74" w:firstLine="0"/>
              <w:jc w:val="left"/>
            </w:pPr>
            <w:r>
              <w:rPr>
                <w:sz w:val="13"/>
              </w:rPr>
              <w:t>Without CL</w:t>
            </w:r>
          </w:p>
          <w:p w14:paraId="602EE84C" w14:textId="77777777" w:rsidR="0081446C" w:rsidRDefault="002452A6">
            <w:pPr>
              <w:spacing w:after="0" w:line="259" w:lineRule="auto"/>
              <w:ind w:left="302" w:firstLine="0"/>
              <w:jc w:val="left"/>
            </w:pPr>
            <w:r>
              <w:rPr>
                <w:sz w:val="13"/>
              </w:rPr>
              <w:t>%</w:t>
            </w:r>
          </w:p>
        </w:tc>
        <w:tc>
          <w:tcPr>
            <w:tcW w:w="799" w:type="dxa"/>
            <w:tcBorders>
              <w:top w:val="double" w:sz="4" w:space="0" w:color="181717"/>
              <w:left w:val="nil"/>
              <w:bottom w:val="single" w:sz="4" w:space="0" w:color="181717"/>
              <w:right w:val="nil"/>
            </w:tcBorders>
          </w:tcPr>
          <w:p w14:paraId="02928BD2" w14:textId="77777777" w:rsidR="0081446C" w:rsidRDefault="002452A6">
            <w:pPr>
              <w:spacing w:after="0" w:line="259" w:lineRule="auto"/>
              <w:ind w:left="126" w:firstLine="0"/>
              <w:jc w:val="left"/>
            </w:pPr>
            <w:r>
              <w:rPr>
                <w:sz w:val="13"/>
              </w:rPr>
              <w:t>Corrected</w:t>
            </w:r>
          </w:p>
          <w:p w14:paraId="4B0AB375" w14:textId="77777777" w:rsidR="0081446C" w:rsidRDefault="002452A6">
            <w:pPr>
              <w:spacing w:after="0" w:line="259" w:lineRule="auto"/>
              <w:ind w:left="0" w:firstLine="0"/>
              <w:jc w:val="left"/>
            </w:pPr>
            <w:r>
              <w:rPr>
                <w:sz w:val="13"/>
              </w:rPr>
              <w:t>Quartz Cement</w:t>
            </w:r>
          </w:p>
          <w:p w14:paraId="749363DF" w14:textId="77777777" w:rsidR="0081446C" w:rsidRDefault="002452A6">
            <w:pPr>
              <w:spacing w:after="0" w:line="259" w:lineRule="auto"/>
              <w:ind w:left="121" w:firstLine="0"/>
              <w:jc w:val="left"/>
            </w:pPr>
            <w:r>
              <w:rPr>
                <w:sz w:val="13"/>
              </w:rPr>
              <w:t>Using CL</w:t>
            </w:r>
          </w:p>
          <w:p w14:paraId="556B6715" w14:textId="77777777" w:rsidR="0081446C" w:rsidRDefault="002452A6">
            <w:pPr>
              <w:spacing w:after="0" w:line="259" w:lineRule="auto"/>
              <w:ind w:left="302" w:firstLine="0"/>
              <w:jc w:val="left"/>
            </w:pPr>
            <w:r>
              <w:rPr>
                <w:sz w:val="13"/>
              </w:rPr>
              <w:t>%</w:t>
            </w:r>
          </w:p>
        </w:tc>
      </w:tr>
      <w:tr w:rsidR="0081446C" w14:paraId="0C8B4464" w14:textId="77777777">
        <w:trPr>
          <w:trHeight w:val="800"/>
        </w:trPr>
        <w:tc>
          <w:tcPr>
            <w:tcW w:w="845" w:type="dxa"/>
            <w:tcBorders>
              <w:top w:val="single" w:sz="4" w:space="0" w:color="181717"/>
              <w:left w:val="nil"/>
              <w:bottom w:val="nil"/>
              <w:right w:val="nil"/>
            </w:tcBorders>
          </w:tcPr>
          <w:p w14:paraId="089127F4" w14:textId="77777777" w:rsidR="0081446C" w:rsidRDefault="002452A6">
            <w:pPr>
              <w:spacing w:after="0" w:line="259" w:lineRule="auto"/>
              <w:ind w:left="145" w:firstLine="0"/>
              <w:jc w:val="left"/>
            </w:pPr>
            <w:r>
              <w:rPr>
                <w:sz w:val="13"/>
              </w:rPr>
              <w:t>2 397.70</w:t>
            </w:r>
          </w:p>
          <w:p w14:paraId="43B67BDB" w14:textId="77777777" w:rsidR="0081446C" w:rsidRDefault="002452A6">
            <w:pPr>
              <w:spacing w:after="0" w:line="259" w:lineRule="auto"/>
              <w:ind w:left="145" w:firstLine="0"/>
              <w:jc w:val="left"/>
            </w:pPr>
            <w:r>
              <w:rPr>
                <w:sz w:val="13"/>
              </w:rPr>
              <w:t>2 402.60</w:t>
            </w:r>
          </w:p>
          <w:p w14:paraId="4ABA4D96" w14:textId="77777777" w:rsidR="0081446C" w:rsidRDefault="002452A6">
            <w:pPr>
              <w:spacing w:after="0" w:line="259" w:lineRule="auto"/>
              <w:ind w:left="145" w:firstLine="0"/>
              <w:jc w:val="left"/>
            </w:pPr>
            <w:r>
              <w:rPr>
                <w:sz w:val="13"/>
              </w:rPr>
              <w:t>2 408.68</w:t>
            </w:r>
          </w:p>
          <w:p w14:paraId="683F42D7" w14:textId="77777777" w:rsidR="0081446C" w:rsidRDefault="002452A6">
            <w:pPr>
              <w:spacing w:after="0" w:line="259" w:lineRule="auto"/>
              <w:ind w:left="145" w:firstLine="0"/>
              <w:jc w:val="left"/>
            </w:pPr>
            <w:r>
              <w:rPr>
                <w:sz w:val="13"/>
              </w:rPr>
              <w:t>2 409.47</w:t>
            </w:r>
          </w:p>
          <w:p w14:paraId="5DF419A8" w14:textId="77777777" w:rsidR="0081446C" w:rsidRDefault="002452A6">
            <w:pPr>
              <w:spacing w:after="0" w:line="259" w:lineRule="auto"/>
              <w:ind w:left="145" w:firstLine="0"/>
              <w:jc w:val="left"/>
            </w:pPr>
            <w:r>
              <w:rPr>
                <w:sz w:val="13"/>
              </w:rPr>
              <w:t>2 424.50</w:t>
            </w:r>
          </w:p>
        </w:tc>
        <w:tc>
          <w:tcPr>
            <w:tcW w:w="917" w:type="dxa"/>
            <w:tcBorders>
              <w:top w:val="single" w:sz="4" w:space="0" w:color="181717"/>
              <w:left w:val="nil"/>
              <w:bottom w:val="nil"/>
              <w:right w:val="nil"/>
            </w:tcBorders>
          </w:tcPr>
          <w:p w14:paraId="78891CEB" w14:textId="77777777" w:rsidR="0081446C" w:rsidRDefault="002452A6">
            <w:pPr>
              <w:spacing w:after="0" w:line="239" w:lineRule="auto"/>
              <w:ind w:left="175" w:right="245" w:firstLine="0"/>
              <w:jc w:val="left"/>
            </w:pPr>
            <w:r>
              <w:rPr>
                <w:sz w:val="13"/>
              </w:rPr>
              <w:t>13.5 13.2 21.7 19.1</w:t>
            </w:r>
          </w:p>
          <w:p w14:paraId="3F2749E0" w14:textId="77777777" w:rsidR="0081446C" w:rsidRDefault="002452A6">
            <w:pPr>
              <w:spacing w:after="0" w:line="259" w:lineRule="auto"/>
              <w:ind w:left="175" w:firstLine="0"/>
              <w:jc w:val="left"/>
            </w:pPr>
            <w:r>
              <w:rPr>
                <w:sz w:val="13"/>
              </w:rPr>
              <w:t>14.3</w:t>
            </w:r>
          </w:p>
        </w:tc>
        <w:tc>
          <w:tcPr>
            <w:tcW w:w="729" w:type="dxa"/>
            <w:tcBorders>
              <w:top w:val="single" w:sz="4" w:space="0" w:color="181717"/>
              <w:left w:val="nil"/>
              <w:bottom w:val="nil"/>
              <w:right w:val="nil"/>
            </w:tcBorders>
          </w:tcPr>
          <w:p w14:paraId="6149DC6E" w14:textId="77777777" w:rsidR="0081446C" w:rsidRDefault="002452A6">
            <w:pPr>
              <w:spacing w:after="0" w:line="239" w:lineRule="auto"/>
              <w:ind w:left="100" w:right="132" w:firstLine="0"/>
              <w:jc w:val="left"/>
            </w:pPr>
            <w:r>
              <w:rPr>
                <w:sz w:val="13"/>
              </w:rPr>
              <w:t>12.6 12.9 18.6 19.8</w:t>
            </w:r>
          </w:p>
          <w:p w14:paraId="699A61CB" w14:textId="77777777" w:rsidR="0081446C" w:rsidRDefault="002452A6">
            <w:pPr>
              <w:spacing w:after="0" w:line="259" w:lineRule="auto"/>
              <w:ind w:left="100" w:firstLine="0"/>
              <w:jc w:val="left"/>
            </w:pPr>
            <w:r>
              <w:rPr>
                <w:sz w:val="13"/>
              </w:rPr>
              <w:t>16.2</w:t>
            </w:r>
          </w:p>
        </w:tc>
        <w:tc>
          <w:tcPr>
            <w:tcW w:w="850" w:type="dxa"/>
            <w:tcBorders>
              <w:top w:val="single" w:sz="4" w:space="0" w:color="181717"/>
              <w:left w:val="nil"/>
              <w:bottom w:val="nil"/>
              <w:right w:val="nil"/>
            </w:tcBorders>
          </w:tcPr>
          <w:p w14:paraId="62A68FEC" w14:textId="77777777" w:rsidR="0081446C" w:rsidRDefault="002452A6">
            <w:pPr>
              <w:spacing w:after="0" w:line="239" w:lineRule="auto"/>
              <w:ind w:left="278" w:right="189" w:firstLine="0"/>
              <w:jc w:val="left"/>
            </w:pPr>
            <w:r>
              <w:rPr>
                <w:sz w:val="13"/>
              </w:rPr>
              <w:t>2.4 2.3 2.0 2.2</w:t>
            </w:r>
          </w:p>
          <w:p w14:paraId="2AEC2F25" w14:textId="77777777" w:rsidR="0081446C" w:rsidRDefault="002452A6">
            <w:pPr>
              <w:spacing w:after="0" w:line="259" w:lineRule="auto"/>
              <w:ind w:left="278" w:firstLine="0"/>
              <w:jc w:val="left"/>
            </w:pPr>
            <w:r>
              <w:rPr>
                <w:sz w:val="13"/>
              </w:rPr>
              <w:t>2.3</w:t>
            </w:r>
          </w:p>
        </w:tc>
        <w:tc>
          <w:tcPr>
            <w:tcW w:w="900" w:type="dxa"/>
            <w:tcBorders>
              <w:top w:val="single" w:sz="4" w:space="0" w:color="181717"/>
              <w:left w:val="nil"/>
              <w:bottom w:val="nil"/>
              <w:right w:val="nil"/>
            </w:tcBorders>
          </w:tcPr>
          <w:p w14:paraId="41D9732F" w14:textId="77777777" w:rsidR="0081446C" w:rsidRDefault="002452A6">
            <w:pPr>
              <w:spacing w:after="0" w:line="239" w:lineRule="auto"/>
              <w:ind w:left="221" w:right="182" w:firstLine="0"/>
              <w:jc w:val="left"/>
            </w:pPr>
            <w:r>
              <w:rPr>
                <w:sz w:val="13"/>
              </w:rPr>
              <w:t>11.1 10.9 19.7 16.9</w:t>
            </w:r>
          </w:p>
          <w:p w14:paraId="4E24BC9F" w14:textId="77777777" w:rsidR="0081446C" w:rsidRDefault="002452A6">
            <w:pPr>
              <w:spacing w:after="0" w:line="259" w:lineRule="auto"/>
              <w:ind w:left="221" w:firstLine="0"/>
              <w:jc w:val="left"/>
            </w:pPr>
            <w:r>
              <w:rPr>
                <w:sz w:val="13"/>
              </w:rPr>
              <w:t>12.0</w:t>
            </w:r>
          </w:p>
        </w:tc>
        <w:tc>
          <w:tcPr>
            <w:tcW w:w="799" w:type="dxa"/>
            <w:tcBorders>
              <w:top w:val="single" w:sz="4" w:space="0" w:color="181717"/>
              <w:left w:val="nil"/>
              <w:bottom w:val="nil"/>
              <w:right w:val="nil"/>
            </w:tcBorders>
          </w:tcPr>
          <w:p w14:paraId="726504D6" w14:textId="77777777" w:rsidR="0081446C" w:rsidRDefault="002452A6">
            <w:pPr>
              <w:spacing w:after="0" w:line="239" w:lineRule="auto"/>
              <w:ind w:left="221" w:right="81" w:firstLine="0"/>
              <w:jc w:val="left"/>
            </w:pPr>
            <w:r>
              <w:rPr>
                <w:sz w:val="13"/>
              </w:rPr>
              <w:t>10.2 10.6 16.6 17.6</w:t>
            </w:r>
          </w:p>
          <w:p w14:paraId="28778738" w14:textId="77777777" w:rsidR="0081446C" w:rsidRDefault="002452A6">
            <w:pPr>
              <w:spacing w:after="0" w:line="259" w:lineRule="auto"/>
              <w:ind w:left="221" w:firstLine="0"/>
              <w:jc w:val="left"/>
            </w:pPr>
            <w:r>
              <w:rPr>
                <w:sz w:val="13"/>
              </w:rPr>
              <w:t>13.9</w:t>
            </w:r>
          </w:p>
        </w:tc>
      </w:tr>
      <w:tr w:rsidR="0081446C" w14:paraId="6B2D13DE" w14:textId="77777777">
        <w:trPr>
          <w:trHeight w:val="750"/>
        </w:trPr>
        <w:tc>
          <w:tcPr>
            <w:tcW w:w="845" w:type="dxa"/>
            <w:tcBorders>
              <w:top w:val="nil"/>
              <w:left w:val="nil"/>
              <w:bottom w:val="nil"/>
              <w:right w:val="nil"/>
            </w:tcBorders>
          </w:tcPr>
          <w:p w14:paraId="55CB6A06" w14:textId="77777777" w:rsidR="0081446C" w:rsidRDefault="002452A6">
            <w:pPr>
              <w:spacing w:after="0" w:line="259" w:lineRule="auto"/>
              <w:ind w:left="145" w:firstLine="0"/>
              <w:jc w:val="left"/>
            </w:pPr>
            <w:r>
              <w:rPr>
                <w:sz w:val="13"/>
              </w:rPr>
              <w:t>2 427.23</w:t>
            </w:r>
          </w:p>
          <w:p w14:paraId="77AF3CC5" w14:textId="77777777" w:rsidR="0081446C" w:rsidRDefault="002452A6">
            <w:pPr>
              <w:spacing w:after="0" w:line="259" w:lineRule="auto"/>
              <w:ind w:left="145" w:firstLine="0"/>
              <w:jc w:val="left"/>
            </w:pPr>
            <w:r>
              <w:rPr>
                <w:sz w:val="13"/>
              </w:rPr>
              <w:t>2 434.00</w:t>
            </w:r>
          </w:p>
          <w:p w14:paraId="18BB548B" w14:textId="77777777" w:rsidR="0081446C" w:rsidRDefault="002452A6">
            <w:pPr>
              <w:spacing w:after="0" w:line="259" w:lineRule="auto"/>
              <w:ind w:left="145" w:firstLine="0"/>
              <w:jc w:val="left"/>
            </w:pPr>
            <w:r>
              <w:rPr>
                <w:sz w:val="13"/>
              </w:rPr>
              <w:t>2 444.90</w:t>
            </w:r>
          </w:p>
          <w:p w14:paraId="65A71F74" w14:textId="77777777" w:rsidR="0081446C" w:rsidRDefault="002452A6">
            <w:pPr>
              <w:spacing w:after="0" w:line="259" w:lineRule="auto"/>
              <w:ind w:left="145" w:firstLine="0"/>
              <w:jc w:val="left"/>
            </w:pPr>
            <w:r>
              <w:rPr>
                <w:sz w:val="13"/>
              </w:rPr>
              <w:t>2 446.20</w:t>
            </w:r>
          </w:p>
          <w:p w14:paraId="576E7F81" w14:textId="77777777" w:rsidR="0081446C" w:rsidRDefault="002452A6">
            <w:pPr>
              <w:spacing w:after="0" w:line="259" w:lineRule="auto"/>
              <w:ind w:left="145" w:firstLine="0"/>
              <w:jc w:val="left"/>
            </w:pPr>
            <w:r>
              <w:rPr>
                <w:sz w:val="13"/>
              </w:rPr>
              <w:t>2 446.35</w:t>
            </w:r>
          </w:p>
        </w:tc>
        <w:tc>
          <w:tcPr>
            <w:tcW w:w="917" w:type="dxa"/>
            <w:tcBorders>
              <w:top w:val="nil"/>
              <w:left w:val="nil"/>
              <w:bottom w:val="nil"/>
              <w:right w:val="nil"/>
            </w:tcBorders>
          </w:tcPr>
          <w:p w14:paraId="451E53F3" w14:textId="77777777" w:rsidR="0081446C" w:rsidRDefault="002452A6">
            <w:pPr>
              <w:spacing w:after="0" w:line="259" w:lineRule="auto"/>
              <w:ind w:left="175" w:firstLine="0"/>
              <w:jc w:val="left"/>
            </w:pPr>
            <w:r>
              <w:rPr>
                <w:sz w:val="13"/>
              </w:rPr>
              <w:t>12.5</w:t>
            </w:r>
          </w:p>
          <w:p w14:paraId="3787742F" w14:textId="77777777" w:rsidR="0081446C" w:rsidRDefault="002452A6">
            <w:pPr>
              <w:spacing w:after="0" w:line="259" w:lineRule="auto"/>
              <w:ind w:left="232" w:firstLine="0"/>
              <w:jc w:val="left"/>
            </w:pPr>
            <w:r>
              <w:rPr>
                <w:sz w:val="13"/>
              </w:rPr>
              <w:t>6.2</w:t>
            </w:r>
          </w:p>
          <w:p w14:paraId="6280FFEC" w14:textId="77777777" w:rsidR="0081446C" w:rsidRDefault="002452A6">
            <w:pPr>
              <w:spacing w:after="0" w:line="259" w:lineRule="auto"/>
              <w:ind w:left="175" w:firstLine="0"/>
              <w:jc w:val="left"/>
            </w:pPr>
            <w:r>
              <w:rPr>
                <w:sz w:val="13"/>
              </w:rPr>
              <w:t>12.1</w:t>
            </w:r>
          </w:p>
          <w:p w14:paraId="09E6DA34" w14:textId="77777777" w:rsidR="0081446C" w:rsidRDefault="002452A6">
            <w:pPr>
              <w:spacing w:after="0" w:line="259" w:lineRule="auto"/>
              <w:ind w:left="175" w:firstLine="0"/>
              <w:jc w:val="left"/>
            </w:pPr>
            <w:r>
              <w:rPr>
                <w:sz w:val="13"/>
              </w:rPr>
              <w:t>16.9</w:t>
            </w:r>
          </w:p>
          <w:p w14:paraId="784DABB8" w14:textId="77777777" w:rsidR="0081446C" w:rsidRDefault="002452A6">
            <w:pPr>
              <w:spacing w:after="0" w:line="259" w:lineRule="auto"/>
              <w:ind w:left="232" w:firstLine="0"/>
              <w:jc w:val="left"/>
            </w:pPr>
            <w:r>
              <w:rPr>
                <w:sz w:val="13"/>
              </w:rPr>
              <w:t>6.7</w:t>
            </w:r>
          </w:p>
        </w:tc>
        <w:tc>
          <w:tcPr>
            <w:tcW w:w="729" w:type="dxa"/>
            <w:tcBorders>
              <w:top w:val="nil"/>
              <w:left w:val="nil"/>
              <w:bottom w:val="nil"/>
              <w:right w:val="nil"/>
            </w:tcBorders>
          </w:tcPr>
          <w:p w14:paraId="56C19FD6" w14:textId="77777777" w:rsidR="0081446C" w:rsidRDefault="002452A6">
            <w:pPr>
              <w:spacing w:after="0" w:line="259" w:lineRule="auto"/>
              <w:ind w:left="100" w:firstLine="0"/>
              <w:jc w:val="left"/>
            </w:pPr>
            <w:r>
              <w:rPr>
                <w:sz w:val="13"/>
              </w:rPr>
              <w:t>12.8</w:t>
            </w:r>
          </w:p>
          <w:p w14:paraId="5D1DC775" w14:textId="77777777" w:rsidR="0081446C" w:rsidRDefault="002452A6">
            <w:pPr>
              <w:spacing w:after="0" w:line="259" w:lineRule="auto"/>
              <w:ind w:left="157" w:firstLine="0"/>
              <w:jc w:val="left"/>
            </w:pPr>
            <w:r>
              <w:rPr>
                <w:sz w:val="13"/>
              </w:rPr>
              <w:t>8.3</w:t>
            </w:r>
          </w:p>
          <w:p w14:paraId="5A79B0DD" w14:textId="77777777" w:rsidR="0081446C" w:rsidRDefault="002452A6">
            <w:pPr>
              <w:spacing w:after="0" w:line="259" w:lineRule="auto"/>
              <w:ind w:left="100" w:firstLine="0"/>
              <w:jc w:val="left"/>
            </w:pPr>
            <w:r>
              <w:rPr>
                <w:sz w:val="13"/>
              </w:rPr>
              <w:t>12.8</w:t>
            </w:r>
          </w:p>
          <w:p w14:paraId="0982F491" w14:textId="77777777" w:rsidR="0081446C" w:rsidRDefault="002452A6">
            <w:pPr>
              <w:spacing w:after="0" w:line="259" w:lineRule="auto"/>
              <w:ind w:left="100" w:firstLine="0"/>
              <w:jc w:val="left"/>
            </w:pPr>
            <w:r>
              <w:rPr>
                <w:sz w:val="13"/>
              </w:rPr>
              <w:t>14.4</w:t>
            </w:r>
          </w:p>
          <w:p w14:paraId="7FED0FD3" w14:textId="77777777" w:rsidR="0081446C" w:rsidRDefault="002452A6">
            <w:pPr>
              <w:spacing w:after="0" w:line="259" w:lineRule="auto"/>
              <w:ind w:left="157" w:firstLine="0"/>
              <w:jc w:val="left"/>
            </w:pPr>
            <w:r>
              <w:rPr>
                <w:sz w:val="13"/>
              </w:rPr>
              <w:t>5.5</w:t>
            </w:r>
          </w:p>
        </w:tc>
        <w:tc>
          <w:tcPr>
            <w:tcW w:w="850" w:type="dxa"/>
            <w:tcBorders>
              <w:top w:val="nil"/>
              <w:left w:val="nil"/>
              <w:bottom w:val="nil"/>
              <w:right w:val="nil"/>
            </w:tcBorders>
          </w:tcPr>
          <w:p w14:paraId="448517D9" w14:textId="77777777" w:rsidR="0081446C" w:rsidRDefault="002452A6">
            <w:pPr>
              <w:spacing w:after="0" w:line="239" w:lineRule="auto"/>
              <w:ind w:left="278" w:right="189" w:firstLine="0"/>
              <w:jc w:val="left"/>
            </w:pPr>
            <w:r>
              <w:rPr>
                <w:sz w:val="13"/>
              </w:rPr>
              <w:t>2.2 2.5 2.5 2.3</w:t>
            </w:r>
          </w:p>
          <w:p w14:paraId="40F0C5F6" w14:textId="77777777" w:rsidR="0081446C" w:rsidRDefault="002452A6">
            <w:pPr>
              <w:spacing w:after="0" w:line="259" w:lineRule="auto"/>
              <w:ind w:left="278" w:firstLine="0"/>
              <w:jc w:val="left"/>
            </w:pPr>
            <w:r>
              <w:rPr>
                <w:sz w:val="13"/>
              </w:rPr>
              <w:t>2.6</w:t>
            </w:r>
          </w:p>
        </w:tc>
        <w:tc>
          <w:tcPr>
            <w:tcW w:w="900" w:type="dxa"/>
            <w:tcBorders>
              <w:top w:val="nil"/>
              <w:left w:val="nil"/>
              <w:bottom w:val="nil"/>
              <w:right w:val="nil"/>
            </w:tcBorders>
          </w:tcPr>
          <w:p w14:paraId="6FE737F2" w14:textId="77777777" w:rsidR="0081446C" w:rsidRDefault="002452A6">
            <w:pPr>
              <w:spacing w:after="0" w:line="259" w:lineRule="auto"/>
              <w:ind w:left="221" w:firstLine="0"/>
              <w:jc w:val="left"/>
            </w:pPr>
            <w:r>
              <w:rPr>
                <w:sz w:val="13"/>
              </w:rPr>
              <w:t>10.3</w:t>
            </w:r>
          </w:p>
          <w:p w14:paraId="145A26FE" w14:textId="77777777" w:rsidR="0081446C" w:rsidRDefault="002452A6">
            <w:pPr>
              <w:spacing w:after="0" w:line="259" w:lineRule="auto"/>
              <w:ind w:left="278" w:firstLine="0"/>
              <w:jc w:val="left"/>
            </w:pPr>
            <w:r>
              <w:rPr>
                <w:sz w:val="13"/>
              </w:rPr>
              <w:t>3.7</w:t>
            </w:r>
          </w:p>
          <w:p w14:paraId="61969D49" w14:textId="77777777" w:rsidR="0081446C" w:rsidRDefault="002452A6">
            <w:pPr>
              <w:spacing w:after="0" w:line="259" w:lineRule="auto"/>
              <w:ind w:left="278" w:firstLine="0"/>
              <w:jc w:val="left"/>
            </w:pPr>
            <w:r>
              <w:rPr>
                <w:sz w:val="13"/>
              </w:rPr>
              <w:t>9.6</w:t>
            </w:r>
          </w:p>
          <w:p w14:paraId="6A1CF081" w14:textId="77777777" w:rsidR="0081446C" w:rsidRDefault="002452A6">
            <w:pPr>
              <w:spacing w:after="0" w:line="259" w:lineRule="auto"/>
              <w:ind w:left="221" w:firstLine="0"/>
              <w:jc w:val="left"/>
            </w:pPr>
            <w:r>
              <w:rPr>
                <w:sz w:val="13"/>
              </w:rPr>
              <w:t>14.6</w:t>
            </w:r>
          </w:p>
          <w:p w14:paraId="73436FC8" w14:textId="77777777" w:rsidR="0081446C" w:rsidRDefault="002452A6">
            <w:pPr>
              <w:spacing w:after="0" w:line="259" w:lineRule="auto"/>
              <w:ind w:left="278" w:firstLine="0"/>
              <w:jc w:val="left"/>
            </w:pPr>
            <w:r>
              <w:rPr>
                <w:sz w:val="13"/>
              </w:rPr>
              <w:t>4.1</w:t>
            </w:r>
          </w:p>
        </w:tc>
        <w:tc>
          <w:tcPr>
            <w:tcW w:w="799" w:type="dxa"/>
            <w:tcBorders>
              <w:top w:val="nil"/>
              <w:left w:val="nil"/>
              <w:bottom w:val="nil"/>
              <w:right w:val="nil"/>
            </w:tcBorders>
          </w:tcPr>
          <w:p w14:paraId="7D245393" w14:textId="77777777" w:rsidR="0081446C" w:rsidRDefault="002452A6">
            <w:pPr>
              <w:spacing w:after="0" w:line="259" w:lineRule="auto"/>
              <w:ind w:left="221" w:firstLine="0"/>
              <w:jc w:val="left"/>
            </w:pPr>
            <w:r>
              <w:rPr>
                <w:sz w:val="13"/>
              </w:rPr>
              <w:t>10.6</w:t>
            </w:r>
          </w:p>
          <w:p w14:paraId="75A71B6C" w14:textId="77777777" w:rsidR="0081446C" w:rsidRDefault="002452A6">
            <w:pPr>
              <w:spacing w:after="0" w:line="259" w:lineRule="auto"/>
              <w:ind w:left="278" w:firstLine="0"/>
              <w:jc w:val="left"/>
            </w:pPr>
            <w:r>
              <w:rPr>
                <w:sz w:val="13"/>
              </w:rPr>
              <w:t>5.8</w:t>
            </w:r>
          </w:p>
          <w:p w14:paraId="26D3E32A" w14:textId="77777777" w:rsidR="0081446C" w:rsidRDefault="002452A6">
            <w:pPr>
              <w:spacing w:after="0" w:line="259" w:lineRule="auto"/>
              <w:ind w:left="221" w:firstLine="0"/>
              <w:jc w:val="left"/>
            </w:pPr>
            <w:r>
              <w:rPr>
                <w:sz w:val="13"/>
              </w:rPr>
              <w:t>10.3</w:t>
            </w:r>
          </w:p>
          <w:p w14:paraId="29BE8F83" w14:textId="77777777" w:rsidR="0081446C" w:rsidRDefault="002452A6">
            <w:pPr>
              <w:spacing w:after="0" w:line="259" w:lineRule="auto"/>
              <w:ind w:left="221" w:firstLine="0"/>
              <w:jc w:val="left"/>
            </w:pPr>
            <w:r>
              <w:rPr>
                <w:sz w:val="13"/>
              </w:rPr>
              <w:t>12.1</w:t>
            </w:r>
          </w:p>
          <w:p w14:paraId="0E94527C" w14:textId="77777777" w:rsidR="0081446C" w:rsidRDefault="002452A6">
            <w:pPr>
              <w:spacing w:after="0" w:line="259" w:lineRule="auto"/>
              <w:ind w:left="278" w:firstLine="0"/>
              <w:jc w:val="left"/>
            </w:pPr>
            <w:r>
              <w:rPr>
                <w:sz w:val="13"/>
              </w:rPr>
              <w:t>2.9</w:t>
            </w:r>
          </w:p>
        </w:tc>
      </w:tr>
      <w:tr w:rsidR="0081446C" w14:paraId="27034DA0" w14:textId="77777777">
        <w:trPr>
          <w:trHeight w:val="750"/>
        </w:trPr>
        <w:tc>
          <w:tcPr>
            <w:tcW w:w="845" w:type="dxa"/>
            <w:tcBorders>
              <w:top w:val="nil"/>
              <w:left w:val="nil"/>
              <w:bottom w:val="nil"/>
              <w:right w:val="nil"/>
            </w:tcBorders>
          </w:tcPr>
          <w:p w14:paraId="3B602E06" w14:textId="77777777" w:rsidR="0081446C" w:rsidRDefault="002452A6">
            <w:pPr>
              <w:spacing w:after="0" w:line="259" w:lineRule="auto"/>
              <w:ind w:left="145" w:firstLine="0"/>
              <w:jc w:val="left"/>
            </w:pPr>
            <w:r>
              <w:rPr>
                <w:sz w:val="13"/>
              </w:rPr>
              <w:t>2 446.75</w:t>
            </w:r>
          </w:p>
          <w:p w14:paraId="73D2781D" w14:textId="77777777" w:rsidR="0081446C" w:rsidRDefault="002452A6">
            <w:pPr>
              <w:spacing w:after="0" w:line="259" w:lineRule="auto"/>
              <w:ind w:left="145" w:firstLine="0"/>
              <w:jc w:val="left"/>
            </w:pPr>
            <w:r>
              <w:rPr>
                <w:sz w:val="13"/>
              </w:rPr>
              <w:t>2 449.20</w:t>
            </w:r>
          </w:p>
          <w:p w14:paraId="6C56EBDD" w14:textId="77777777" w:rsidR="0081446C" w:rsidRDefault="002452A6">
            <w:pPr>
              <w:spacing w:after="0" w:line="259" w:lineRule="auto"/>
              <w:ind w:left="145" w:firstLine="0"/>
              <w:jc w:val="left"/>
            </w:pPr>
            <w:r>
              <w:rPr>
                <w:sz w:val="13"/>
              </w:rPr>
              <w:t>2 449.30</w:t>
            </w:r>
          </w:p>
          <w:p w14:paraId="5DA37CE3" w14:textId="77777777" w:rsidR="0081446C" w:rsidRDefault="002452A6">
            <w:pPr>
              <w:spacing w:after="0" w:line="259" w:lineRule="auto"/>
              <w:ind w:left="145" w:firstLine="0"/>
              <w:jc w:val="left"/>
            </w:pPr>
            <w:r>
              <w:rPr>
                <w:sz w:val="13"/>
              </w:rPr>
              <w:t>2 449.70</w:t>
            </w:r>
          </w:p>
          <w:p w14:paraId="63FAF731" w14:textId="77777777" w:rsidR="0081446C" w:rsidRDefault="002452A6">
            <w:pPr>
              <w:spacing w:after="0" w:line="259" w:lineRule="auto"/>
              <w:ind w:left="145" w:firstLine="0"/>
              <w:jc w:val="left"/>
            </w:pPr>
            <w:r>
              <w:rPr>
                <w:sz w:val="13"/>
              </w:rPr>
              <w:t>2 450.20</w:t>
            </w:r>
          </w:p>
        </w:tc>
        <w:tc>
          <w:tcPr>
            <w:tcW w:w="917" w:type="dxa"/>
            <w:tcBorders>
              <w:top w:val="nil"/>
              <w:left w:val="nil"/>
              <w:bottom w:val="nil"/>
              <w:right w:val="nil"/>
            </w:tcBorders>
          </w:tcPr>
          <w:p w14:paraId="2DE9EDC4" w14:textId="77777777" w:rsidR="0081446C" w:rsidRDefault="002452A6">
            <w:pPr>
              <w:spacing w:after="0" w:line="259" w:lineRule="auto"/>
              <w:ind w:left="175" w:firstLine="0"/>
              <w:jc w:val="left"/>
            </w:pPr>
            <w:r>
              <w:rPr>
                <w:sz w:val="13"/>
              </w:rPr>
              <w:t>10.6</w:t>
            </w:r>
          </w:p>
          <w:p w14:paraId="02533F50" w14:textId="77777777" w:rsidR="0081446C" w:rsidRDefault="002452A6">
            <w:pPr>
              <w:spacing w:after="0" w:line="259" w:lineRule="auto"/>
              <w:ind w:left="175" w:firstLine="0"/>
              <w:jc w:val="left"/>
            </w:pPr>
            <w:r>
              <w:rPr>
                <w:sz w:val="13"/>
              </w:rPr>
              <w:t>13.4</w:t>
            </w:r>
          </w:p>
          <w:p w14:paraId="4EB0A200" w14:textId="77777777" w:rsidR="0081446C" w:rsidRDefault="002452A6">
            <w:pPr>
              <w:spacing w:after="0" w:line="239" w:lineRule="auto"/>
              <w:ind w:left="232" w:right="302" w:firstLine="0"/>
              <w:jc w:val="left"/>
            </w:pPr>
            <w:r>
              <w:rPr>
                <w:sz w:val="13"/>
              </w:rPr>
              <w:t>8.8 7.5</w:t>
            </w:r>
          </w:p>
          <w:p w14:paraId="6943ADD8" w14:textId="77777777" w:rsidR="0081446C" w:rsidRDefault="002452A6">
            <w:pPr>
              <w:spacing w:after="0" w:line="259" w:lineRule="auto"/>
              <w:ind w:left="232" w:firstLine="0"/>
              <w:jc w:val="left"/>
            </w:pPr>
            <w:r>
              <w:rPr>
                <w:sz w:val="13"/>
              </w:rPr>
              <w:t>6.5</w:t>
            </w:r>
          </w:p>
        </w:tc>
        <w:tc>
          <w:tcPr>
            <w:tcW w:w="729" w:type="dxa"/>
            <w:tcBorders>
              <w:top w:val="nil"/>
              <w:left w:val="nil"/>
              <w:bottom w:val="nil"/>
              <w:right w:val="nil"/>
            </w:tcBorders>
          </w:tcPr>
          <w:p w14:paraId="64713220" w14:textId="77777777" w:rsidR="0081446C" w:rsidRDefault="002452A6">
            <w:pPr>
              <w:spacing w:after="0" w:line="259" w:lineRule="auto"/>
              <w:ind w:left="157" w:firstLine="0"/>
              <w:jc w:val="left"/>
            </w:pPr>
            <w:r>
              <w:rPr>
                <w:sz w:val="13"/>
              </w:rPr>
              <w:t>7.4</w:t>
            </w:r>
          </w:p>
          <w:p w14:paraId="659CDCB9" w14:textId="77777777" w:rsidR="0081446C" w:rsidRDefault="002452A6">
            <w:pPr>
              <w:spacing w:after="0" w:line="259" w:lineRule="auto"/>
              <w:ind w:left="100" w:firstLine="0"/>
              <w:jc w:val="left"/>
            </w:pPr>
            <w:r>
              <w:rPr>
                <w:sz w:val="13"/>
              </w:rPr>
              <w:t>16.1</w:t>
            </w:r>
          </w:p>
          <w:p w14:paraId="4DCCA303" w14:textId="77777777" w:rsidR="0081446C" w:rsidRDefault="002452A6">
            <w:pPr>
              <w:spacing w:after="0" w:line="239" w:lineRule="auto"/>
              <w:ind w:left="157" w:right="189" w:firstLine="0"/>
              <w:jc w:val="left"/>
            </w:pPr>
            <w:r>
              <w:rPr>
                <w:sz w:val="13"/>
              </w:rPr>
              <w:t>6.5 8.5</w:t>
            </w:r>
          </w:p>
          <w:p w14:paraId="3E9682F5" w14:textId="77777777" w:rsidR="0081446C" w:rsidRDefault="002452A6">
            <w:pPr>
              <w:spacing w:after="0" w:line="259" w:lineRule="auto"/>
              <w:ind w:left="157" w:firstLine="0"/>
              <w:jc w:val="left"/>
            </w:pPr>
            <w:r>
              <w:rPr>
                <w:sz w:val="13"/>
              </w:rPr>
              <w:t>7.9</w:t>
            </w:r>
          </w:p>
        </w:tc>
        <w:tc>
          <w:tcPr>
            <w:tcW w:w="850" w:type="dxa"/>
            <w:tcBorders>
              <w:top w:val="nil"/>
              <w:left w:val="nil"/>
              <w:bottom w:val="nil"/>
              <w:right w:val="nil"/>
            </w:tcBorders>
          </w:tcPr>
          <w:p w14:paraId="2F2AB4D1" w14:textId="77777777" w:rsidR="0081446C" w:rsidRDefault="002452A6">
            <w:pPr>
              <w:spacing w:after="0" w:line="239" w:lineRule="auto"/>
              <w:ind w:left="278" w:right="189" w:firstLine="0"/>
              <w:jc w:val="left"/>
            </w:pPr>
            <w:r>
              <w:rPr>
                <w:sz w:val="13"/>
              </w:rPr>
              <w:t>2.4 2.5 2.5 2.5</w:t>
            </w:r>
          </w:p>
          <w:p w14:paraId="1467782A" w14:textId="77777777" w:rsidR="0081446C" w:rsidRDefault="002452A6">
            <w:pPr>
              <w:spacing w:after="0" w:line="259" w:lineRule="auto"/>
              <w:ind w:left="278" w:firstLine="0"/>
              <w:jc w:val="left"/>
            </w:pPr>
            <w:r>
              <w:rPr>
                <w:sz w:val="13"/>
              </w:rPr>
              <w:t>2.5</w:t>
            </w:r>
          </w:p>
        </w:tc>
        <w:tc>
          <w:tcPr>
            <w:tcW w:w="900" w:type="dxa"/>
            <w:tcBorders>
              <w:top w:val="nil"/>
              <w:left w:val="nil"/>
              <w:bottom w:val="nil"/>
              <w:right w:val="nil"/>
            </w:tcBorders>
          </w:tcPr>
          <w:p w14:paraId="6079AC9C" w14:textId="77777777" w:rsidR="0081446C" w:rsidRDefault="002452A6">
            <w:pPr>
              <w:spacing w:after="0" w:line="259" w:lineRule="auto"/>
              <w:ind w:left="278" w:firstLine="0"/>
              <w:jc w:val="left"/>
            </w:pPr>
            <w:r>
              <w:rPr>
                <w:sz w:val="13"/>
              </w:rPr>
              <w:t>8.2</w:t>
            </w:r>
          </w:p>
          <w:p w14:paraId="36DFD635" w14:textId="77777777" w:rsidR="0081446C" w:rsidRDefault="002452A6">
            <w:pPr>
              <w:spacing w:after="0" w:line="259" w:lineRule="auto"/>
              <w:ind w:left="221" w:firstLine="0"/>
              <w:jc w:val="left"/>
            </w:pPr>
            <w:r>
              <w:rPr>
                <w:sz w:val="13"/>
              </w:rPr>
              <w:t>10.9</w:t>
            </w:r>
          </w:p>
          <w:p w14:paraId="44297A8F" w14:textId="77777777" w:rsidR="0081446C" w:rsidRDefault="002452A6">
            <w:pPr>
              <w:spacing w:after="0" w:line="239" w:lineRule="auto"/>
              <w:ind w:left="278" w:right="239" w:firstLine="0"/>
              <w:jc w:val="left"/>
            </w:pPr>
            <w:r>
              <w:rPr>
                <w:sz w:val="13"/>
              </w:rPr>
              <w:t>6.3 5.0</w:t>
            </w:r>
          </w:p>
          <w:p w14:paraId="064F887C" w14:textId="77777777" w:rsidR="0081446C" w:rsidRDefault="002452A6">
            <w:pPr>
              <w:spacing w:after="0" w:line="259" w:lineRule="auto"/>
              <w:ind w:left="278" w:firstLine="0"/>
              <w:jc w:val="left"/>
            </w:pPr>
            <w:r>
              <w:rPr>
                <w:sz w:val="13"/>
              </w:rPr>
              <w:t>4.0</w:t>
            </w:r>
          </w:p>
        </w:tc>
        <w:tc>
          <w:tcPr>
            <w:tcW w:w="799" w:type="dxa"/>
            <w:tcBorders>
              <w:top w:val="nil"/>
              <w:left w:val="nil"/>
              <w:bottom w:val="nil"/>
              <w:right w:val="nil"/>
            </w:tcBorders>
          </w:tcPr>
          <w:p w14:paraId="3433A9EE" w14:textId="77777777" w:rsidR="0081446C" w:rsidRDefault="002452A6">
            <w:pPr>
              <w:spacing w:after="0" w:line="259" w:lineRule="auto"/>
              <w:ind w:left="278" w:firstLine="0"/>
              <w:jc w:val="left"/>
            </w:pPr>
            <w:r>
              <w:rPr>
                <w:sz w:val="13"/>
              </w:rPr>
              <w:t>5.0</w:t>
            </w:r>
          </w:p>
          <w:p w14:paraId="3D0AE1BC" w14:textId="77777777" w:rsidR="0081446C" w:rsidRDefault="002452A6">
            <w:pPr>
              <w:spacing w:after="0" w:line="259" w:lineRule="auto"/>
              <w:ind w:left="221" w:firstLine="0"/>
              <w:jc w:val="left"/>
            </w:pPr>
            <w:r>
              <w:rPr>
                <w:sz w:val="13"/>
              </w:rPr>
              <w:t>13.6</w:t>
            </w:r>
          </w:p>
          <w:p w14:paraId="6582ADB4" w14:textId="77777777" w:rsidR="0081446C" w:rsidRDefault="002452A6">
            <w:pPr>
              <w:spacing w:after="0" w:line="239" w:lineRule="auto"/>
              <w:ind w:left="278" w:right="138" w:firstLine="0"/>
              <w:jc w:val="left"/>
            </w:pPr>
            <w:r>
              <w:rPr>
                <w:sz w:val="13"/>
              </w:rPr>
              <w:t>4.0 6.0</w:t>
            </w:r>
          </w:p>
          <w:p w14:paraId="614ECC5F" w14:textId="77777777" w:rsidR="0081446C" w:rsidRDefault="002452A6">
            <w:pPr>
              <w:spacing w:after="0" w:line="259" w:lineRule="auto"/>
              <w:ind w:left="278" w:firstLine="0"/>
              <w:jc w:val="left"/>
            </w:pPr>
            <w:r>
              <w:rPr>
                <w:sz w:val="13"/>
              </w:rPr>
              <w:t>5.4</w:t>
            </w:r>
          </w:p>
        </w:tc>
      </w:tr>
      <w:tr w:rsidR="0081446C" w14:paraId="6C1888B9" w14:textId="77777777">
        <w:trPr>
          <w:trHeight w:val="750"/>
        </w:trPr>
        <w:tc>
          <w:tcPr>
            <w:tcW w:w="845" w:type="dxa"/>
            <w:tcBorders>
              <w:top w:val="nil"/>
              <w:left w:val="nil"/>
              <w:bottom w:val="nil"/>
              <w:right w:val="nil"/>
            </w:tcBorders>
          </w:tcPr>
          <w:p w14:paraId="44C5C94B" w14:textId="77777777" w:rsidR="0081446C" w:rsidRDefault="002452A6">
            <w:pPr>
              <w:spacing w:after="0" w:line="259" w:lineRule="auto"/>
              <w:ind w:left="145" w:firstLine="0"/>
              <w:jc w:val="left"/>
            </w:pPr>
            <w:r>
              <w:rPr>
                <w:sz w:val="13"/>
              </w:rPr>
              <w:t>2 450.70</w:t>
            </w:r>
          </w:p>
          <w:p w14:paraId="72C817BD" w14:textId="77777777" w:rsidR="0081446C" w:rsidRDefault="002452A6">
            <w:pPr>
              <w:spacing w:after="0" w:line="259" w:lineRule="auto"/>
              <w:ind w:left="145" w:firstLine="0"/>
              <w:jc w:val="left"/>
            </w:pPr>
            <w:r>
              <w:rPr>
                <w:sz w:val="13"/>
              </w:rPr>
              <w:t>2 451.25</w:t>
            </w:r>
          </w:p>
          <w:p w14:paraId="0143912B" w14:textId="77777777" w:rsidR="0081446C" w:rsidRDefault="002452A6">
            <w:pPr>
              <w:spacing w:after="0" w:line="259" w:lineRule="auto"/>
              <w:ind w:left="145" w:firstLine="0"/>
              <w:jc w:val="left"/>
            </w:pPr>
            <w:r>
              <w:rPr>
                <w:sz w:val="13"/>
              </w:rPr>
              <w:t>2 451.75</w:t>
            </w:r>
          </w:p>
          <w:p w14:paraId="1824DA7E" w14:textId="77777777" w:rsidR="0081446C" w:rsidRDefault="002452A6">
            <w:pPr>
              <w:spacing w:after="0" w:line="259" w:lineRule="auto"/>
              <w:ind w:left="145" w:firstLine="0"/>
              <w:jc w:val="left"/>
            </w:pPr>
            <w:r>
              <w:rPr>
                <w:sz w:val="13"/>
              </w:rPr>
              <w:t>2 452.25</w:t>
            </w:r>
          </w:p>
          <w:p w14:paraId="58DECC45" w14:textId="77777777" w:rsidR="0081446C" w:rsidRDefault="002452A6">
            <w:pPr>
              <w:spacing w:after="0" w:line="259" w:lineRule="auto"/>
              <w:ind w:left="145" w:firstLine="0"/>
              <w:jc w:val="left"/>
            </w:pPr>
            <w:r>
              <w:rPr>
                <w:sz w:val="13"/>
              </w:rPr>
              <w:t>2 452.75</w:t>
            </w:r>
          </w:p>
        </w:tc>
        <w:tc>
          <w:tcPr>
            <w:tcW w:w="917" w:type="dxa"/>
            <w:tcBorders>
              <w:top w:val="nil"/>
              <w:left w:val="nil"/>
              <w:bottom w:val="nil"/>
              <w:right w:val="nil"/>
            </w:tcBorders>
          </w:tcPr>
          <w:p w14:paraId="764F56C1" w14:textId="77777777" w:rsidR="0081446C" w:rsidRDefault="002452A6">
            <w:pPr>
              <w:spacing w:after="0" w:line="239" w:lineRule="auto"/>
              <w:ind w:left="232" w:right="302" w:firstLine="0"/>
              <w:jc w:val="left"/>
            </w:pPr>
            <w:r>
              <w:rPr>
                <w:sz w:val="13"/>
              </w:rPr>
              <w:t>7.2 7.5 8.2</w:t>
            </w:r>
          </w:p>
          <w:p w14:paraId="5CC030FC" w14:textId="77777777" w:rsidR="0081446C" w:rsidRDefault="002452A6">
            <w:pPr>
              <w:spacing w:after="0" w:line="259" w:lineRule="auto"/>
              <w:ind w:left="232" w:firstLine="0"/>
              <w:jc w:val="left"/>
            </w:pPr>
            <w:r>
              <w:rPr>
                <w:sz w:val="13"/>
              </w:rPr>
              <w:t>5.9</w:t>
            </w:r>
          </w:p>
          <w:p w14:paraId="54240B96" w14:textId="77777777" w:rsidR="0081446C" w:rsidRDefault="002452A6">
            <w:pPr>
              <w:spacing w:after="0" w:line="259" w:lineRule="auto"/>
              <w:ind w:left="175" w:firstLine="0"/>
              <w:jc w:val="left"/>
            </w:pPr>
            <w:r>
              <w:rPr>
                <w:sz w:val="13"/>
              </w:rPr>
              <w:t>10.1</w:t>
            </w:r>
          </w:p>
        </w:tc>
        <w:tc>
          <w:tcPr>
            <w:tcW w:w="729" w:type="dxa"/>
            <w:tcBorders>
              <w:top w:val="nil"/>
              <w:left w:val="nil"/>
              <w:bottom w:val="nil"/>
              <w:right w:val="nil"/>
            </w:tcBorders>
          </w:tcPr>
          <w:p w14:paraId="05DD63BF" w14:textId="77777777" w:rsidR="0081446C" w:rsidRDefault="002452A6">
            <w:pPr>
              <w:spacing w:after="0" w:line="239" w:lineRule="auto"/>
              <w:ind w:left="157" w:right="189" w:firstLine="0"/>
              <w:jc w:val="left"/>
            </w:pPr>
            <w:r>
              <w:rPr>
                <w:sz w:val="13"/>
              </w:rPr>
              <w:t>5.6 7.3 7.0 6.1</w:t>
            </w:r>
          </w:p>
          <w:p w14:paraId="1948393B" w14:textId="77777777" w:rsidR="0081446C" w:rsidRDefault="002452A6">
            <w:pPr>
              <w:spacing w:after="0" w:line="259" w:lineRule="auto"/>
              <w:ind w:left="157" w:firstLine="0"/>
              <w:jc w:val="left"/>
            </w:pPr>
            <w:r>
              <w:rPr>
                <w:sz w:val="13"/>
              </w:rPr>
              <w:t>8.1</w:t>
            </w:r>
          </w:p>
        </w:tc>
        <w:tc>
          <w:tcPr>
            <w:tcW w:w="850" w:type="dxa"/>
            <w:tcBorders>
              <w:top w:val="nil"/>
              <w:left w:val="nil"/>
              <w:bottom w:val="nil"/>
              <w:right w:val="nil"/>
            </w:tcBorders>
          </w:tcPr>
          <w:p w14:paraId="02C851AC" w14:textId="77777777" w:rsidR="0081446C" w:rsidRDefault="002452A6">
            <w:pPr>
              <w:spacing w:after="0" w:line="239" w:lineRule="auto"/>
              <w:ind w:left="278" w:right="189" w:firstLine="0"/>
              <w:jc w:val="left"/>
            </w:pPr>
            <w:r>
              <w:rPr>
                <w:sz w:val="13"/>
              </w:rPr>
              <w:t>2.5 2.5 2.5 2.5</w:t>
            </w:r>
          </w:p>
          <w:p w14:paraId="59F1E0AA" w14:textId="77777777" w:rsidR="0081446C" w:rsidRDefault="002452A6">
            <w:pPr>
              <w:spacing w:after="0" w:line="259" w:lineRule="auto"/>
              <w:ind w:left="278" w:firstLine="0"/>
              <w:jc w:val="left"/>
            </w:pPr>
            <w:r>
              <w:rPr>
                <w:sz w:val="13"/>
              </w:rPr>
              <w:t>2.4</w:t>
            </w:r>
          </w:p>
        </w:tc>
        <w:tc>
          <w:tcPr>
            <w:tcW w:w="900" w:type="dxa"/>
            <w:tcBorders>
              <w:top w:val="nil"/>
              <w:left w:val="nil"/>
              <w:bottom w:val="nil"/>
              <w:right w:val="nil"/>
            </w:tcBorders>
          </w:tcPr>
          <w:p w14:paraId="2F44C7E8" w14:textId="77777777" w:rsidR="0081446C" w:rsidRDefault="002452A6">
            <w:pPr>
              <w:spacing w:after="0" w:line="239" w:lineRule="auto"/>
              <w:ind w:left="278" w:right="239" w:firstLine="0"/>
              <w:jc w:val="left"/>
            </w:pPr>
            <w:r>
              <w:rPr>
                <w:sz w:val="13"/>
              </w:rPr>
              <w:t>4.7 5.0 5.7 3.4</w:t>
            </w:r>
          </w:p>
          <w:p w14:paraId="7CB5DA35" w14:textId="77777777" w:rsidR="0081446C" w:rsidRDefault="002452A6">
            <w:pPr>
              <w:spacing w:after="0" w:line="259" w:lineRule="auto"/>
              <w:ind w:left="278" w:firstLine="0"/>
              <w:jc w:val="left"/>
            </w:pPr>
            <w:r>
              <w:rPr>
                <w:sz w:val="13"/>
              </w:rPr>
              <w:t>7.7</w:t>
            </w:r>
          </w:p>
        </w:tc>
        <w:tc>
          <w:tcPr>
            <w:tcW w:w="799" w:type="dxa"/>
            <w:tcBorders>
              <w:top w:val="nil"/>
              <w:left w:val="nil"/>
              <w:bottom w:val="nil"/>
              <w:right w:val="nil"/>
            </w:tcBorders>
          </w:tcPr>
          <w:p w14:paraId="678115AB" w14:textId="77777777" w:rsidR="0081446C" w:rsidRDefault="002452A6">
            <w:pPr>
              <w:spacing w:after="0" w:line="239" w:lineRule="auto"/>
              <w:ind w:left="278" w:right="138" w:firstLine="0"/>
              <w:jc w:val="left"/>
            </w:pPr>
            <w:r>
              <w:rPr>
                <w:sz w:val="13"/>
              </w:rPr>
              <w:t>3.1 4.8 4.5 3.6</w:t>
            </w:r>
          </w:p>
          <w:p w14:paraId="5E29290C" w14:textId="77777777" w:rsidR="0081446C" w:rsidRDefault="002452A6">
            <w:pPr>
              <w:spacing w:after="0" w:line="259" w:lineRule="auto"/>
              <w:ind w:left="278" w:firstLine="0"/>
              <w:jc w:val="left"/>
            </w:pPr>
            <w:r>
              <w:rPr>
                <w:sz w:val="13"/>
              </w:rPr>
              <w:t>5.7</w:t>
            </w:r>
          </w:p>
        </w:tc>
      </w:tr>
      <w:tr w:rsidR="0081446C" w14:paraId="5AD3BED5" w14:textId="77777777">
        <w:trPr>
          <w:trHeight w:val="801"/>
        </w:trPr>
        <w:tc>
          <w:tcPr>
            <w:tcW w:w="845" w:type="dxa"/>
            <w:tcBorders>
              <w:top w:val="nil"/>
              <w:left w:val="nil"/>
              <w:bottom w:val="single" w:sz="4" w:space="0" w:color="181717"/>
              <w:right w:val="nil"/>
            </w:tcBorders>
          </w:tcPr>
          <w:p w14:paraId="04421979" w14:textId="77777777" w:rsidR="0081446C" w:rsidRDefault="002452A6">
            <w:pPr>
              <w:spacing w:after="0" w:line="259" w:lineRule="auto"/>
              <w:ind w:left="145" w:firstLine="0"/>
              <w:jc w:val="left"/>
            </w:pPr>
            <w:r>
              <w:rPr>
                <w:sz w:val="13"/>
              </w:rPr>
              <w:t>2 453.25</w:t>
            </w:r>
          </w:p>
          <w:p w14:paraId="76D7D899" w14:textId="77777777" w:rsidR="0081446C" w:rsidRDefault="002452A6">
            <w:pPr>
              <w:spacing w:after="0" w:line="259" w:lineRule="auto"/>
              <w:ind w:left="145" w:firstLine="0"/>
              <w:jc w:val="left"/>
            </w:pPr>
            <w:r>
              <w:rPr>
                <w:sz w:val="13"/>
              </w:rPr>
              <w:t>2 453.35</w:t>
            </w:r>
          </w:p>
          <w:p w14:paraId="519D54C6" w14:textId="77777777" w:rsidR="0081446C" w:rsidRDefault="002452A6">
            <w:pPr>
              <w:spacing w:after="0" w:line="259" w:lineRule="auto"/>
              <w:ind w:left="145" w:firstLine="0"/>
              <w:jc w:val="left"/>
            </w:pPr>
            <w:r>
              <w:rPr>
                <w:sz w:val="13"/>
              </w:rPr>
              <w:t>2 467.82</w:t>
            </w:r>
          </w:p>
          <w:p w14:paraId="1BCA1F0D" w14:textId="77777777" w:rsidR="0081446C" w:rsidRDefault="002452A6">
            <w:pPr>
              <w:spacing w:after="0" w:line="259" w:lineRule="auto"/>
              <w:ind w:left="145" w:firstLine="0"/>
              <w:jc w:val="left"/>
            </w:pPr>
            <w:r>
              <w:rPr>
                <w:sz w:val="13"/>
              </w:rPr>
              <w:t>2 467.90</w:t>
            </w:r>
          </w:p>
          <w:p w14:paraId="3415F783" w14:textId="77777777" w:rsidR="0081446C" w:rsidRDefault="002452A6">
            <w:pPr>
              <w:spacing w:after="0" w:line="259" w:lineRule="auto"/>
              <w:ind w:left="145" w:firstLine="0"/>
              <w:jc w:val="left"/>
            </w:pPr>
            <w:r>
              <w:rPr>
                <w:sz w:val="13"/>
              </w:rPr>
              <w:t>2 468.02</w:t>
            </w:r>
          </w:p>
        </w:tc>
        <w:tc>
          <w:tcPr>
            <w:tcW w:w="917" w:type="dxa"/>
            <w:tcBorders>
              <w:top w:val="nil"/>
              <w:left w:val="nil"/>
              <w:bottom w:val="single" w:sz="4" w:space="0" w:color="181717"/>
              <w:right w:val="nil"/>
            </w:tcBorders>
          </w:tcPr>
          <w:p w14:paraId="49C5227F" w14:textId="77777777" w:rsidR="0081446C" w:rsidRDefault="002452A6">
            <w:pPr>
              <w:spacing w:after="0" w:line="259" w:lineRule="auto"/>
              <w:ind w:left="232" w:firstLine="0"/>
              <w:jc w:val="left"/>
            </w:pPr>
            <w:r>
              <w:rPr>
                <w:sz w:val="13"/>
              </w:rPr>
              <w:t>9.0</w:t>
            </w:r>
          </w:p>
          <w:p w14:paraId="2AC94E09" w14:textId="77777777" w:rsidR="0081446C" w:rsidRDefault="002452A6">
            <w:pPr>
              <w:spacing w:after="0" w:line="259" w:lineRule="auto"/>
              <w:ind w:left="175" w:firstLine="0"/>
              <w:jc w:val="left"/>
            </w:pPr>
            <w:r>
              <w:rPr>
                <w:sz w:val="13"/>
              </w:rPr>
              <w:t>11.2</w:t>
            </w:r>
          </w:p>
          <w:p w14:paraId="07C37854" w14:textId="77777777" w:rsidR="0081446C" w:rsidRDefault="002452A6">
            <w:pPr>
              <w:spacing w:after="0" w:line="259" w:lineRule="auto"/>
              <w:ind w:left="232" w:firstLine="0"/>
              <w:jc w:val="left"/>
            </w:pPr>
            <w:r>
              <w:rPr>
                <w:sz w:val="13"/>
              </w:rPr>
              <w:t>9.3</w:t>
            </w:r>
          </w:p>
          <w:p w14:paraId="70EBE5CF" w14:textId="77777777" w:rsidR="0081446C" w:rsidRDefault="002452A6">
            <w:pPr>
              <w:spacing w:after="0" w:line="259" w:lineRule="auto"/>
              <w:ind w:left="232" w:firstLine="0"/>
              <w:jc w:val="left"/>
            </w:pPr>
            <w:r>
              <w:rPr>
                <w:sz w:val="13"/>
              </w:rPr>
              <w:t>6.6</w:t>
            </w:r>
          </w:p>
          <w:p w14:paraId="24DC385A" w14:textId="77777777" w:rsidR="0081446C" w:rsidRDefault="002452A6">
            <w:pPr>
              <w:spacing w:after="0" w:line="259" w:lineRule="auto"/>
              <w:ind w:left="175" w:firstLine="0"/>
              <w:jc w:val="left"/>
            </w:pPr>
            <w:r>
              <w:rPr>
                <w:sz w:val="13"/>
              </w:rPr>
              <w:t>21.4</w:t>
            </w:r>
          </w:p>
        </w:tc>
        <w:tc>
          <w:tcPr>
            <w:tcW w:w="729" w:type="dxa"/>
            <w:tcBorders>
              <w:top w:val="nil"/>
              <w:left w:val="nil"/>
              <w:bottom w:val="single" w:sz="4" w:space="0" w:color="181717"/>
              <w:right w:val="nil"/>
            </w:tcBorders>
          </w:tcPr>
          <w:p w14:paraId="2F6A9BCE" w14:textId="77777777" w:rsidR="0081446C" w:rsidRDefault="002452A6">
            <w:pPr>
              <w:spacing w:after="0" w:line="239" w:lineRule="auto"/>
              <w:ind w:left="157" w:right="189" w:firstLine="0"/>
              <w:jc w:val="left"/>
            </w:pPr>
            <w:r>
              <w:rPr>
                <w:sz w:val="13"/>
              </w:rPr>
              <w:t>6.7 6.2 9.5</w:t>
            </w:r>
          </w:p>
          <w:p w14:paraId="27E7EFC6" w14:textId="77777777" w:rsidR="0081446C" w:rsidRDefault="002452A6">
            <w:pPr>
              <w:spacing w:after="0" w:line="259" w:lineRule="auto"/>
              <w:ind w:left="157" w:firstLine="0"/>
              <w:jc w:val="left"/>
            </w:pPr>
            <w:r>
              <w:rPr>
                <w:sz w:val="13"/>
              </w:rPr>
              <w:t>7.4</w:t>
            </w:r>
          </w:p>
          <w:p w14:paraId="07E652C7" w14:textId="77777777" w:rsidR="0081446C" w:rsidRDefault="002452A6">
            <w:pPr>
              <w:spacing w:after="0" w:line="259" w:lineRule="auto"/>
              <w:ind w:left="100" w:firstLine="0"/>
              <w:jc w:val="left"/>
            </w:pPr>
            <w:r>
              <w:rPr>
                <w:sz w:val="13"/>
              </w:rPr>
              <w:t>22.4</w:t>
            </w:r>
          </w:p>
        </w:tc>
        <w:tc>
          <w:tcPr>
            <w:tcW w:w="850" w:type="dxa"/>
            <w:tcBorders>
              <w:top w:val="nil"/>
              <w:left w:val="nil"/>
              <w:bottom w:val="single" w:sz="4" w:space="0" w:color="181717"/>
              <w:right w:val="nil"/>
            </w:tcBorders>
          </w:tcPr>
          <w:p w14:paraId="2A025996" w14:textId="77777777" w:rsidR="0081446C" w:rsidRDefault="002452A6">
            <w:pPr>
              <w:spacing w:after="0" w:line="239" w:lineRule="auto"/>
              <w:ind w:left="278" w:right="189" w:firstLine="0"/>
              <w:jc w:val="left"/>
            </w:pPr>
            <w:r>
              <w:rPr>
                <w:sz w:val="13"/>
              </w:rPr>
              <w:t>2.4 2.4 2.6 2.5</w:t>
            </w:r>
          </w:p>
          <w:p w14:paraId="3733994C" w14:textId="77777777" w:rsidR="0081446C" w:rsidRDefault="002452A6">
            <w:pPr>
              <w:spacing w:after="0" w:line="259" w:lineRule="auto"/>
              <w:ind w:left="278" w:firstLine="0"/>
              <w:jc w:val="left"/>
            </w:pPr>
            <w:r>
              <w:rPr>
                <w:sz w:val="13"/>
              </w:rPr>
              <w:t>2.3</w:t>
            </w:r>
          </w:p>
        </w:tc>
        <w:tc>
          <w:tcPr>
            <w:tcW w:w="900" w:type="dxa"/>
            <w:tcBorders>
              <w:top w:val="nil"/>
              <w:left w:val="nil"/>
              <w:bottom w:val="single" w:sz="4" w:space="0" w:color="181717"/>
              <w:right w:val="nil"/>
            </w:tcBorders>
          </w:tcPr>
          <w:p w14:paraId="518CCF3A" w14:textId="77777777" w:rsidR="0081446C" w:rsidRDefault="002452A6">
            <w:pPr>
              <w:spacing w:after="0" w:line="239" w:lineRule="auto"/>
              <w:ind w:left="278" w:right="239" w:firstLine="0"/>
              <w:jc w:val="left"/>
            </w:pPr>
            <w:r>
              <w:rPr>
                <w:sz w:val="13"/>
              </w:rPr>
              <w:t>6.6 8.8 6.7</w:t>
            </w:r>
          </w:p>
          <w:p w14:paraId="21F6BD03" w14:textId="77777777" w:rsidR="0081446C" w:rsidRDefault="002452A6">
            <w:pPr>
              <w:spacing w:after="0" w:line="259" w:lineRule="auto"/>
              <w:ind w:left="278" w:firstLine="0"/>
              <w:jc w:val="left"/>
            </w:pPr>
            <w:r>
              <w:rPr>
                <w:sz w:val="13"/>
              </w:rPr>
              <w:t>4.1</w:t>
            </w:r>
          </w:p>
          <w:p w14:paraId="11BDE6DF" w14:textId="77777777" w:rsidR="0081446C" w:rsidRDefault="002452A6">
            <w:pPr>
              <w:spacing w:after="0" w:line="259" w:lineRule="auto"/>
              <w:ind w:left="221" w:firstLine="0"/>
              <w:jc w:val="left"/>
            </w:pPr>
            <w:r>
              <w:rPr>
                <w:sz w:val="13"/>
              </w:rPr>
              <w:t>19.1</w:t>
            </w:r>
          </w:p>
        </w:tc>
        <w:tc>
          <w:tcPr>
            <w:tcW w:w="799" w:type="dxa"/>
            <w:tcBorders>
              <w:top w:val="nil"/>
              <w:left w:val="nil"/>
              <w:bottom w:val="single" w:sz="4" w:space="0" w:color="181717"/>
              <w:right w:val="nil"/>
            </w:tcBorders>
          </w:tcPr>
          <w:p w14:paraId="3D4EB721" w14:textId="77777777" w:rsidR="0081446C" w:rsidRDefault="002452A6">
            <w:pPr>
              <w:spacing w:after="0" w:line="239" w:lineRule="auto"/>
              <w:ind w:left="278" w:right="138" w:firstLine="0"/>
              <w:jc w:val="left"/>
            </w:pPr>
            <w:r>
              <w:rPr>
                <w:sz w:val="13"/>
              </w:rPr>
              <w:t>4.3 3.8 6.9</w:t>
            </w:r>
          </w:p>
          <w:p w14:paraId="0FD436B9" w14:textId="77777777" w:rsidR="0081446C" w:rsidRDefault="002452A6">
            <w:pPr>
              <w:spacing w:after="0" w:line="259" w:lineRule="auto"/>
              <w:ind w:left="278" w:firstLine="0"/>
              <w:jc w:val="left"/>
            </w:pPr>
            <w:r>
              <w:rPr>
                <w:sz w:val="13"/>
              </w:rPr>
              <w:t>4.9</w:t>
            </w:r>
          </w:p>
          <w:p w14:paraId="5B44007E" w14:textId="77777777" w:rsidR="0081446C" w:rsidRDefault="002452A6">
            <w:pPr>
              <w:spacing w:after="0" w:line="259" w:lineRule="auto"/>
              <w:ind w:left="221" w:firstLine="0"/>
              <w:jc w:val="left"/>
            </w:pPr>
            <w:r>
              <w:rPr>
                <w:sz w:val="13"/>
              </w:rPr>
              <w:t>20.2</w:t>
            </w:r>
          </w:p>
        </w:tc>
      </w:tr>
    </w:tbl>
    <w:p w14:paraId="084CE226" w14:textId="77777777" w:rsidR="0081446C" w:rsidRDefault="002452A6">
      <w:pPr>
        <w:tabs>
          <w:tab w:val="center" w:pos="2520"/>
          <w:tab w:val="right" w:pos="10323"/>
        </w:tabs>
        <w:spacing w:after="89" w:line="259" w:lineRule="auto"/>
        <w:ind w:left="0" w:firstLine="0"/>
        <w:jc w:val="left"/>
      </w:pPr>
      <w:r>
        <w:rPr>
          <w:rFonts w:ascii="Calibri" w:eastAsia="Calibri" w:hAnsi="Calibri" w:cs="Calibri"/>
          <w:color w:val="000000"/>
          <w:sz w:val="22"/>
        </w:rPr>
        <w:lastRenderedPageBreak/>
        <w:tab/>
      </w:r>
      <w:r>
        <w:rPr>
          <w:sz w:val="17"/>
        </w:rPr>
        <w:t>T</w:t>
      </w:r>
      <w:r>
        <w:rPr>
          <w:sz w:val="12"/>
        </w:rPr>
        <w:t xml:space="preserve">ABLE </w:t>
      </w:r>
      <w:r>
        <w:rPr>
          <w:sz w:val="17"/>
        </w:rPr>
        <w:t>2.—</w:t>
      </w:r>
      <w:r>
        <w:rPr>
          <w:i/>
          <w:sz w:val="17"/>
        </w:rPr>
        <w:t>Quartz cement contents, well 7120/6-1.</w:t>
      </w:r>
      <w:r>
        <w:rPr>
          <w:i/>
          <w:sz w:val="17"/>
        </w:rPr>
        <w:tab/>
      </w:r>
      <w:r>
        <w:rPr>
          <w:noProof/>
        </w:rPr>
        <w:drawing>
          <wp:inline distT="0" distB="0" distL="0" distR="0" wp14:anchorId="51235540" wp14:editId="538A4CC5">
            <wp:extent cx="3201160" cy="2362200"/>
            <wp:effectExtent l="0" t="0" r="0" b="0"/>
            <wp:docPr id="1647" name="Picture 1647"/>
            <wp:cNvGraphicFramePr/>
            <a:graphic xmlns:a="http://schemas.openxmlformats.org/drawingml/2006/main">
              <a:graphicData uri="http://schemas.openxmlformats.org/drawingml/2006/picture">
                <pic:pic xmlns:pic="http://schemas.openxmlformats.org/drawingml/2006/picture">
                  <pic:nvPicPr>
                    <pic:cNvPr id="1647" name="Picture 1647"/>
                    <pic:cNvPicPr/>
                  </pic:nvPicPr>
                  <pic:blipFill>
                    <a:blip r:embed="rId20"/>
                    <a:stretch>
                      <a:fillRect/>
                    </a:stretch>
                  </pic:blipFill>
                  <pic:spPr>
                    <a:xfrm>
                      <a:off x="0" y="0"/>
                      <a:ext cx="3201160" cy="2362200"/>
                    </a:xfrm>
                    <a:prstGeom prst="rect">
                      <a:avLst/>
                    </a:prstGeom>
                  </pic:spPr>
                </pic:pic>
              </a:graphicData>
            </a:graphic>
          </wp:inline>
        </w:drawing>
      </w:r>
    </w:p>
    <w:p w14:paraId="088C8D72" w14:textId="77777777" w:rsidR="0081446C" w:rsidRDefault="002452A6">
      <w:pPr>
        <w:spacing w:after="256" w:line="229" w:lineRule="auto"/>
        <w:ind w:left="0" w:firstLine="138"/>
      </w:pPr>
      <w:r>
        <w:rPr>
          <w:sz w:val="17"/>
        </w:rPr>
        <w:t>F</w:t>
      </w:r>
      <w:r>
        <w:rPr>
          <w:sz w:val="12"/>
        </w:rPr>
        <w:t>IG</w:t>
      </w:r>
      <w:r>
        <w:rPr>
          <w:sz w:val="17"/>
        </w:rPr>
        <w:t xml:space="preserve">. </w:t>
      </w:r>
      <w:proofErr w:type="gramStart"/>
      <w:r>
        <w:rPr>
          <w:sz w:val="17"/>
        </w:rPr>
        <w:t>9.—</w:t>
      </w:r>
      <w:proofErr w:type="gramEnd"/>
      <w:r>
        <w:rPr>
          <w:sz w:val="17"/>
        </w:rPr>
        <w:t>Quartz cement volume corrected for inherited overgrowths as a function of distance from the nearest stylolite. The sample 2434.00 is left out owing to disintegration of part of the core, making it impossible</w:t>
      </w:r>
      <w:r>
        <w:rPr>
          <w:sz w:val="17"/>
        </w:rPr>
        <w:t xml:space="preserve"> to be certain of distance to nearest stylolite.</w:t>
      </w:r>
    </w:p>
    <w:tbl>
      <w:tblPr>
        <w:tblStyle w:val="TableGrid"/>
        <w:tblW w:w="10324" w:type="dxa"/>
        <w:tblInd w:w="0" w:type="dxa"/>
        <w:tblCellMar>
          <w:top w:w="0" w:type="dxa"/>
          <w:left w:w="0" w:type="dxa"/>
          <w:bottom w:w="0" w:type="dxa"/>
          <w:right w:w="0" w:type="dxa"/>
        </w:tblCellMar>
        <w:tblLook w:val="04A0" w:firstRow="1" w:lastRow="0" w:firstColumn="1" w:lastColumn="0" w:noHBand="0" w:noVBand="1"/>
      </w:tblPr>
      <w:tblGrid>
        <w:gridCol w:w="5280"/>
        <w:gridCol w:w="5044"/>
      </w:tblGrid>
      <w:tr w:rsidR="0081446C" w14:paraId="33560FFB" w14:textId="77777777">
        <w:trPr>
          <w:trHeight w:val="2691"/>
        </w:trPr>
        <w:tc>
          <w:tcPr>
            <w:tcW w:w="5280" w:type="dxa"/>
            <w:tcBorders>
              <w:top w:val="nil"/>
              <w:left w:val="nil"/>
              <w:bottom w:val="nil"/>
              <w:right w:val="nil"/>
            </w:tcBorders>
            <w:vAlign w:val="center"/>
          </w:tcPr>
          <w:p w14:paraId="131B0663" w14:textId="77777777" w:rsidR="0081446C" w:rsidRDefault="002452A6">
            <w:pPr>
              <w:spacing w:after="25" w:line="229" w:lineRule="auto"/>
              <w:ind w:left="0" w:right="237" w:firstLine="0"/>
            </w:pPr>
            <w:r>
              <w:t>modeling, but because the volume of diagenetic cements other than quartz is very low (Table 1), this is of little practical significance in the present case.</w:t>
            </w:r>
          </w:p>
          <w:p w14:paraId="0ED0D1BE" w14:textId="77777777" w:rsidR="0081446C" w:rsidRDefault="002452A6">
            <w:pPr>
              <w:spacing w:after="0" w:line="259" w:lineRule="auto"/>
              <w:ind w:left="0" w:right="236" w:firstLine="166"/>
            </w:pPr>
            <w:r>
              <w:t>Exemplar</w:t>
            </w:r>
            <w:r>
              <w:rPr>
                <w:rFonts w:ascii="Calibri" w:eastAsia="Calibri" w:hAnsi="Calibri" w:cs="Calibri"/>
              </w:rPr>
              <w:t xml:space="preserve">y </w:t>
            </w:r>
            <w:r>
              <w:t>models mechanical compaction as a funct</w:t>
            </w:r>
            <w:r>
              <w:t xml:space="preserve">ion of effective stress (Smith 1971; </w:t>
            </w:r>
            <w:proofErr w:type="spellStart"/>
            <w:r>
              <w:t>Ungerer</w:t>
            </w:r>
            <w:proofErr w:type="spellEnd"/>
            <w:r>
              <w:t xml:space="preserve"> et al. 1990) but includes options for terminating mechanical compaction when a user-specified minimum intergranular volume is reached or when a volume of quartz cement considered sufficient to stop further mecha</w:t>
            </w:r>
            <w:r>
              <w:t xml:space="preserve">nical compaction has been precipitated. In the present case intergranular volumes are known from the point counts, and mechanical compaction was terminated when the measured </w:t>
            </w:r>
            <w:proofErr w:type="spellStart"/>
            <w:r>
              <w:t>intergran</w:t>
            </w:r>
            <w:proofErr w:type="spellEnd"/>
            <w:r>
              <w:t>-</w:t>
            </w:r>
          </w:p>
        </w:tc>
        <w:tc>
          <w:tcPr>
            <w:tcW w:w="5044" w:type="dxa"/>
            <w:tcBorders>
              <w:top w:val="nil"/>
              <w:left w:val="nil"/>
              <w:bottom w:val="nil"/>
              <w:right w:val="nil"/>
            </w:tcBorders>
          </w:tcPr>
          <w:p w14:paraId="7C0B2E53" w14:textId="77777777" w:rsidR="0081446C" w:rsidRDefault="002452A6">
            <w:pPr>
              <w:spacing w:after="0" w:line="229" w:lineRule="auto"/>
              <w:ind w:left="0" w:firstLine="0"/>
            </w:pPr>
            <w:proofErr w:type="spellStart"/>
            <w:r>
              <w:t>ular</w:t>
            </w:r>
            <w:proofErr w:type="spellEnd"/>
            <w:r>
              <w:t xml:space="preserve"> volumes were reached. Intergranular volume was defined as the sum of primary intergranular porosity, diagenetic cements, and detrital clay matrix. This gives a range of intergranular volumes from 28.8% to 36.9% in the upper relatively clay-rich interv</w:t>
            </w:r>
            <w:r>
              <w:t xml:space="preserve">al and from 25.7% to 32.8% in the underlying extremely clay-poor interval. Mean intergranular volumes for the two intervals are 31.6% and 28.3%. Intergranular volume does not vary systematically as a function of distance to nearest stylolite in the almost </w:t>
            </w:r>
            <w:r>
              <w:t>clay-free interval.</w:t>
            </w:r>
          </w:p>
          <w:p w14:paraId="53FD3138" w14:textId="77777777" w:rsidR="0081446C" w:rsidRDefault="002452A6">
            <w:pPr>
              <w:spacing w:after="0" w:line="259" w:lineRule="auto"/>
              <w:ind w:left="0" w:firstLine="166"/>
            </w:pPr>
            <w:proofErr w:type="gramStart"/>
            <w:r>
              <w:t>On the basis of</w:t>
            </w:r>
            <w:proofErr w:type="gramEnd"/>
            <w:r>
              <w:t xml:space="preserve"> previous modeling experience, the activation energy for quartz precipitation was set to 60.0 kJ/mole, and the pre-exponential constant </w:t>
            </w:r>
            <w:proofErr w:type="spellStart"/>
            <w:r>
              <w:rPr>
                <w:rFonts w:ascii="Calibri" w:eastAsia="Calibri" w:hAnsi="Calibri" w:cs="Calibri"/>
              </w:rPr>
              <w:t>a</w:t>
            </w:r>
            <w:r>
              <w:t>in</w:t>
            </w:r>
            <w:proofErr w:type="spellEnd"/>
            <w:r>
              <w:t xml:space="preserve"> Equation 4 to 5.0 </w:t>
            </w:r>
            <w:r>
              <w:rPr>
                <w:rFonts w:ascii="Calibri" w:eastAsia="Calibri" w:hAnsi="Calibri" w:cs="Calibri"/>
              </w:rPr>
              <w:t xml:space="preserve">3 </w:t>
            </w:r>
            <w:r>
              <w:t>10</w:t>
            </w:r>
            <w:r>
              <w:rPr>
                <w:rFonts w:ascii="Calibri" w:eastAsia="Calibri" w:hAnsi="Calibri" w:cs="Calibri"/>
                <w:sz w:val="16"/>
                <w:vertAlign w:val="superscript"/>
              </w:rPr>
              <w:t>2</w:t>
            </w:r>
            <w:r>
              <w:rPr>
                <w:sz w:val="18"/>
                <w:vertAlign w:val="superscript"/>
              </w:rPr>
              <w:t xml:space="preserve">12 </w:t>
            </w:r>
            <w:r>
              <w:t>moles/cm</w:t>
            </w:r>
            <w:r>
              <w:rPr>
                <w:sz w:val="18"/>
                <w:vertAlign w:val="superscript"/>
              </w:rPr>
              <w:t>2</w:t>
            </w:r>
            <w:r>
              <w:t>s. Significant quartz cement is typically not present at temperatures below 70–80</w:t>
            </w:r>
            <w:r>
              <w:rPr>
                <w:rFonts w:ascii="Calibri" w:eastAsia="Calibri" w:hAnsi="Calibri" w:cs="Calibri"/>
              </w:rPr>
              <w:t>8</w:t>
            </w:r>
            <w:r>
              <w:t>C on the Norwegian continental shelf (</w:t>
            </w:r>
            <w:proofErr w:type="spellStart"/>
            <w:r>
              <w:t>Bjørlykke</w:t>
            </w:r>
            <w:proofErr w:type="spellEnd"/>
            <w:r>
              <w:t xml:space="preserve"> et al. 1992; Ehrenberg 1990; </w:t>
            </w:r>
            <w:proofErr w:type="spellStart"/>
            <w:r>
              <w:t>Walderhaug</w:t>
            </w:r>
            <w:proofErr w:type="spellEnd"/>
          </w:p>
        </w:tc>
      </w:tr>
    </w:tbl>
    <w:p w14:paraId="07AFD379" w14:textId="77777777" w:rsidR="0081446C" w:rsidRDefault="002452A6">
      <w:pPr>
        <w:spacing w:after="3911"/>
        <w:ind w:left="528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8480" behindDoc="0" locked="0" layoutInCell="1" allowOverlap="1" wp14:anchorId="7BAFF735" wp14:editId="28AB9DB2">
                <wp:simplePos x="0" y="0"/>
                <wp:positionH relativeFrom="column">
                  <wp:posOffset>-2</wp:posOffset>
                </wp:positionH>
                <wp:positionV relativeFrom="paragraph">
                  <wp:posOffset>35595</wp:posOffset>
                </wp:positionV>
                <wp:extent cx="6547199" cy="3149600"/>
                <wp:effectExtent l="0" t="0" r="0" b="0"/>
                <wp:wrapSquare wrapText="bothSides"/>
                <wp:docPr id="23890" name="Group 23890"/>
                <wp:cNvGraphicFramePr/>
                <a:graphic xmlns:a="http://schemas.openxmlformats.org/drawingml/2006/main">
                  <a:graphicData uri="http://schemas.microsoft.com/office/word/2010/wordprocessingGroup">
                    <wpg:wgp>
                      <wpg:cNvGrpSpPr/>
                      <wpg:grpSpPr>
                        <a:xfrm>
                          <a:off x="0" y="0"/>
                          <a:ext cx="6547199" cy="3149600"/>
                          <a:chOff x="0" y="0"/>
                          <a:chExt cx="6547199" cy="3149600"/>
                        </a:xfrm>
                      </wpg:grpSpPr>
                      <pic:pic xmlns:pic="http://schemas.openxmlformats.org/drawingml/2006/picture">
                        <pic:nvPicPr>
                          <pic:cNvPr id="1654" name="Picture 1654"/>
                          <pic:cNvPicPr/>
                        </pic:nvPicPr>
                        <pic:blipFill>
                          <a:blip r:embed="rId21"/>
                          <a:stretch>
                            <a:fillRect/>
                          </a:stretch>
                        </pic:blipFill>
                        <pic:spPr>
                          <a:xfrm>
                            <a:off x="0" y="0"/>
                            <a:ext cx="3202688" cy="3149600"/>
                          </a:xfrm>
                          <a:prstGeom prst="rect">
                            <a:avLst/>
                          </a:prstGeom>
                        </pic:spPr>
                      </pic:pic>
                      <pic:pic xmlns:pic="http://schemas.openxmlformats.org/drawingml/2006/picture">
                        <pic:nvPicPr>
                          <pic:cNvPr id="1659" name="Picture 1659"/>
                          <pic:cNvPicPr/>
                        </pic:nvPicPr>
                        <pic:blipFill>
                          <a:blip r:embed="rId22"/>
                          <a:stretch>
                            <a:fillRect/>
                          </a:stretch>
                        </pic:blipFill>
                        <pic:spPr>
                          <a:xfrm>
                            <a:off x="3359150" y="863600"/>
                            <a:ext cx="3188049" cy="2171700"/>
                          </a:xfrm>
                          <a:prstGeom prst="rect">
                            <a:avLst/>
                          </a:prstGeom>
                        </pic:spPr>
                      </pic:pic>
                    </wpg:wgp>
                  </a:graphicData>
                </a:graphic>
              </wp:anchor>
            </w:drawing>
          </mc:Choice>
          <mc:Fallback xmlns:a="http://schemas.openxmlformats.org/drawingml/2006/main">
            <w:pict>
              <v:group id="Group 23890" style="width:515.527pt;height:248pt;position:absolute;mso-position-horizontal-relative:text;mso-position-horizontal:absolute;margin-left:-0.000198364pt;mso-position-vertical-relative:text;margin-top:2.80273pt;" coordsize="65471,31496">
                <v:shape id="Picture 1654" style="position:absolute;width:32026;height:31496;left:0;top:0;" filled="f">
                  <v:imagedata r:id="rId23"/>
                </v:shape>
                <v:shape id="Picture 1659" style="position:absolute;width:31880;height:21717;left:33591;top:8636;" filled="f">
                  <v:imagedata r:id="rId24"/>
                </v:shape>
                <w10:wrap type="square"/>
              </v:group>
            </w:pict>
          </mc:Fallback>
        </mc:AlternateContent>
      </w:r>
      <w:r>
        <w:t>1994), and modeling of quartz cementation was therefore initiated at 70</w:t>
      </w:r>
      <w:r>
        <w:rPr>
          <w:rFonts w:ascii="Calibri" w:eastAsia="Calibri" w:hAnsi="Calibri" w:cs="Calibri"/>
        </w:rPr>
        <w:t>8</w:t>
      </w:r>
      <w:r>
        <w:t>C. The obser</w:t>
      </w:r>
      <w:r>
        <w:t>ved grain coatings appear to consist of detrital clay, possibly with some diagenetic modification, and were modeled as being in place from one million years after deposition, i.e., long before quartz cementation started. The traces of pyrite and dolomite c</w:t>
      </w:r>
      <w:r>
        <w:t>ement present in some of the samples</w:t>
      </w:r>
    </w:p>
    <w:p w14:paraId="7F5080C6" w14:textId="77777777" w:rsidR="0081446C" w:rsidRDefault="002452A6">
      <w:pPr>
        <w:spacing w:after="0" w:line="259" w:lineRule="auto"/>
        <w:ind w:left="0" w:right="3" w:firstLine="0"/>
        <w:jc w:val="right"/>
      </w:pPr>
      <w:r>
        <w:rPr>
          <w:sz w:val="17"/>
        </w:rPr>
        <w:t>F</w:t>
      </w:r>
      <w:r>
        <w:rPr>
          <w:sz w:val="12"/>
        </w:rPr>
        <w:t>IG</w:t>
      </w:r>
      <w:r>
        <w:rPr>
          <w:sz w:val="17"/>
        </w:rPr>
        <w:t xml:space="preserve">. </w:t>
      </w:r>
      <w:proofErr w:type="gramStart"/>
      <w:r>
        <w:rPr>
          <w:sz w:val="17"/>
        </w:rPr>
        <w:t>10.—</w:t>
      </w:r>
      <w:proofErr w:type="gramEnd"/>
      <w:r>
        <w:rPr>
          <w:sz w:val="17"/>
        </w:rPr>
        <w:t>Quartz cement volume corrected for inherited overgrowths versus initial</w:t>
      </w:r>
    </w:p>
    <w:p w14:paraId="4E69387F" w14:textId="77777777" w:rsidR="0081446C" w:rsidRDefault="002452A6">
      <w:pPr>
        <w:spacing w:after="38" w:line="229" w:lineRule="auto"/>
        <w:ind w:left="0" w:firstLine="138"/>
      </w:pPr>
      <w:r>
        <w:rPr>
          <w:sz w:val="17"/>
        </w:rPr>
        <w:t>F</w:t>
      </w:r>
      <w:r>
        <w:rPr>
          <w:sz w:val="12"/>
        </w:rPr>
        <w:t>IG</w:t>
      </w:r>
      <w:r>
        <w:rPr>
          <w:sz w:val="17"/>
        </w:rPr>
        <w:t xml:space="preserve">. </w:t>
      </w:r>
      <w:proofErr w:type="gramStart"/>
      <w:r>
        <w:rPr>
          <w:sz w:val="17"/>
        </w:rPr>
        <w:t>8.—</w:t>
      </w:r>
      <w:proofErr w:type="gramEnd"/>
      <w:r>
        <w:rPr>
          <w:sz w:val="17"/>
        </w:rPr>
        <w:t>Quartz cement determined by point counting CL micrographs versus quartz surface area. The correlation coefficient is 0.65, which i</w:t>
      </w:r>
      <w:r>
        <w:rPr>
          <w:sz w:val="17"/>
        </w:rPr>
        <w:t>s significant at the quartz cement determined by standard point counting of thin sections. 95% confidence level.</w:t>
      </w:r>
    </w:p>
    <w:p w14:paraId="35A930B0" w14:textId="77777777" w:rsidR="0081446C" w:rsidRDefault="0081446C">
      <w:pPr>
        <w:sectPr w:rsidR="0081446C">
          <w:type w:val="continuous"/>
          <w:pgSz w:w="12240" w:h="15840"/>
          <w:pgMar w:top="1290" w:right="837" w:bottom="1323" w:left="1080" w:header="720" w:footer="720" w:gutter="0"/>
          <w:cols w:space="720"/>
        </w:sectPr>
      </w:pPr>
    </w:p>
    <w:p w14:paraId="36BD8D88" w14:textId="77777777" w:rsidR="0081446C" w:rsidRDefault="002452A6">
      <w:pPr>
        <w:spacing w:after="145" w:line="259" w:lineRule="auto"/>
        <w:ind w:left="0" w:firstLine="0"/>
        <w:jc w:val="left"/>
      </w:pPr>
      <w:r>
        <w:rPr>
          <w:noProof/>
        </w:rPr>
        <w:lastRenderedPageBreak/>
        <w:drawing>
          <wp:inline distT="0" distB="0" distL="0" distR="0" wp14:anchorId="5ACD8FCD" wp14:editId="1B129905">
            <wp:extent cx="3200781" cy="2768600"/>
            <wp:effectExtent l="0" t="0" r="0" b="0"/>
            <wp:docPr id="1736" name="Picture 1736"/>
            <wp:cNvGraphicFramePr/>
            <a:graphic xmlns:a="http://schemas.openxmlformats.org/drawingml/2006/main">
              <a:graphicData uri="http://schemas.openxmlformats.org/drawingml/2006/picture">
                <pic:pic xmlns:pic="http://schemas.openxmlformats.org/drawingml/2006/picture">
                  <pic:nvPicPr>
                    <pic:cNvPr id="1736" name="Picture 1736"/>
                    <pic:cNvPicPr/>
                  </pic:nvPicPr>
                  <pic:blipFill>
                    <a:blip r:embed="rId25"/>
                    <a:stretch>
                      <a:fillRect/>
                    </a:stretch>
                  </pic:blipFill>
                  <pic:spPr>
                    <a:xfrm>
                      <a:off x="0" y="0"/>
                      <a:ext cx="3200781" cy="2768600"/>
                    </a:xfrm>
                    <a:prstGeom prst="rect">
                      <a:avLst/>
                    </a:prstGeom>
                  </pic:spPr>
                </pic:pic>
              </a:graphicData>
            </a:graphic>
          </wp:inline>
        </w:drawing>
      </w:r>
    </w:p>
    <w:p w14:paraId="20EB59B9" w14:textId="77777777" w:rsidR="0081446C" w:rsidRDefault="002452A6">
      <w:pPr>
        <w:spacing w:after="403" w:line="229" w:lineRule="auto"/>
        <w:ind w:left="0" w:firstLine="138"/>
      </w:pPr>
      <w:r>
        <w:rPr>
          <w:sz w:val="17"/>
        </w:rPr>
        <w:t>F</w:t>
      </w:r>
      <w:r>
        <w:rPr>
          <w:sz w:val="12"/>
        </w:rPr>
        <w:t>IG</w:t>
      </w:r>
      <w:r>
        <w:rPr>
          <w:sz w:val="17"/>
        </w:rPr>
        <w:t xml:space="preserve">. </w:t>
      </w:r>
      <w:proofErr w:type="gramStart"/>
      <w:r>
        <w:rPr>
          <w:sz w:val="17"/>
        </w:rPr>
        <w:t>11.—</w:t>
      </w:r>
      <w:proofErr w:type="gramEnd"/>
      <w:r>
        <w:rPr>
          <w:sz w:val="17"/>
        </w:rPr>
        <w:t xml:space="preserve">Initial quartz surface area versus distance to nearest stylolite. Owing to finer grain size, quartz surface area for samples from the stylolite-rich interval above 2428 </w:t>
      </w:r>
      <w:proofErr w:type="spellStart"/>
      <w:r>
        <w:rPr>
          <w:sz w:val="17"/>
        </w:rPr>
        <w:t>mRKB</w:t>
      </w:r>
      <w:proofErr w:type="spellEnd"/>
      <w:r>
        <w:rPr>
          <w:sz w:val="17"/>
        </w:rPr>
        <w:t xml:space="preserve"> is normally higher than in the very clay-poor interval below. This could exp</w:t>
      </w:r>
      <w:r>
        <w:rPr>
          <w:sz w:val="17"/>
        </w:rPr>
        <w:t xml:space="preserve">lain why samples located only 1 cm from </w:t>
      </w:r>
      <w:proofErr w:type="spellStart"/>
      <w:r>
        <w:rPr>
          <w:sz w:val="17"/>
        </w:rPr>
        <w:t>stylolites</w:t>
      </w:r>
      <w:proofErr w:type="spellEnd"/>
      <w:r>
        <w:rPr>
          <w:sz w:val="17"/>
        </w:rPr>
        <w:t xml:space="preserve"> in the lower interval contain less quartz cement than the samples from the upper interval with abundant </w:t>
      </w:r>
      <w:proofErr w:type="spellStart"/>
      <w:r>
        <w:rPr>
          <w:sz w:val="17"/>
        </w:rPr>
        <w:t>stylolites</w:t>
      </w:r>
      <w:proofErr w:type="spellEnd"/>
      <w:r>
        <w:rPr>
          <w:sz w:val="17"/>
        </w:rPr>
        <w:t xml:space="preserve">. However, quartz surface area is quite constant below 2434 </w:t>
      </w:r>
      <w:proofErr w:type="spellStart"/>
      <w:r>
        <w:rPr>
          <w:sz w:val="17"/>
        </w:rPr>
        <w:t>mRKB</w:t>
      </w:r>
      <w:proofErr w:type="spellEnd"/>
      <w:r>
        <w:rPr>
          <w:sz w:val="17"/>
        </w:rPr>
        <w:t xml:space="preserve">, and variations in quartz </w:t>
      </w:r>
      <w:r>
        <w:rPr>
          <w:sz w:val="17"/>
        </w:rPr>
        <w:t xml:space="preserve">surface area therefore cannot be the cause of the clear decrease in contents of quartz cement outwards from </w:t>
      </w:r>
      <w:proofErr w:type="spellStart"/>
      <w:r>
        <w:rPr>
          <w:sz w:val="17"/>
        </w:rPr>
        <w:t>stylolites</w:t>
      </w:r>
      <w:proofErr w:type="spellEnd"/>
      <w:r>
        <w:rPr>
          <w:sz w:val="17"/>
        </w:rPr>
        <w:t xml:space="preserve"> in this lower interval.</w:t>
      </w:r>
    </w:p>
    <w:p w14:paraId="7FDDD456" w14:textId="77777777" w:rsidR="0081446C" w:rsidRDefault="002452A6">
      <w:pPr>
        <w:ind w:left="-15" w:firstLine="0"/>
      </w:pPr>
      <w:r>
        <w:t>were modeled as having formed within the first one million years after deposition.</w:t>
      </w:r>
    </w:p>
    <w:p w14:paraId="7C27E80A" w14:textId="77777777" w:rsidR="0081446C" w:rsidRDefault="002452A6">
      <w:pPr>
        <w:spacing w:after="163"/>
        <w:ind w:left="-15"/>
      </w:pPr>
      <w:r>
        <w:t>Owing to major uplift and eros</w:t>
      </w:r>
      <w:r>
        <w:t>ion, constructing a reliable temperature history from the present stratigraphy is possible only from the time of deposition to the Cenomanian. Preserved sediments younger than Cenomanian are of Campanian, Paleocene, and Pleistocene age. Judging by data fro</w:t>
      </w:r>
      <w:r>
        <w:t>m other wells and previous studies of uplift indicators in the area (Berglund et al. 1986; Nyland et al. 1992), it is most likely that little sediment was deposited in the Turonian to Santonian whereas considerable deposition and uplift may have taken plac</w:t>
      </w:r>
      <w:r>
        <w:t xml:space="preserve">e in the Campanian to Maastrichtian. However, the main episode of deep burial and uplift took place in the Tertiary. The measured homogenization temperatures for fluid inclusions in quartz overgrowths are, </w:t>
      </w:r>
      <w:proofErr w:type="gramStart"/>
      <w:r>
        <w:t>with the exception of</w:t>
      </w:r>
      <w:proofErr w:type="gramEnd"/>
      <w:r>
        <w:t xml:space="preserve"> data from a probable</w:t>
      </w:r>
    </w:p>
    <w:p w14:paraId="21FDD121" w14:textId="77777777" w:rsidR="0081446C" w:rsidRDefault="002452A6">
      <w:pPr>
        <w:spacing w:after="145" w:line="259" w:lineRule="auto"/>
        <w:ind w:left="0" w:firstLine="0"/>
        <w:jc w:val="left"/>
      </w:pPr>
      <w:r>
        <w:rPr>
          <w:noProof/>
        </w:rPr>
        <w:drawing>
          <wp:inline distT="0" distB="0" distL="0" distR="0" wp14:anchorId="33851DB9" wp14:editId="14D211EF">
            <wp:extent cx="3203066" cy="2235200"/>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26"/>
                    <a:stretch>
                      <a:fillRect/>
                    </a:stretch>
                  </pic:blipFill>
                  <pic:spPr>
                    <a:xfrm>
                      <a:off x="0" y="0"/>
                      <a:ext cx="3203066" cy="2235200"/>
                    </a:xfrm>
                    <a:prstGeom prst="rect">
                      <a:avLst/>
                    </a:prstGeom>
                  </pic:spPr>
                </pic:pic>
              </a:graphicData>
            </a:graphic>
          </wp:inline>
        </w:drawing>
      </w:r>
    </w:p>
    <w:p w14:paraId="214C9E74" w14:textId="77777777" w:rsidR="0081446C" w:rsidRDefault="002452A6">
      <w:pPr>
        <w:spacing w:after="0" w:line="259" w:lineRule="auto"/>
        <w:ind w:left="0" w:right="6" w:firstLine="0"/>
        <w:jc w:val="center"/>
      </w:pPr>
      <w:r>
        <w:rPr>
          <w:sz w:val="17"/>
        </w:rPr>
        <w:t>F</w:t>
      </w:r>
      <w:r>
        <w:rPr>
          <w:sz w:val="12"/>
        </w:rPr>
        <w:t>IG</w:t>
      </w:r>
      <w:r>
        <w:rPr>
          <w:sz w:val="17"/>
        </w:rPr>
        <w:t xml:space="preserve">. </w:t>
      </w:r>
      <w:r>
        <w:rPr>
          <w:sz w:val="17"/>
        </w:rPr>
        <w:t xml:space="preserve">12.—Temperature history for the </w:t>
      </w:r>
      <w:proofErr w:type="spellStart"/>
      <w:r>
        <w:rPr>
          <w:sz w:val="17"/>
        </w:rPr>
        <w:t>Stø</w:t>
      </w:r>
      <w:proofErr w:type="spellEnd"/>
      <w:r>
        <w:rPr>
          <w:sz w:val="17"/>
        </w:rPr>
        <w:t xml:space="preserve"> Formation in well 7120/6-1.</w:t>
      </w:r>
    </w:p>
    <w:p w14:paraId="13679C37" w14:textId="77777777" w:rsidR="0081446C" w:rsidRDefault="002452A6">
      <w:pPr>
        <w:spacing w:after="145" w:line="259" w:lineRule="auto"/>
        <w:ind w:left="-30" w:firstLine="0"/>
        <w:jc w:val="left"/>
      </w:pPr>
      <w:r>
        <w:rPr>
          <w:noProof/>
        </w:rPr>
        <w:drawing>
          <wp:inline distT="0" distB="0" distL="0" distR="0" wp14:anchorId="5A06BB7D" wp14:editId="4F53970E">
            <wp:extent cx="3240151" cy="2197100"/>
            <wp:effectExtent l="0" t="0" r="0" b="0"/>
            <wp:docPr id="1747" name="Picture 1747"/>
            <wp:cNvGraphicFramePr/>
            <a:graphic xmlns:a="http://schemas.openxmlformats.org/drawingml/2006/main">
              <a:graphicData uri="http://schemas.openxmlformats.org/drawingml/2006/picture">
                <pic:pic xmlns:pic="http://schemas.openxmlformats.org/drawingml/2006/picture">
                  <pic:nvPicPr>
                    <pic:cNvPr id="1747" name="Picture 1747"/>
                    <pic:cNvPicPr/>
                  </pic:nvPicPr>
                  <pic:blipFill>
                    <a:blip r:embed="rId27"/>
                    <a:stretch>
                      <a:fillRect/>
                    </a:stretch>
                  </pic:blipFill>
                  <pic:spPr>
                    <a:xfrm>
                      <a:off x="0" y="0"/>
                      <a:ext cx="3240151" cy="2197100"/>
                    </a:xfrm>
                    <a:prstGeom prst="rect">
                      <a:avLst/>
                    </a:prstGeom>
                  </pic:spPr>
                </pic:pic>
              </a:graphicData>
            </a:graphic>
          </wp:inline>
        </w:drawing>
      </w:r>
    </w:p>
    <w:p w14:paraId="08E095D1" w14:textId="77777777" w:rsidR="0081446C" w:rsidRDefault="002452A6">
      <w:pPr>
        <w:spacing w:after="528" w:line="229" w:lineRule="auto"/>
        <w:ind w:left="0" w:firstLine="138"/>
      </w:pPr>
      <w:r>
        <w:rPr>
          <w:sz w:val="17"/>
        </w:rPr>
        <w:t>F</w:t>
      </w:r>
      <w:r>
        <w:rPr>
          <w:sz w:val="12"/>
        </w:rPr>
        <w:t>IG</w:t>
      </w:r>
      <w:r>
        <w:rPr>
          <w:sz w:val="17"/>
        </w:rPr>
        <w:t xml:space="preserve">. </w:t>
      </w:r>
      <w:proofErr w:type="gramStart"/>
      <w:r>
        <w:rPr>
          <w:sz w:val="17"/>
        </w:rPr>
        <w:t>13.—</w:t>
      </w:r>
      <w:proofErr w:type="gramEnd"/>
      <w:r>
        <w:rPr>
          <w:sz w:val="17"/>
        </w:rPr>
        <w:t>Deviation between modeled and measured quartz cement versus distance to nearest stylolite.</w:t>
      </w:r>
    </w:p>
    <w:p w14:paraId="2AE0305E" w14:textId="77777777" w:rsidR="0081446C" w:rsidRDefault="002452A6">
      <w:pPr>
        <w:spacing w:after="124"/>
        <w:ind w:left="-15" w:right="240" w:firstLine="0"/>
      </w:pPr>
      <w:r>
        <w:t>inherited overgrowth, dominantly between 80</w:t>
      </w:r>
      <w:r>
        <w:rPr>
          <w:rFonts w:ascii="Calibri" w:eastAsia="Calibri" w:hAnsi="Calibri" w:cs="Calibri"/>
        </w:rPr>
        <w:t>8</w:t>
      </w:r>
      <w:r>
        <w:t>C and 106</w:t>
      </w:r>
      <w:r>
        <w:rPr>
          <w:rFonts w:ascii="Calibri" w:eastAsia="Calibri" w:hAnsi="Calibri" w:cs="Calibri"/>
        </w:rPr>
        <w:t>8</w:t>
      </w:r>
      <w:r>
        <w:t>C (Fig. 5), but because inclusions a</w:t>
      </w:r>
      <w:r>
        <w:t>re located close to the boundary between detrital grains and overgrowths, considerable quartz cement has precipitated after the trapping of the inclusions. This suggests that maximum burial temperatures may have been significantly above 106</w:t>
      </w:r>
      <w:r>
        <w:rPr>
          <w:rFonts w:ascii="Calibri" w:eastAsia="Calibri" w:hAnsi="Calibri" w:cs="Calibri"/>
        </w:rPr>
        <w:t>8</w:t>
      </w:r>
      <w:r>
        <w:t>C, and measurem</w:t>
      </w:r>
      <w:r>
        <w:t>ents of homogenization temperatures for hydrocarbon fluid inclusions in calcite cement in the neighboring well 7120/9-1 indicate maximum temperatures of around 125</w:t>
      </w:r>
      <w:r>
        <w:rPr>
          <w:rFonts w:ascii="Calibri" w:eastAsia="Calibri" w:hAnsi="Calibri" w:cs="Calibri"/>
        </w:rPr>
        <w:t>8</w:t>
      </w:r>
      <w:r>
        <w:t xml:space="preserve">C for the </w:t>
      </w:r>
      <w:proofErr w:type="spellStart"/>
      <w:r>
        <w:t>Stø</w:t>
      </w:r>
      <w:proofErr w:type="spellEnd"/>
      <w:r>
        <w:t xml:space="preserve"> Formation (</w:t>
      </w:r>
      <w:proofErr w:type="spellStart"/>
      <w:r>
        <w:t>Walderhaug</w:t>
      </w:r>
      <w:proofErr w:type="spellEnd"/>
      <w:r>
        <w:t xml:space="preserve"> 1992). Maximum temperature for the </w:t>
      </w:r>
      <w:proofErr w:type="spellStart"/>
      <w:r>
        <w:t>Stø</w:t>
      </w:r>
      <w:proofErr w:type="spellEnd"/>
      <w:r>
        <w:t xml:space="preserve"> Formation in well</w:t>
      </w:r>
      <w:r>
        <w:t xml:space="preserve"> 7120/6-1 is therefore considered to have been 125</w:t>
      </w:r>
      <w:r>
        <w:rPr>
          <w:rFonts w:ascii="Calibri" w:eastAsia="Calibri" w:hAnsi="Calibri" w:cs="Calibri"/>
        </w:rPr>
        <w:t>8</w:t>
      </w:r>
      <w:r>
        <w:t xml:space="preserve">C and to have occurred in the Tertiary, as has previously been suggested for this area by Nyland et al. (1992). </w:t>
      </w:r>
      <w:proofErr w:type="gramStart"/>
      <w:r>
        <w:t>Taking into account</w:t>
      </w:r>
      <w:proofErr w:type="gramEnd"/>
      <w:r>
        <w:t xml:space="preserve"> these constraints and at the same time requiring the temperature history </w:t>
      </w:r>
      <w:r>
        <w:t>to produce the observed volumes of quartz cement in the samples with normal stylolite abundance, the temperature history shown in Figure 12 is considered to be a reasonable estimate for the actual temperature history of the studied interval.</w:t>
      </w:r>
    </w:p>
    <w:p w14:paraId="75AC5DE3" w14:textId="77777777" w:rsidR="0081446C" w:rsidRDefault="002452A6">
      <w:pPr>
        <w:pStyle w:val="2"/>
        <w:ind w:left="248" w:right="481"/>
      </w:pPr>
      <w:r>
        <w:t>MODELING RESUL</w:t>
      </w:r>
      <w:r>
        <w:t>TS</w:t>
      </w:r>
    </w:p>
    <w:p w14:paraId="709AC233" w14:textId="77777777" w:rsidR="0081446C" w:rsidRDefault="002452A6">
      <w:pPr>
        <w:spacing w:after="234"/>
        <w:ind w:left="-15" w:right="242"/>
      </w:pPr>
      <w:r>
        <w:t xml:space="preserve">For samples located 3 cm or less from </w:t>
      </w:r>
      <w:proofErr w:type="spellStart"/>
      <w:r>
        <w:t>stylolites</w:t>
      </w:r>
      <w:proofErr w:type="spellEnd"/>
      <w:r>
        <w:t xml:space="preserve">, modeled quartz cement volumes are between 4% above and 4% below </w:t>
      </w:r>
      <w:r>
        <w:lastRenderedPageBreak/>
        <w:t xml:space="preserve">point-counted quartz cement volumes corrected for recycled overgrowths (Fig. 13). In contrast, quartz cement volumes are overpredicted for </w:t>
      </w:r>
      <w:r>
        <w:t xml:space="preserve">all samples located 5 cm or more from </w:t>
      </w:r>
      <w:proofErr w:type="spellStart"/>
      <w:r>
        <w:t>stylolites</w:t>
      </w:r>
      <w:proofErr w:type="spellEnd"/>
      <w:r>
        <w:t>. Overprediction is typically 5–8% of whole rock volume and does not seem to increase systematically for distances of more than 20 cm form the closest stylolite (Fig. 13). The difference between predicted and</w:t>
      </w:r>
      <w:r>
        <w:t xml:space="preserve"> measured quartz cement volumes does not appear to be a function of stylolite spacing, only distance to nearest stylolite, although a larger data base may be required to fully evaluate the effect of stylolite spacing.</w:t>
      </w:r>
    </w:p>
    <w:p w14:paraId="7C191EBA" w14:textId="77777777" w:rsidR="0081446C" w:rsidRDefault="002452A6">
      <w:pPr>
        <w:pStyle w:val="2"/>
        <w:ind w:left="248" w:right="478"/>
      </w:pPr>
      <w:r>
        <w:t>DISCUSSION</w:t>
      </w:r>
    </w:p>
    <w:p w14:paraId="6ABCBDAE" w14:textId="77777777" w:rsidR="0081446C" w:rsidRDefault="002452A6">
      <w:pPr>
        <w:ind w:left="-15" w:right="241"/>
      </w:pPr>
      <w:r>
        <w:t>Variations in quartz surface area are included in the input for Exemplar modeling. The systematic overprediction of quartz cement volumes for all samples located at unusually great distances (</w:t>
      </w:r>
      <w:r>
        <w:rPr>
          <w:rFonts w:ascii="Calibri" w:eastAsia="Calibri" w:hAnsi="Calibri" w:cs="Calibri"/>
        </w:rPr>
        <w:t xml:space="preserve">. </w:t>
      </w:r>
      <w:r>
        <w:t xml:space="preserve">20 cm) from </w:t>
      </w:r>
      <w:proofErr w:type="spellStart"/>
      <w:r>
        <w:t>stylolites</w:t>
      </w:r>
      <w:proofErr w:type="spellEnd"/>
      <w:r>
        <w:t xml:space="preserve"> (Fig. 13) therefore indicates that the </w:t>
      </w:r>
      <w:r>
        <w:t xml:space="preserve">correlation between quartz cement volume and proximity to </w:t>
      </w:r>
      <w:proofErr w:type="spellStart"/>
      <w:r>
        <w:t>stylolites</w:t>
      </w:r>
      <w:proofErr w:type="spellEnd"/>
      <w:r>
        <w:t xml:space="preserve"> (Fig. 9) cannot be explained as a result of more quartz surface area being available for overgrowth formation in the samples located close to </w:t>
      </w:r>
      <w:proofErr w:type="spellStart"/>
      <w:r>
        <w:t>stylolites</w:t>
      </w:r>
      <w:proofErr w:type="spellEnd"/>
      <w:r>
        <w:t>. There are no significant differen</w:t>
      </w:r>
      <w:r>
        <w:t>ces in temperature history between the samples, and they all belong to the same pressure cell, so differences in temperature history or pressure history cannot be the cause of the observed variations in quartz cement volumes either.</w:t>
      </w:r>
    </w:p>
    <w:p w14:paraId="65C59CA4" w14:textId="77777777" w:rsidR="0081446C" w:rsidRDefault="002452A6">
      <w:pPr>
        <w:ind w:left="240" w:firstLine="0"/>
      </w:pPr>
      <w:r>
        <w:t xml:space="preserve">Moreover, the variations in quartz cement volume do not conform to a pattern with more intense quartz cementation below the oil–water contact at 2440.3 </w:t>
      </w:r>
      <w:proofErr w:type="spellStart"/>
      <w:r>
        <w:t>mRKB</w:t>
      </w:r>
      <w:proofErr w:type="spellEnd"/>
      <w:r>
        <w:t>, and the variable quartz cement volumes therefore cannot be explained by claiming that quartz cemen</w:t>
      </w:r>
      <w:r>
        <w:t>tation was inhibited in the oil and gas zones. On the contrary, the average quartz cement percentage above the oil–water contact is in fact 50% higher than below the contact; 12.1% versus 7.5% when using the values corrected for recycled overgrowths (Table</w:t>
      </w:r>
      <w:r>
        <w:t xml:space="preserve"> 2) or 14.4% versus 9.9% when using the uncorrected values (Table 1). The most strongly quartz-cemented samples contain the same types of detrital grains as the less quartz-cemented samples, and there is no evidence for the former presence of biogenic sili</w:t>
      </w:r>
      <w:r>
        <w:t xml:space="preserve">ca in the </w:t>
      </w:r>
      <w:proofErr w:type="spellStart"/>
      <w:r>
        <w:t>Stø</w:t>
      </w:r>
      <w:proofErr w:type="spellEnd"/>
      <w:r>
        <w:t xml:space="preserve"> Formation in well 7120/6-1 or in other wells. It therefore appears reasonable to conclude that the low quartz cement volumes within the intervals with exceptionally large stylolite spacings are due to the low number of </w:t>
      </w:r>
      <w:proofErr w:type="spellStart"/>
      <w:r>
        <w:t>stylolites</w:t>
      </w:r>
      <w:proofErr w:type="spellEnd"/>
      <w:r>
        <w:t>, and that th</w:t>
      </w:r>
      <w:r>
        <w:t>e quartz cementation process tends to become more transport controlled when stylolite spacings approach half a meter. It is important to keep in mind, however, that all types of contacts between quartz and (</w:t>
      </w:r>
      <w:proofErr w:type="spellStart"/>
      <w:r>
        <w:t>illitic</w:t>
      </w:r>
      <w:proofErr w:type="spellEnd"/>
      <w:r>
        <w:t xml:space="preserve">) clay or mica can generate a </w:t>
      </w:r>
      <w:proofErr w:type="spellStart"/>
      <w:r>
        <w:t>macrostyloli</w:t>
      </w:r>
      <w:r>
        <w:t>te</w:t>
      </w:r>
      <w:proofErr w:type="spellEnd"/>
      <w:r>
        <w:t xml:space="preserve"> or </w:t>
      </w:r>
      <w:proofErr w:type="spellStart"/>
      <w:r>
        <w:t>microstylolite</w:t>
      </w:r>
      <w:proofErr w:type="spellEnd"/>
      <w:r>
        <w:t>. This includes individual grain contacts, primary clay drapes, clay rims around burrows, matrix-supported sandstone laminae, water-escape structures and so on. Therefore, one should not expect reduced quartz cementation and better than</w:t>
      </w:r>
      <w:r>
        <w:t xml:space="preserve"> normal porosity just because textbook examples of large amplitude </w:t>
      </w:r>
      <w:proofErr w:type="spellStart"/>
      <w:r>
        <w:t>macrostylolites</w:t>
      </w:r>
      <w:proofErr w:type="spellEnd"/>
      <w:r>
        <w:t xml:space="preserve"> are not visible in cores.</w:t>
      </w:r>
    </w:p>
    <w:p w14:paraId="69173703" w14:textId="77777777" w:rsidR="0081446C" w:rsidRDefault="002452A6">
      <w:pPr>
        <w:ind w:left="240"/>
      </w:pPr>
      <w:r>
        <w:t xml:space="preserve">In the above discussion it has been assumed that all </w:t>
      </w:r>
      <w:proofErr w:type="spellStart"/>
      <w:r>
        <w:t>stylolites</w:t>
      </w:r>
      <w:proofErr w:type="spellEnd"/>
      <w:r>
        <w:t xml:space="preserve"> are equally efficient in generating quartz cement, whereas in practice </w:t>
      </w:r>
      <w:proofErr w:type="spellStart"/>
      <w:r>
        <w:t>stylolites</w:t>
      </w:r>
      <w:proofErr w:type="spellEnd"/>
      <w:r>
        <w:t xml:space="preserve"> c</w:t>
      </w:r>
      <w:r>
        <w:t xml:space="preserve">onsisting of different substances might conceivably give rise to different silica supersaturations. There is, however, no evidence for </w:t>
      </w:r>
      <w:proofErr w:type="spellStart"/>
      <w:r>
        <w:t>stylolites</w:t>
      </w:r>
      <w:proofErr w:type="spellEnd"/>
      <w:r>
        <w:t xml:space="preserve"> in the least quartz-cemented intervals being systematically different in composition from </w:t>
      </w:r>
      <w:proofErr w:type="spellStart"/>
      <w:r>
        <w:t>stylolites</w:t>
      </w:r>
      <w:proofErr w:type="spellEnd"/>
      <w:r>
        <w:t xml:space="preserve"> in more h</w:t>
      </w:r>
      <w:r>
        <w:t xml:space="preserve">eavily quartz-cemented samples, although it is admittedly not easy to petrographically characterize material within </w:t>
      </w:r>
      <w:proofErr w:type="spellStart"/>
      <w:r>
        <w:t>stylolites</w:t>
      </w:r>
      <w:proofErr w:type="spellEnd"/>
      <w:r>
        <w:t>.</w:t>
      </w:r>
    </w:p>
    <w:p w14:paraId="3AA65C76" w14:textId="77777777" w:rsidR="0081446C" w:rsidRDefault="002452A6">
      <w:pPr>
        <w:ind w:left="240"/>
      </w:pPr>
      <w:r>
        <w:t>Some of the CL micrographs from the least quartz-cemented samples show indications of slight interpenetration of quartz clasts (</w:t>
      </w:r>
      <w:r>
        <w:t>Fig. 6). No clay material is seen with a petrographic microscope at these contacts, but the element mapping performed with the SEM shows that in some cases minor amounts of aluminum and potassium are present along the contacts (Fig. 7), suggesting the pres</w:t>
      </w:r>
      <w:r>
        <w:t xml:space="preserve">ence of </w:t>
      </w:r>
      <w:proofErr w:type="spellStart"/>
      <w:r>
        <w:t>illitic</w:t>
      </w:r>
      <w:proofErr w:type="spellEnd"/>
      <w:r>
        <w:t xml:space="preserve"> clay. </w:t>
      </w:r>
      <w:proofErr w:type="spellStart"/>
      <w:r>
        <w:t>Microstylolites</w:t>
      </w:r>
      <w:proofErr w:type="spellEnd"/>
      <w:r>
        <w:t xml:space="preserve"> at individual grain contacts containing </w:t>
      </w:r>
      <w:proofErr w:type="spellStart"/>
      <w:r>
        <w:t>illitic</w:t>
      </w:r>
      <w:proofErr w:type="spellEnd"/>
      <w:r>
        <w:t xml:space="preserve"> clay that promoted quartz dissolution therefore probably supplied some quartz cement to zones between the </w:t>
      </w:r>
      <w:proofErr w:type="spellStart"/>
      <w:r>
        <w:t>macrostylolites</w:t>
      </w:r>
      <w:proofErr w:type="spellEnd"/>
      <w:r>
        <w:t xml:space="preserve">, although it is very difficult to quantify this </w:t>
      </w:r>
      <w:r>
        <w:t>source of quartz cement. It cannot be excluded, however, that the quartz cement produced at these contacts may amount to a percent or two of sample volumes. A volume of quartz cement of this order should therefore perhaps be subtracted from the quartz ceme</w:t>
      </w:r>
      <w:r>
        <w:t xml:space="preserve">nt volumes measured between the </w:t>
      </w:r>
      <w:proofErr w:type="spellStart"/>
      <w:r>
        <w:t>macrostylolites</w:t>
      </w:r>
      <w:proofErr w:type="spellEnd"/>
      <w:r>
        <w:t xml:space="preserve"> when considering the effect of distance from </w:t>
      </w:r>
      <w:proofErr w:type="spellStart"/>
      <w:r>
        <w:t>macrostylolites</w:t>
      </w:r>
      <w:proofErr w:type="spellEnd"/>
      <w:r>
        <w:t xml:space="preserve"> on quartz cementation in the studied sandstone. Also, the abundance of recycled overgrowths may have been underestimated, which would further reduc</w:t>
      </w:r>
      <w:r>
        <w:t xml:space="preserve">e the volumes of precipitated quartz cement plotted in Figure 9. The trends of decreasing quartz cementation outward from </w:t>
      </w:r>
      <w:proofErr w:type="spellStart"/>
      <w:r>
        <w:t>stylolites</w:t>
      </w:r>
      <w:proofErr w:type="spellEnd"/>
      <w:r>
        <w:t>, would, however, remain the same.</w:t>
      </w:r>
    </w:p>
    <w:p w14:paraId="1B35E3B3" w14:textId="77777777" w:rsidR="0081446C" w:rsidRDefault="002452A6">
      <w:pPr>
        <w:ind w:left="240"/>
      </w:pPr>
      <w:r>
        <w:t>Modeling of quartz precipitation rate as a function of distance from nearest stylolite fo</w:t>
      </w:r>
      <w:r>
        <w:t xml:space="preserve">r different temperatures, stylolite spacings, and hydrocarbon saturations indicates that volumes of precipitated quartz cement decrease outwards from </w:t>
      </w:r>
      <w:proofErr w:type="spellStart"/>
      <w:r>
        <w:t>stylolites</w:t>
      </w:r>
      <w:proofErr w:type="spellEnd"/>
      <w:r>
        <w:t xml:space="preserve"> in the manner suggested by Figures 9 and 13 for large stylolite spacings whereas gradients will</w:t>
      </w:r>
      <w:r>
        <w:t xml:space="preserve"> not be apparent for small stylolite spacings (</w:t>
      </w:r>
      <w:proofErr w:type="spellStart"/>
      <w:r>
        <w:t>Oelkers</w:t>
      </w:r>
      <w:proofErr w:type="spellEnd"/>
      <w:r>
        <w:t xml:space="preserve"> et al. 1996; </w:t>
      </w:r>
      <w:proofErr w:type="spellStart"/>
      <w:r>
        <w:t>Oelkers</w:t>
      </w:r>
      <w:proofErr w:type="spellEnd"/>
      <w:r>
        <w:t xml:space="preserve"> et al. 2000; </w:t>
      </w:r>
      <w:proofErr w:type="spellStart"/>
      <w:r>
        <w:t>Bjørkum</w:t>
      </w:r>
      <w:proofErr w:type="spellEnd"/>
      <w:r>
        <w:t xml:space="preserve"> et al. 1998). The definition of large stylolite spacing depends upon factors such as temperature, hydrocarbon saturation, and quartz surface area available for</w:t>
      </w:r>
      <w:r>
        <w:t xml:space="preserve"> quartz precipitation, with gradients in the volumes of precipitated quartz cement expected to become more noticeable as these three factors increase. However, the calculations of </w:t>
      </w:r>
      <w:proofErr w:type="spellStart"/>
      <w:r>
        <w:t>Oelkers</w:t>
      </w:r>
      <w:proofErr w:type="spellEnd"/>
      <w:r>
        <w:t xml:space="preserve"> et al. (1996) and </w:t>
      </w:r>
      <w:proofErr w:type="spellStart"/>
      <w:r>
        <w:t>Oelkers</w:t>
      </w:r>
      <w:proofErr w:type="spellEnd"/>
      <w:r>
        <w:t xml:space="preserve"> et al. (2000) clearly indicate that no gra</w:t>
      </w:r>
      <w:r>
        <w:t>dients in the volume of precipitated quartz cement are expected in the present case in the intervals with average stylolite spacings of a few centimeters or less, whereas gradients are certainly expected in the sections where stylolite spacing is on the or</w:t>
      </w:r>
      <w:r>
        <w:t xml:space="preserve">der of meters. The results from this study are therefore in good agreement with the predictions of </w:t>
      </w:r>
      <w:proofErr w:type="spellStart"/>
      <w:r>
        <w:t>Oelkers</w:t>
      </w:r>
      <w:proofErr w:type="spellEnd"/>
      <w:r>
        <w:t xml:space="preserve"> et al. (1996), </w:t>
      </w:r>
      <w:proofErr w:type="spellStart"/>
      <w:r>
        <w:t>Oelkers</w:t>
      </w:r>
      <w:proofErr w:type="spellEnd"/>
      <w:r>
        <w:t xml:space="preserve"> et al. (2000), and </w:t>
      </w:r>
      <w:proofErr w:type="spellStart"/>
      <w:r>
        <w:t>Bjørkum</w:t>
      </w:r>
      <w:proofErr w:type="spellEnd"/>
      <w:r>
        <w:t xml:space="preserve"> et al. (1998).</w:t>
      </w:r>
    </w:p>
    <w:p w14:paraId="7D6D12C7" w14:textId="77777777" w:rsidR="0081446C" w:rsidRDefault="002452A6">
      <w:pPr>
        <w:ind w:left="-15"/>
      </w:pPr>
      <w:r>
        <w:t xml:space="preserve">Although lack of clay-rich or micaceous laminae that evolve into </w:t>
      </w:r>
      <w:proofErr w:type="spellStart"/>
      <w:r>
        <w:t>stylolites</w:t>
      </w:r>
      <w:proofErr w:type="spellEnd"/>
      <w:r>
        <w:t xml:space="preserve"> upon bur</w:t>
      </w:r>
      <w:r>
        <w:t xml:space="preserve">ial appears to have reduced quartz cementation and preserved 5–8% more porosity than normal in parts of the </w:t>
      </w:r>
      <w:proofErr w:type="spellStart"/>
      <w:r>
        <w:t>Stø</w:t>
      </w:r>
      <w:proofErr w:type="spellEnd"/>
      <w:r>
        <w:t xml:space="preserve"> Formation in well 7120/6-1 and in some of the neighboring wells, such extremely clean sandstone intervals seem to be very rare, at least on the </w:t>
      </w:r>
      <w:r>
        <w:t xml:space="preserve">Norwegian shelf. Lack of stylolite precursors has been suspected to be the cause of low quartz cement volumes and higher than normal porosities in parts of the </w:t>
      </w:r>
      <w:proofErr w:type="spellStart"/>
      <w:r>
        <w:t>Stø</w:t>
      </w:r>
      <w:proofErr w:type="spellEnd"/>
      <w:r>
        <w:t xml:space="preserve"> Formation since the well 7120/6-1 was drilled in 1985, but hardly any examples of this pheno</w:t>
      </w:r>
      <w:r>
        <w:t>menon have been found elsewhere on the Norwegian continental shelf despite several petrologists having been on the lookout for additional examples over the past fifteen years. This suggests that preserved reservoir quality due to lack of stylolite precurso</w:t>
      </w:r>
      <w:r>
        <w:t>rs is not a common phenomenon, and that models of quartz cementation based upon precipitation rate control will prove adequate in most cases.</w:t>
      </w:r>
    </w:p>
    <w:p w14:paraId="5C766ACE" w14:textId="77777777" w:rsidR="0081446C" w:rsidRDefault="002452A6">
      <w:pPr>
        <w:spacing w:after="236"/>
        <w:ind w:left="-15"/>
      </w:pPr>
      <w:r>
        <w:t xml:space="preserve">It is also worth noting that the observed increase in quartz cement abundance close to </w:t>
      </w:r>
      <w:proofErr w:type="spellStart"/>
      <w:r>
        <w:t>stylolites</w:t>
      </w:r>
      <w:proofErr w:type="spellEnd"/>
      <w:r>
        <w:t xml:space="preserve"> in the </w:t>
      </w:r>
      <w:proofErr w:type="spellStart"/>
      <w:r>
        <w:t>Stø</w:t>
      </w:r>
      <w:proofErr w:type="spellEnd"/>
      <w:r>
        <w:t xml:space="preserve"> Forma</w:t>
      </w:r>
      <w:r>
        <w:t xml:space="preserve">tion provides </w:t>
      </w:r>
      <w:r>
        <w:lastRenderedPageBreak/>
        <w:t xml:space="preserve">supporting evidence for dissolution of quartz grains at </w:t>
      </w:r>
      <w:proofErr w:type="spellStart"/>
      <w:r>
        <w:t>stylolites</w:t>
      </w:r>
      <w:proofErr w:type="spellEnd"/>
      <w:r>
        <w:t xml:space="preserve"> being the main source of quartz cement in quartz-rich sandstones. There is, on the other hand, no obvious reason why quartz cement should be concentrated around </w:t>
      </w:r>
      <w:proofErr w:type="spellStart"/>
      <w:r>
        <w:t>stylolites</w:t>
      </w:r>
      <w:proofErr w:type="spellEnd"/>
      <w:r>
        <w:t xml:space="preserve"> if </w:t>
      </w:r>
      <w:r>
        <w:t xml:space="preserve">it was supplied by fluid flow or diffusion from underlying or overlying rocks. If dissolved silica originated in the overlying shales or was supplied by fluid flow from below, then a gradient in the amount of quartz cement toward the boundaries of the </w:t>
      </w:r>
      <w:proofErr w:type="spellStart"/>
      <w:r>
        <w:t>Stø</w:t>
      </w:r>
      <w:proofErr w:type="spellEnd"/>
      <w:r>
        <w:t xml:space="preserve"> </w:t>
      </w:r>
      <w:r>
        <w:t>Formation seems a more likely result than an internal small-scale variation that just happened to be correlated with distance to nearest stylolite.</w:t>
      </w:r>
    </w:p>
    <w:p w14:paraId="45EC4D42" w14:textId="77777777" w:rsidR="0081446C" w:rsidRDefault="002452A6">
      <w:pPr>
        <w:pStyle w:val="2"/>
        <w:ind w:left="248" w:right="238"/>
      </w:pPr>
      <w:r>
        <w:t>CONCLUSIONS</w:t>
      </w:r>
    </w:p>
    <w:p w14:paraId="155CB073" w14:textId="77777777" w:rsidR="0081446C" w:rsidRDefault="002452A6">
      <w:pPr>
        <w:spacing w:after="236"/>
        <w:ind w:left="-15"/>
      </w:pPr>
      <w:r>
        <w:t xml:space="preserve">Sandstone samples from the </w:t>
      </w:r>
      <w:proofErr w:type="spellStart"/>
      <w:r>
        <w:t>Stø</w:t>
      </w:r>
      <w:proofErr w:type="spellEnd"/>
      <w:r>
        <w:t xml:space="preserve"> Formation in well 7120/6-1 located more than 20 cm from the neare</w:t>
      </w:r>
      <w:r>
        <w:t xml:space="preserve">st stylolite contain markedly less quartz cement than samples located closer to </w:t>
      </w:r>
      <w:proofErr w:type="spellStart"/>
      <w:r>
        <w:t>stylolites</w:t>
      </w:r>
      <w:proofErr w:type="spellEnd"/>
      <w:r>
        <w:t>. Quantitative modeling of the quartz cementation process indicates clearly that the observed variations in quartz cement volumes are not due to variable abundance of</w:t>
      </w:r>
      <w:r>
        <w:t xml:space="preserve"> grain coatings, grain-size changes, or different contents of quartz clasts. On the contrary, the modeling suggests that for all the samples located more than 20 cm from the closest stylolite, quartz cement volumes are 5–8% less than what would normally be</w:t>
      </w:r>
      <w:r>
        <w:t xml:space="preserve"> expected even after taking these factors into account. It is therefore concluded that a very low abundance of clay-rich and micaceous laminae or other stylolite precursors can cause reduced quartz cementation and preservation of higher-than-expected poros</w:t>
      </w:r>
      <w:r>
        <w:t xml:space="preserve">ities. However, such extremely clean sandstones appear to be rare. Scarcity of stylolite precursors may therefore be of only local importance for preservation of reservoir quality at high temperatures. This further implies that it is usually not necessary </w:t>
      </w:r>
      <w:r>
        <w:t>to include distance to the nearest stylolite and stylolite spacing as variables in quantitative models of quartz cementation.</w:t>
      </w:r>
    </w:p>
    <w:p w14:paraId="1FE9EC98" w14:textId="77777777" w:rsidR="0081446C" w:rsidRDefault="002452A6">
      <w:pPr>
        <w:pStyle w:val="2"/>
        <w:ind w:left="248" w:right="236"/>
      </w:pPr>
      <w:r>
        <w:t>ACKNOWLEDGMENTS</w:t>
      </w:r>
    </w:p>
    <w:p w14:paraId="6C263B43" w14:textId="77777777" w:rsidR="0081446C" w:rsidRDefault="002452A6">
      <w:pPr>
        <w:spacing w:after="265" w:line="229" w:lineRule="auto"/>
        <w:ind w:left="0" w:firstLine="138"/>
      </w:pPr>
      <w:r>
        <w:rPr>
          <w:sz w:val="17"/>
        </w:rPr>
        <w:t xml:space="preserve">This paper is based on projects performed for Statoil </w:t>
      </w:r>
      <w:proofErr w:type="spellStart"/>
      <w:r>
        <w:rPr>
          <w:sz w:val="17"/>
        </w:rPr>
        <w:t>a.s</w:t>
      </w:r>
      <w:proofErr w:type="spellEnd"/>
      <w:r>
        <w:rPr>
          <w:sz w:val="17"/>
        </w:rPr>
        <w:t xml:space="preserve">, and their permission to publish is </w:t>
      </w:r>
      <w:proofErr w:type="spellStart"/>
      <w:r>
        <w:rPr>
          <w:sz w:val="17"/>
        </w:rPr>
        <w:t>greatfully</w:t>
      </w:r>
      <w:proofErr w:type="spellEnd"/>
      <w:r>
        <w:rPr>
          <w:sz w:val="17"/>
        </w:rPr>
        <w:t xml:space="preserve"> acknowled</w:t>
      </w:r>
      <w:r>
        <w:rPr>
          <w:sz w:val="17"/>
        </w:rPr>
        <w:t xml:space="preserve">ged. Tony </w:t>
      </w:r>
      <w:proofErr w:type="spellStart"/>
      <w:r>
        <w:rPr>
          <w:sz w:val="17"/>
        </w:rPr>
        <w:t>Boassen</w:t>
      </w:r>
      <w:proofErr w:type="spellEnd"/>
      <w:r>
        <w:rPr>
          <w:sz w:val="17"/>
        </w:rPr>
        <w:t xml:space="preserve"> is thanked for taking the SEM micrographs. The original manuscript was improved by comments from David A. Budd, Eric H. </w:t>
      </w:r>
      <w:proofErr w:type="spellStart"/>
      <w:r>
        <w:rPr>
          <w:sz w:val="17"/>
        </w:rPr>
        <w:t>Oelkers</w:t>
      </w:r>
      <w:proofErr w:type="spellEnd"/>
      <w:r>
        <w:rPr>
          <w:sz w:val="17"/>
        </w:rPr>
        <w:t xml:space="preserve">, Stanley T. Paxton, Edward </w:t>
      </w:r>
      <w:proofErr w:type="spellStart"/>
      <w:r>
        <w:rPr>
          <w:sz w:val="17"/>
        </w:rPr>
        <w:t>Prestholm</w:t>
      </w:r>
      <w:proofErr w:type="spellEnd"/>
      <w:r>
        <w:rPr>
          <w:sz w:val="17"/>
        </w:rPr>
        <w:t xml:space="preserve">, Knut Georg </w:t>
      </w:r>
      <w:proofErr w:type="spellStart"/>
      <w:r>
        <w:rPr>
          <w:sz w:val="17"/>
        </w:rPr>
        <w:t>Røssland</w:t>
      </w:r>
      <w:proofErr w:type="spellEnd"/>
      <w:r>
        <w:rPr>
          <w:sz w:val="17"/>
        </w:rPr>
        <w:t>, and an anonymous referee.</w:t>
      </w:r>
    </w:p>
    <w:p w14:paraId="11BC7473" w14:textId="77777777" w:rsidR="0081446C" w:rsidRDefault="002452A6">
      <w:pPr>
        <w:pStyle w:val="2"/>
        <w:spacing w:after="192"/>
        <w:ind w:left="248" w:right="237"/>
      </w:pPr>
      <w:r>
        <w:t>REFERENCES</w:t>
      </w:r>
    </w:p>
    <w:p w14:paraId="05CC240A" w14:textId="77777777" w:rsidR="0081446C" w:rsidRDefault="002452A6">
      <w:pPr>
        <w:spacing w:after="22" w:line="230" w:lineRule="auto"/>
        <w:ind w:left="127" w:hanging="142"/>
      </w:pPr>
      <w:r>
        <w:rPr>
          <w:sz w:val="15"/>
        </w:rPr>
        <w:t>B</w:t>
      </w:r>
      <w:r>
        <w:rPr>
          <w:sz w:val="10"/>
        </w:rPr>
        <w:t>ERGLUND</w:t>
      </w:r>
      <w:r>
        <w:rPr>
          <w:sz w:val="15"/>
        </w:rPr>
        <w:t>, L.T.</w:t>
      </w:r>
      <w:r>
        <w:rPr>
          <w:sz w:val="15"/>
        </w:rPr>
        <w:t>, A</w:t>
      </w:r>
      <w:r>
        <w:rPr>
          <w:sz w:val="10"/>
        </w:rPr>
        <w:t>UGUSTSON</w:t>
      </w:r>
      <w:r>
        <w:rPr>
          <w:sz w:val="15"/>
        </w:rPr>
        <w:t xml:space="preserve">, J., </w:t>
      </w:r>
      <w:proofErr w:type="spellStart"/>
      <w:r>
        <w:rPr>
          <w:sz w:val="15"/>
        </w:rPr>
        <w:t>Fæ</w:t>
      </w:r>
      <w:r>
        <w:rPr>
          <w:sz w:val="10"/>
        </w:rPr>
        <w:t>RSETH</w:t>
      </w:r>
      <w:proofErr w:type="spellEnd"/>
      <w:r>
        <w:rPr>
          <w:sz w:val="15"/>
        </w:rPr>
        <w:t>, R., G</w:t>
      </w:r>
      <w:r>
        <w:rPr>
          <w:sz w:val="10"/>
        </w:rPr>
        <w:t>JELBERG</w:t>
      </w:r>
      <w:r>
        <w:rPr>
          <w:sz w:val="15"/>
        </w:rPr>
        <w:t xml:space="preserve">, J. </w:t>
      </w:r>
      <w:r>
        <w:rPr>
          <w:sz w:val="10"/>
        </w:rPr>
        <w:t xml:space="preserve">AND </w:t>
      </w:r>
      <w:r>
        <w:rPr>
          <w:sz w:val="15"/>
        </w:rPr>
        <w:t>R</w:t>
      </w:r>
      <w:r>
        <w:rPr>
          <w:sz w:val="10"/>
        </w:rPr>
        <w:t>AMBERG</w:t>
      </w:r>
      <w:r>
        <w:rPr>
          <w:sz w:val="15"/>
        </w:rPr>
        <w:t>-M</w:t>
      </w:r>
      <w:r>
        <w:rPr>
          <w:sz w:val="10"/>
        </w:rPr>
        <w:t>OE</w:t>
      </w:r>
      <w:r>
        <w:rPr>
          <w:sz w:val="15"/>
        </w:rPr>
        <w:t xml:space="preserve">, H., 1986, The evolution of the Hammerfest Basin, </w:t>
      </w:r>
      <w:r>
        <w:rPr>
          <w:i/>
          <w:sz w:val="15"/>
        </w:rPr>
        <w:t xml:space="preserve">in </w:t>
      </w:r>
      <w:r>
        <w:rPr>
          <w:sz w:val="15"/>
        </w:rPr>
        <w:t xml:space="preserve">Spencer, A.T., Holter, E., </w:t>
      </w:r>
      <w:proofErr w:type="spellStart"/>
      <w:r>
        <w:rPr>
          <w:sz w:val="15"/>
        </w:rPr>
        <w:t>Campell</w:t>
      </w:r>
      <w:proofErr w:type="spellEnd"/>
      <w:r>
        <w:rPr>
          <w:sz w:val="15"/>
        </w:rPr>
        <w:t xml:space="preserve">, C.J., </w:t>
      </w:r>
      <w:proofErr w:type="spellStart"/>
      <w:r>
        <w:rPr>
          <w:sz w:val="15"/>
        </w:rPr>
        <w:t>Hanslien</w:t>
      </w:r>
      <w:proofErr w:type="spellEnd"/>
      <w:r>
        <w:rPr>
          <w:sz w:val="15"/>
        </w:rPr>
        <w:t xml:space="preserve">, S.H., Nelson, P.H.H., </w:t>
      </w:r>
      <w:proofErr w:type="spellStart"/>
      <w:r>
        <w:rPr>
          <w:sz w:val="15"/>
        </w:rPr>
        <w:t>Nysæther</w:t>
      </w:r>
      <w:proofErr w:type="spellEnd"/>
      <w:r>
        <w:rPr>
          <w:sz w:val="15"/>
        </w:rPr>
        <w:t xml:space="preserve">, E., and </w:t>
      </w:r>
      <w:proofErr w:type="spellStart"/>
      <w:r>
        <w:rPr>
          <w:sz w:val="15"/>
        </w:rPr>
        <w:t>Ormaasen</w:t>
      </w:r>
      <w:proofErr w:type="spellEnd"/>
      <w:r>
        <w:rPr>
          <w:sz w:val="15"/>
        </w:rPr>
        <w:t>, E., eds., Habitat of Hydrocarbons on the N</w:t>
      </w:r>
      <w:r>
        <w:rPr>
          <w:sz w:val="15"/>
        </w:rPr>
        <w:t>orwegian Continental Shelf: London, Graham &amp; Trotman, p. 319–338.</w:t>
      </w:r>
    </w:p>
    <w:p w14:paraId="038F5952" w14:textId="77777777" w:rsidR="0081446C" w:rsidRDefault="002452A6">
      <w:pPr>
        <w:spacing w:after="0" w:line="230" w:lineRule="auto"/>
        <w:ind w:left="127" w:hanging="142"/>
      </w:pPr>
      <w:proofErr w:type="spellStart"/>
      <w:r>
        <w:rPr>
          <w:sz w:val="15"/>
        </w:rPr>
        <w:t>B</w:t>
      </w:r>
      <w:r>
        <w:rPr>
          <w:sz w:val="10"/>
        </w:rPr>
        <w:t>J</w:t>
      </w:r>
      <w:r>
        <w:rPr>
          <w:sz w:val="15"/>
        </w:rPr>
        <w:t>ø</w:t>
      </w:r>
      <w:r>
        <w:rPr>
          <w:sz w:val="10"/>
        </w:rPr>
        <w:t>RGEN</w:t>
      </w:r>
      <w:proofErr w:type="spellEnd"/>
      <w:r>
        <w:rPr>
          <w:sz w:val="15"/>
        </w:rPr>
        <w:t>, T., 1985, A sedimentological study of the cored Lower/Middle Jurassic successions in wells: 7120/6-1, 7120/9-</w:t>
      </w:r>
      <w:proofErr w:type="gramStart"/>
      <w:r>
        <w:rPr>
          <w:sz w:val="15"/>
        </w:rPr>
        <w:t>1</w:t>
      </w:r>
      <w:proofErr w:type="gramEnd"/>
      <w:r>
        <w:rPr>
          <w:sz w:val="15"/>
        </w:rPr>
        <w:t xml:space="preserve"> and 7120/12-2 [Unpublished Cand scient thesis]: University of Bergen.</w:t>
      </w:r>
    </w:p>
    <w:p w14:paraId="2D624F6B" w14:textId="77777777" w:rsidR="0081446C" w:rsidRDefault="002452A6">
      <w:pPr>
        <w:spacing w:after="22" w:line="230" w:lineRule="auto"/>
        <w:ind w:left="127" w:hanging="142"/>
      </w:pPr>
      <w:proofErr w:type="spellStart"/>
      <w:r>
        <w:rPr>
          <w:sz w:val="15"/>
        </w:rPr>
        <w:t>B</w:t>
      </w:r>
      <w:r>
        <w:rPr>
          <w:sz w:val="10"/>
        </w:rPr>
        <w:t>J</w:t>
      </w:r>
      <w:r>
        <w:rPr>
          <w:sz w:val="15"/>
        </w:rPr>
        <w:t>ø</w:t>
      </w:r>
      <w:r>
        <w:rPr>
          <w:sz w:val="10"/>
        </w:rPr>
        <w:t>RKUM</w:t>
      </w:r>
      <w:proofErr w:type="spellEnd"/>
      <w:r>
        <w:rPr>
          <w:sz w:val="15"/>
        </w:rPr>
        <w:t xml:space="preserve">, P.A., 1996, How important is pressure in causing dissolution of quartz in </w:t>
      </w:r>
      <w:proofErr w:type="gramStart"/>
      <w:r>
        <w:rPr>
          <w:sz w:val="15"/>
        </w:rPr>
        <w:t>sandstones?:</w:t>
      </w:r>
      <w:proofErr w:type="gramEnd"/>
      <w:r>
        <w:rPr>
          <w:sz w:val="15"/>
        </w:rPr>
        <w:t xml:space="preserve"> Journal of Sedimentary Research, v. 66, p. 147–154.</w:t>
      </w:r>
    </w:p>
    <w:p w14:paraId="2F8D914A" w14:textId="77777777" w:rsidR="0081446C" w:rsidRDefault="002452A6">
      <w:pPr>
        <w:spacing w:after="0" w:line="230" w:lineRule="auto"/>
        <w:ind w:left="127" w:hanging="142"/>
      </w:pPr>
      <w:proofErr w:type="spellStart"/>
      <w:r>
        <w:rPr>
          <w:sz w:val="15"/>
        </w:rPr>
        <w:t>B</w:t>
      </w:r>
      <w:r>
        <w:rPr>
          <w:sz w:val="10"/>
        </w:rPr>
        <w:t>J</w:t>
      </w:r>
      <w:r>
        <w:rPr>
          <w:sz w:val="15"/>
        </w:rPr>
        <w:t>ø</w:t>
      </w:r>
      <w:r>
        <w:rPr>
          <w:sz w:val="10"/>
        </w:rPr>
        <w:t>RKUM</w:t>
      </w:r>
      <w:proofErr w:type="spellEnd"/>
      <w:r>
        <w:rPr>
          <w:sz w:val="15"/>
        </w:rPr>
        <w:t>, P.A., O</w:t>
      </w:r>
      <w:r>
        <w:rPr>
          <w:sz w:val="10"/>
        </w:rPr>
        <w:t>ELKERS</w:t>
      </w:r>
      <w:r>
        <w:rPr>
          <w:sz w:val="15"/>
        </w:rPr>
        <w:t>, E.H., N</w:t>
      </w:r>
      <w:r>
        <w:rPr>
          <w:sz w:val="10"/>
        </w:rPr>
        <w:t>ADEAU</w:t>
      </w:r>
      <w:r>
        <w:rPr>
          <w:sz w:val="15"/>
        </w:rPr>
        <w:t>, P.H., W</w:t>
      </w:r>
      <w:r>
        <w:rPr>
          <w:sz w:val="10"/>
        </w:rPr>
        <w:t>ALDERHAUG</w:t>
      </w:r>
      <w:r>
        <w:rPr>
          <w:sz w:val="15"/>
        </w:rPr>
        <w:t xml:space="preserve">, O., </w:t>
      </w:r>
      <w:r>
        <w:rPr>
          <w:sz w:val="10"/>
        </w:rPr>
        <w:t xml:space="preserve">AND </w:t>
      </w:r>
      <w:r>
        <w:rPr>
          <w:sz w:val="15"/>
        </w:rPr>
        <w:t>M</w:t>
      </w:r>
      <w:r>
        <w:rPr>
          <w:sz w:val="10"/>
        </w:rPr>
        <w:t>URPHY</w:t>
      </w:r>
      <w:r>
        <w:rPr>
          <w:sz w:val="15"/>
        </w:rPr>
        <w:t>, W.M., 1998, Porosity prediction in q</w:t>
      </w:r>
      <w:r>
        <w:rPr>
          <w:sz w:val="15"/>
        </w:rPr>
        <w:t xml:space="preserve">uartzose sandstones as a function of time, temperature, depth, stylolite frequency, and hydrocarbon saturation: American Association of </w:t>
      </w:r>
      <w:proofErr w:type="spellStart"/>
      <w:r>
        <w:rPr>
          <w:sz w:val="15"/>
        </w:rPr>
        <w:t>PetroleumGeologists</w:t>
      </w:r>
      <w:proofErr w:type="spellEnd"/>
      <w:r>
        <w:rPr>
          <w:sz w:val="15"/>
        </w:rPr>
        <w:t>, Bulletin, v. 82, p. 637–648.</w:t>
      </w:r>
    </w:p>
    <w:p w14:paraId="650BA06B" w14:textId="77777777" w:rsidR="0081446C" w:rsidRDefault="002452A6">
      <w:pPr>
        <w:spacing w:after="22" w:line="230" w:lineRule="auto"/>
        <w:ind w:left="127" w:hanging="142"/>
      </w:pPr>
      <w:proofErr w:type="spellStart"/>
      <w:r>
        <w:rPr>
          <w:sz w:val="15"/>
        </w:rPr>
        <w:t>B</w:t>
      </w:r>
      <w:r>
        <w:rPr>
          <w:sz w:val="10"/>
        </w:rPr>
        <w:t>J</w:t>
      </w:r>
      <w:r>
        <w:rPr>
          <w:sz w:val="15"/>
        </w:rPr>
        <w:t>ø</w:t>
      </w:r>
      <w:r>
        <w:rPr>
          <w:sz w:val="10"/>
        </w:rPr>
        <w:t>RLYKKE</w:t>
      </w:r>
      <w:proofErr w:type="spellEnd"/>
      <w:r>
        <w:rPr>
          <w:sz w:val="15"/>
        </w:rPr>
        <w:t xml:space="preserve">, K., 1980, Clastic diagenesis and basin evolution: </w:t>
      </w:r>
      <w:proofErr w:type="spellStart"/>
      <w:r>
        <w:rPr>
          <w:sz w:val="15"/>
        </w:rPr>
        <w:t>Diputacio´n</w:t>
      </w:r>
      <w:proofErr w:type="spellEnd"/>
      <w:r>
        <w:rPr>
          <w:sz w:val="15"/>
        </w:rPr>
        <w:t xml:space="preserve"> Provincial, Universidad de Barcelona, </w:t>
      </w:r>
      <w:proofErr w:type="spellStart"/>
      <w:r>
        <w:rPr>
          <w:sz w:val="15"/>
        </w:rPr>
        <w:t>Revista</w:t>
      </w:r>
      <w:proofErr w:type="spellEnd"/>
      <w:r>
        <w:rPr>
          <w:sz w:val="15"/>
        </w:rPr>
        <w:t xml:space="preserve">, Instituto de </w:t>
      </w:r>
      <w:proofErr w:type="spellStart"/>
      <w:r>
        <w:rPr>
          <w:sz w:val="15"/>
        </w:rPr>
        <w:t>Investigaciones</w:t>
      </w:r>
      <w:proofErr w:type="spellEnd"/>
      <w:r>
        <w:rPr>
          <w:sz w:val="15"/>
        </w:rPr>
        <w:t xml:space="preserve"> </w:t>
      </w:r>
      <w:proofErr w:type="spellStart"/>
      <w:r>
        <w:rPr>
          <w:sz w:val="15"/>
        </w:rPr>
        <w:t>Geolo´gicas</w:t>
      </w:r>
      <w:proofErr w:type="spellEnd"/>
      <w:r>
        <w:rPr>
          <w:sz w:val="15"/>
        </w:rPr>
        <w:t>, v. 34, p. 21–44.</w:t>
      </w:r>
    </w:p>
    <w:p w14:paraId="0A160F3A" w14:textId="77777777" w:rsidR="0081446C" w:rsidRDefault="002452A6">
      <w:pPr>
        <w:spacing w:after="22" w:line="230" w:lineRule="auto"/>
        <w:ind w:left="127" w:hanging="142"/>
      </w:pPr>
      <w:proofErr w:type="spellStart"/>
      <w:r>
        <w:rPr>
          <w:sz w:val="15"/>
        </w:rPr>
        <w:t>B</w:t>
      </w:r>
      <w:r>
        <w:rPr>
          <w:sz w:val="10"/>
        </w:rPr>
        <w:t>J</w:t>
      </w:r>
      <w:r>
        <w:rPr>
          <w:sz w:val="15"/>
        </w:rPr>
        <w:t>ø</w:t>
      </w:r>
      <w:r>
        <w:rPr>
          <w:sz w:val="10"/>
        </w:rPr>
        <w:t>RLYKKE</w:t>
      </w:r>
      <w:proofErr w:type="spellEnd"/>
      <w:r>
        <w:rPr>
          <w:sz w:val="15"/>
        </w:rPr>
        <w:t>, K., A</w:t>
      </w:r>
      <w:r>
        <w:rPr>
          <w:sz w:val="10"/>
        </w:rPr>
        <w:t>AGAARD</w:t>
      </w:r>
      <w:r>
        <w:rPr>
          <w:sz w:val="15"/>
        </w:rPr>
        <w:t>, P., D</w:t>
      </w:r>
      <w:r>
        <w:rPr>
          <w:sz w:val="10"/>
        </w:rPr>
        <w:t>YPVIK</w:t>
      </w:r>
      <w:r>
        <w:rPr>
          <w:sz w:val="15"/>
        </w:rPr>
        <w:t>, H., H</w:t>
      </w:r>
      <w:r>
        <w:rPr>
          <w:sz w:val="10"/>
        </w:rPr>
        <w:t>ASTINGS</w:t>
      </w:r>
      <w:r>
        <w:rPr>
          <w:sz w:val="15"/>
        </w:rPr>
        <w:t xml:space="preserve">, D.S., </w:t>
      </w:r>
      <w:r>
        <w:rPr>
          <w:sz w:val="10"/>
        </w:rPr>
        <w:t xml:space="preserve">AND </w:t>
      </w:r>
      <w:r>
        <w:rPr>
          <w:sz w:val="15"/>
        </w:rPr>
        <w:t>H</w:t>
      </w:r>
      <w:r>
        <w:rPr>
          <w:sz w:val="10"/>
        </w:rPr>
        <w:t>ARPER</w:t>
      </w:r>
      <w:r>
        <w:rPr>
          <w:sz w:val="15"/>
        </w:rPr>
        <w:t>, A.S., 1986, Diagen</w:t>
      </w:r>
      <w:r>
        <w:rPr>
          <w:sz w:val="15"/>
        </w:rPr>
        <w:t xml:space="preserve">esis and reservoir properties of Jurassic sandstones from the </w:t>
      </w:r>
      <w:proofErr w:type="spellStart"/>
      <w:r>
        <w:rPr>
          <w:sz w:val="15"/>
        </w:rPr>
        <w:t>Haltenbanken</w:t>
      </w:r>
      <w:proofErr w:type="spellEnd"/>
      <w:r>
        <w:rPr>
          <w:sz w:val="15"/>
        </w:rPr>
        <w:t xml:space="preserve"> area, offshore </w:t>
      </w:r>
      <w:proofErr w:type="spellStart"/>
      <w:r>
        <w:rPr>
          <w:sz w:val="15"/>
        </w:rPr>
        <w:t>midNorway</w:t>
      </w:r>
      <w:proofErr w:type="spellEnd"/>
      <w:r>
        <w:rPr>
          <w:sz w:val="15"/>
        </w:rPr>
        <w:t xml:space="preserve">, </w:t>
      </w:r>
      <w:r>
        <w:rPr>
          <w:i/>
          <w:sz w:val="15"/>
        </w:rPr>
        <w:t xml:space="preserve">in </w:t>
      </w:r>
      <w:r>
        <w:rPr>
          <w:sz w:val="15"/>
        </w:rPr>
        <w:t xml:space="preserve">Spencer, A.T., Holter, E., </w:t>
      </w:r>
      <w:proofErr w:type="spellStart"/>
      <w:r>
        <w:rPr>
          <w:sz w:val="15"/>
        </w:rPr>
        <w:t>Campell</w:t>
      </w:r>
      <w:proofErr w:type="spellEnd"/>
      <w:r>
        <w:rPr>
          <w:sz w:val="15"/>
        </w:rPr>
        <w:t xml:space="preserve">, C.J., </w:t>
      </w:r>
      <w:proofErr w:type="spellStart"/>
      <w:r>
        <w:rPr>
          <w:sz w:val="15"/>
        </w:rPr>
        <w:t>Hanslien</w:t>
      </w:r>
      <w:proofErr w:type="spellEnd"/>
      <w:r>
        <w:rPr>
          <w:sz w:val="15"/>
        </w:rPr>
        <w:t xml:space="preserve">, S.H., Nelson, P.H.H., </w:t>
      </w:r>
      <w:proofErr w:type="spellStart"/>
      <w:r>
        <w:rPr>
          <w:sz w:val="15"/>
        </w:rPr>
        <w:t>Nysæther</w:t>
      </w:r>
      <w:proofErr w:type="spellEnd"/>
      <w:r>
        <w:rPr>
          <w:sz w:val="15"/>
        </w:rPr>
        <w:t xml:space="preserve">, E., and </w:t>
      </w:r>
      <w:proofErr w:type="spellStart"/>
      <w:r>
        <w:rPr>
          <w:sz w:val="15"/>
        </w:rPr>
        <w:t>Ormaasen</w:t>
      </w:r>
      <w:proofErr w:type="spellEnd"/>
      <w:r>
        <w:rPr>
          <w:sz w:val="15"/>
        </w:rPr>
        <w:t>, E., eds., Habitat of Hydrocarbons on the Norwegian</w:t>
      </w:r>
      <w:r>
        <w:rPr>
          <w:sz w:val="15"/>
        </w:rPr>
        <w:t xml:space="preserve"> Continental Shelf: London, Graham &amp; Trotman, p. 275–286.</w:t>
      </w:r>
    </w:p>
    <w:p w14:paraId="0B52DC32" w14:textId="77777777" w:rsidR="0081446C" w:rsidRDefault="002452A6">
      <w:pPr>
        <w:spacing w:after="22" w:line="230" w:lineRule="auto"/>
        <w:ind w:left="127" w:hanging="142"/>
      </w:pPr>
      <w:proofErr w:type="spellStart"/>
      <w:r>
        <w:rPr>
          <w:sz w:val="15"/>
        </w:rPr>
        <w:t>B</w:t>
      </w:r>
      <w:r>
        <w:rPr>
          <w:sz w:val="10"/>
        </w:rPr>
        <w:t>J</w:t>
      </w:r>
      <w:r>
        <w:rPr>
          <w:sz w:val="15"/>
        </w:rPr>
        <w:t>ø</w:t>
      </w:r>
      <w:r>
        <w:rPr>
          <w:sz w:val="10"/>
        </w:rPr>
        <w:t>RLYKKE</w:t>
      </w:r>
      <w:proofErr w:type="spellEnd"/>
      <w:r>
        <w:rPr>
          <w:sz w:val="15"/>
        </w:rPr>
        <w:t>, K., N</w:t>
      </w:r>
      <w:r>
        <w:rPr>
          <w:sz w:val="10"/>
        </w:rPr>
        <w:t>EDKVITNE</w:t>
      </w:r>
      <w:r>
        <w:rPr>
          <w:sz w:val="15"/>
        </w:rPr>
        <w:t>, T., R</w:t>
      </w:r>
      <w:r>
        <w:rPr>
          <w:sz w:val="10"/>
        </w:rPr>
        <w:t>AMM</w:t>
      </w:r>
      <w:r>
        <w:rPr>
          <w:sz w:val="15"/>
        </w:rPr>
        <w:t xml:space="preserve">, M., </w:t>
      </w:r>
      <w:r>
        <w:rPr>
          <w:sz w:val="10"/>
        </w:rPr>
        <w:t xml:space="preserve">AND </w:t>
      </w:r>
      <w:r>
        <w:rPr>
          <w:sz w:val="15"/>
        </w:rPr>
        <w:t>S</w:t>
      </w:r>
      <w:r>
        <w:rPr>
          <w:sz w:val="10"/>
        </w:rPr>
        <w:t>AIGAL</w:t>
      </w:r>
      <w:r>
        <w:rPr>
          <w:sz w:val="15"/>
        </w:rPr>
        <w:t xml:space="preserve">, G.C., 1992, Diagenetic processes in the Brent Group (Middle Jurassic) reservoirs of the North Sea: an overview, </w:t>
      </w:r>
      <w:r>
        <w:rPr>
          <w:i/>
          <w:sz w:val="15"/>
        </w:rPr>
        <w:t xml:space="preserve">in </w:t>
      </w:r>
      <w:r>
        <w:rPr>
          <w:sz w:val="15"/>
        </w:rPr>
        <w:t xml:space="preserve">Morton, A.C., </w:t>
      </w:r>
      <w:proofErr w:type="spellStart"/>
      <w:r>
        <w:rPr>
          <w:sz w:val="15"/>
        </w:rPr>
        <w:t>Haszeldine</w:t>
      </w:r>
      <w:proofErr w:type="spellEnd"/>
      <w:r>
        <w:rPr>
          <w:sz w:val="15"/>
        </w:rPr>
        <w:t>, R.S., Giles, M.R., and Brown, S., eds., Geology of the Brent Group: Geological Society of London, Special Publica</w:t>
      </w:r>
      <w:r>
        <w:rPr>
          <w:sz w:val="15"/>
        </w:rPr>
        <w:t>tion 61, p. 263–287.</w:t>
      </w:r>
    </w:p>
    <w:p w14:paraId="04D61F84" w14:textId="77777777" w:rsidR="0081446C" w:rsidRDefault="002452A6">
      <w:pPr>
        <w:spacing w:after="22" w:line="230" w:lineRule="auto"/>
        <w:ind w:left="127" w:hanging="142"/>
      </w:pPr>
      <w:r>
        <w:rPr>
          <w:sz w:val="15"/>
        </w:rPr>
        <w:t>B</w:t>
      </w:r>
      <w:r>
        <w:rPr>
          <w:sz w:val="10"/>
        </w:rPr>
        <w:t>LATT</w:t>
      </w:r>
      <w:r>
        <w:rPr>
          <w:sz w:val="15"/>
        </w:rPr>
        <w:t xml:space="preserve">, H., 1979, Diagenetic processes in sandstones, </w:t>
      </w:r>
      <w:r>
        <w:rPr>
          <w:i/>
          <w:sz w:val="15"/>
        </w:rPr>
        <w:t xml:space="preserve">in </w:t>
      </w:r>
      <w:r>
        <w:rPr>
          <w:sz w:val="15"/>
        </w:rPr>
        <w:t xml:space="preserve">Scholle, P.A., and </w:t>
      </w:r>
      <w:proofErr w:type="spellStart"/>
      <w:r>
        <w:rPr>
          <w:sz w:val="15"/>
        </w:rPr>
        <w:t>Schluger</w:t>
      </w:r>
      <w:proofErr w:type="spellEnd"/>
      <w:r>
        <w:rPr>
          <w:sz w:val="15"/>
        </w:rPr>
        <w:t>, P.R., eds., Aspects of Diagenesis: Society of Economic Paleontologists and Mineralogists, Special Publication 26, p. 141–157.</w:t>
      </w:r>
    </w:p>
    <w:p w14:paraId="2583CB05" w14:textId="77777777" w:rsidR="0081446C" w:rsidRDefault="002452A6">
      <w:pPr>
        <w:spacing w:after="22" w:line="230" w:lineRule="auto"/>
        <w:ind w:left="127" w:hanging="142"/>
      </w:pPr>
      <w:r>
        <w:rPr>
          <w:sz w:val="15"/>
        </w:rPr>
        <w:t>B</w:t>
      </w:r>
      <w:r>
        <w:rPr>
          <w:sz w:val="10"/>
        </w:rPr>
        <w:t>LOCH</w:t>
      </w:r>
      <w:r>
        <w:rPr>
          <w:sz w:val="15"/>
        </w:rPr>
        <w:t>, S., M</w:t>
      </w:r>
      <w:r>
        <w:rPr>
          <w:sz w:val="10"/>
        </w:rPr>
        <w:t>C</w:t>
      </w:r>
      <w:r>
        <w:rPr>
          <w:sz w:val="15"/>
        </w:rPr>
        <w:t>G</w:t>
      </w:r>
      <w:r>
        <w:rPr>
          <w:sz w:val="10"/>
        </w:rPr>
        <w:t>OWEN</w:t>
      </w:r>
      <w:r>
        <w:rPr>
          <w:sz w:val="15"/>
        </w:rPr>
        <w:t>, J.H.</w:t>
      </w:r>
      <w:r>
        <w:rPr>
          <w:sz w:val="15"/>
        </w:rPr>
        <w:t>, D</w:t>
      </w:r>
      <w:r>
        <w:rPr>
          <w:sz w:val="10"/>
        </w:rPr>
        <w:t>UNCAN</w:t>
      </w:r>
      <w:r>
        <w:rPr>
          <w:sz w:val="15"/>
        </w:rPr>
        <w:t xml:space="preserve">, J.R., </w:t>
      </w:r>
      <w:r>
        <w:rPr>
          <w:sz w:val="10"/>
        </w:rPr>
        <w:t xml:space="preserve">AND </w:t>
      </w:r>
      <w:r>
        <w:rPr>
          <w:sz w:val="15"/>
        </w:rPr>
        <w:t>B</w:t>
      </w:r>
      <w:r>
        <w:rPr>
          <w:sz w:val="10"/>
        </w:rPr>
        <w:t>RIZZOLARA</w:t>
      </w:r>
      <w:r>
        <w:rPr>
          <w:sz w:val="15"/>
        </w:rPr>
        <w:t xml:space="preserve">, D.W., 1990, Porosity prediction, prior to drilling, in sandstones of the </w:t>
      </w:r>
      <w:proofErr w:type="spellStart"/>
      <w:r>
        <w:rPr>
          <w:sz w:val="15"/>
        </w:rPr>
        <w:t>Kekiktuk</w:t>
      </w:r>
      <w:proofErr w:type="spellEnd"/>
      <w:r>
        <w:rPr>
          <w:sz w:val="15"/>
        </w:rPr>
        <w:t xml:space="preserve"> Formation (Mississippian), North Slope of Alaska: Association of American Petroleum Geologists, Bulletin, v. 74, p. 1371–1385.</w:t>
      </w:r>
    </w:p>
    <w:p w14:paraId="4C103DE8" w14:textId="77777777" w:rsidR="0081446C" w:rsidRDefault="002452A6">
      <w:pPr>
        <w:spacing w:after="22" w:line="230" w:lineRule="auto"/>
        <w:ind w:left="127" w:hanging="142"/>
      </w:pPr>
      <w:r>
        <w:rPr>
          <w:sz w:val="15"/>
        </w:rPr>
        <w:t>B</w:t>
      </w:r>
      <w:r>
        <w:rPr>
          <w:sz w:val="10"/>
        </w:rPr>
        <w:t>URLEY</w:t>
      </w:r>
      <w:r>
        <w:rPr>
          <w:sz w:val="15"/>
        </w:rPr>
        <w:t>, S.D., M</w:t>
      </w:r>
      <w:r>
        <w:rPr>
          <w:sz w:val="10"/>
        </w:rPr>
        <w:t>ULLIS</w:t>
      </w:r>
      <w:r>
        <w:rPr>
          <w:sz w:val="15"/>
        </w:rPr>
        <w:t xml:space="preserve">, J., </w:t>
      </w:r>
      <w:r>
        <w:rPr>
          <w:sz w:val="10"/>
        </w:rPr>
        <w:t xml:space="preserve">AND </w:t>
      </w:r>
      <w:r>
        <w:rPr>
          <w:sz w:val="15"/>
        </w:rPr>
        <w:t>M</w:t>
      </w:r>
      <w:r>
        <w:rPr>
          <w:sz w:val="10"/>
        </w:rPr>
        <w:t>ATTER</w:t>
      </w:r>
      <w:r>
        <w:rPr>
          <w:sz w:val="15"/>
        </w:rPr>
        <w:t>, A., 1989, Timing of diagenesis in the Tartan reservoir (U.K. North Sea): constraints from combined cathodoluminescence microscopy and fluid inclusion studies: Marine and Petroleum Geology, v. 6, p. 98–120.</w:t>
      </w:r>
    </w:p>
    <w:p w14:paraId="2623C4E0" w14:textId="77777777" w:rsidR="0081446C" w:rsidRDefault="002452A6">
      <w:pPr>
        <w:spacing w:after="22" w:line="230" w:lineRule="auto"/>
        <w:ind w:left="127" w:hanging="142"/>
      </w:pPr>
      <w:r>
        <w:rPr>
          <w:sz w:val="15"/>
        </w:rPr>
        <w:t>B</w:t>
      </w:r>
      <w:r>
        <w:rPr>
          <w:sz w:val="10"/>
        </w:rPr>
        <w:t>YRNES</w:t>
      </w:r>
      <w:r>
        <w:rPr>
          <w:sz w:val="15"/>
        </w:rPr>
        <w:t xml:space="preserve">, A.P. </w:t>
      </w:r>
      <w:r>
        <w:rPr>
          <w:sz w:val="10"/>
        </w:rPr>
        <w:t xml:space="preserve">AND </w:t>
      </w:r>
      <w:r>
        <w:rPr>
          <w:sz w:val="15"/>
        </w:rPr>
        <w:t>W</w:t>
      </w:r>
      <w:r>
        <w:rPr>
          <w:sz w:val="10"/>
        </w:rPr>
        <w:t>ILSON</w:t>
      </w:r>
      <w:r>
        <w:rPr>
          <w:sz w:val="15"/>
        </w:rPr>
        <w:t>, M.</w:t>
      </w:r>
      <w:r>
        <w:rPr>
          <w:sz w:val="15"/>
        </w:rPr>
        <w:t xml:space="preserve">D., 1994, Case history—St. Peter and Mt. Simon sandstones, Illinois basin, </w:t>
      </w:r>
      <w:r>
        <w:rPr>
          <w:i/>
          <w:sz w:val="15"/>
        </w:rPr>
        <w:t xml:space="preserve">in </w:t>
      </w:r>
      <w:r>
        <w:rPr>
          <w:sz w:val="15"/>
        </w:rPr>
        <w:t>Wilson, M.D., ed., Reservoir Quality Assessment and Prediction: SEPM, Short Course 30, p. 385–394.</w:t>
      </w:r>
    </w:p>
    <w:p w14:paraId="454485D0" w14:textId="77777777" w:rsidR="0081446C" w:rsidRDefault="002452A6">
      <w:pPr>
        <w:spacing w:after="0" w:line="230" w:lineRule="auto"/>
        <w:ind w:left="127" w:hanging="142"/>
      </w:pPr>
      <w:r>
        <w:rPr>
          <w:sz w:val="15"/>
        </w:rPr>
        <w:t>D</w:t>
      </w:r>
      <w:r>
        <w:rPr>
          <w:sz w:val="10"/>
        </w:rPr>
        <w:t>EWERS</w:t>
      </w:r>
      <w:r>
        <w:rPr>
          <w:sz w:val="15"/>
        </w:rPr>
        <w:t xml:space="preserve">, T., </w:t>
      </w:r>
      <w:r>
        <w:rPr>
          <w:sz w:val="10"/>
        </w:rPr>
        <w:t xml:space="preserve">AND </w:t>
      </w:r>
      <w:r>
        <w:rPr>
          <w:sz w:val="15"/>
        </w:rPr>
        <w:t>O</w:t>
      </w:r>
      <w:r>
        <w:rPr>
          <w:sz w:val="10"/>
        </w:rPr>
        <w:t>RTOLEVA</w:t>
      </w:r>
      <w:r>
        <w:rPr>
          <w:sz w:val="15"/>
        </w:rPr>
        <w:t>, P., 1990, A coupled reaction/transport/mechanical mod</w:t>
      </w:r>
      <w:r>
        <w:rPr>
          <w:sz w:val="15"/>
        </w:rPr>
        <w:t xml:space="preserve">el for intergranular pressure solution, </w:t>
      </w:r>
      <w:proofErr w:type="spellStart"/>
      <w:r>
        <w:rPr>
          <w:sz w:val="15"/>
        </w:rPr>
        <w:t>stylolites</w:t>
      </w:r>
      <w:proofErr w:type="spellEnd"/>
      <w:r>
        <w:rPr>
          <w:sz w:val="15"/>
        </w:rPr>
        <w:t xml:space="preserve"> and differential compaction and cementation in clean sandstones: </w:t>
      </w:r>
      <w:proofErr w:type="spellStart"/>
      <w:r>
        <w:rPr>
          <w:sz w:val="15"/>
        </w:rPr>
        <w:t>Geochimica</w:t>
      </w:r>
      <w:proofErr w:type="spellEnd"/>
      <w:r>
        <w:rPr>
          <w:sz w:val="15"/>
        </w:rPr>
        <w:t xml:space="preserve"> et </w:t>
      </w:r>
      <w:proofErr w:type="spellStart"/>
      <w:r>
        <w:rPr>
          <w:sz w:val="15"/>
        </w:rPr>
        <w:t>Cosmochimica</w:t>
      </w:r>
      <w:proofErr w:type="spellEnd"/>
      <w:r>
        <w:rPr>
          <w:sz w:val="15"/>
        </w:rPr>
        <w:t xml:space="preserve"> Acta, v. 54, p. 1609–1625.</w:t>
      </w:r>
    </w:p>
    <w:p w14:paraId="70CE5E7E" w14:textId="77777777" w:rsidR="0081446C" w:rsidRDefault="002452A6">
      <w:pPr>
        <w:spacing w:after="22" w:line="230" w:lineRule="auto"/>
        <w:ind w:left="127" w:hanging="142"/>
      </w:pPr>
      <w:r>
        <w:rPr>
          <w:sz w:val="15"/>
        </w:rPr>
        <w:t>E</w:t>
      </w:r>
      <w:r>
        <w:rPr>
          <w:sz w:val="10"/>
        </w:rPr>
        <w:t>HRENBERG</w:t>
      </w:r>
      <w:r>
        <w:rPr>
          <w:sz w:val="15"/>
        </w:rPr>
        <w:t>, S.N., 1990, Relationship between diagenesis and reservoir quality in sandst</w:t>
      </w:r>
      <w:r>
        <w:rPr>
          <w:sz w:val="15"/>
        </w:rPr>
        <w:t xml:space="preserve">ones of the </w:t>
      </w:r>
      <w:proofErr w:type="spellStart"/>
      <w:r>
        <w:rPr>
          <w:sz w:val="15"/>
        </w:rPr>
        <w:t>Garn</w:t>
      </w:r>
      <w:proofErr w:type="spellEnd"/>
      <w:r>
        <w:rPr>
          <w:sz w:val="15"/>
        </w:rPr>
        <w:t xml:space="preserve"> Formation, </w:t>
      </w:r>
      <w:proofErr w:type="spellStart"/>
      <w:r>
        <w:rPr>
          <w:sz w:val="15"/>
        </w:rPr>
        <w:t>Haltenbanken</w:t>
      </w:r>
      <w:proofErr w:type="spellEnd"/>
      <w:r>
        <w:rPr>
          <w:sz w:val="15"/>
        </w:rPr>
        <w:t>, mid-Norwegian continental shelf: American Association of Petroleum Geologists, Bulletin, v. 74, p. 1538–1558.</w:t>
      </w:r>
    </w:p>
    <w:p w14:paraId="380BF120" w14:textId="77777777" w:rsidR="0081446C" w:rsidRDefault="002452A6">
      <w:pPr>
        <w:spacing w:after="22" w:line="230" w:lineRule="auto"/>
        <w:ind w:left="127" w:hanging="142"/>
      </w:pPr>
      <w:r>
        <w:rPr>
          <w:sz w:val="15"/>
        </w:rPr>
        <w:t>G</w:t>
      </w:r>
      <w:r>
        <w:rPr>
          <w:sz w:val="10"/>
        </w:rPr>
        <w:t>ILES</w:t>
      </w:r>
      <w:r>
        <w:rPr>
          <w:sz w:val="15"/>
        </w:rPr>
        <w:t>, M.R., S</w:t>
      </w:r>
      <w:r>
        <w:rPr>
          <w:sz w:val="10"/>
        </w:rPr>
        <w:t>TEVENSON</w:t>
      </w:r>
      <w:r>
        <w:rPr>
          <w:sz w:val="15"/>
        </w:rPr>
        <w:t>, S., M</w:t>
      </w:r>
      <w:r>
        <w:rPr>
          <w:sz w:val="10"/>
        </w:rPr>
        <w:t>ARTIN</w:t>
      </w:r>
      <w:r>
        <w:rPr>
          <w:sz w:val="15"/>
        </w:rPr>
        <w:t>, S.V., C</w:t>
      </w:r>
      <w:r>
        <w:rPr>
          <w:sz w:val="10"/>
        </w:rPr>
        <w:t>ANNON</w:t>
      </w:r>
      <w:r>
        <w:rPr>
          <w:sz w:val="15"/>
        </w:rPr>
        <w:t>, S.J.C., H</w:t>
      </w:r>
      <w:r>
        <w:rPr>
          <w:sz w:val="10"/>
        </w:rPr>
        <w:t>AMILTON</w:t>
      </w:r>
      <w:r>
        <w:rPr>
          <w:sz w:val="15"/>
        </w:rPr>
        <w:t>, P.J., M</w:t>
      </w:r>
      <w:r>
        <w:rPr>
          <w:sz w:val="10"/>
        </w:rPr>
        <w:t>ARSHALL</w:t>
      </w:r>
      <w:r>
        <w:rPr>
          <w:sz w:val="15"/>
        </w:rPr>
        <w:t xml:space="preserve">, J.D., </w:t>
      </w:r>
      <w:r>
        <w:rPr>
          <w:sz w:val="10"/>
        </w:rPr>
        <w:t xml:space="preserve">AND </w:t>
      </w:r>
      <w:r>
        <w:rPr>
          <w:sz w:val="15"/>
        </w:rPr>
        <w:t>S</w:t>
      </w:r>
      <w:r>
        <w:rPr>
          <w:sz w:val="10"/>
        </w:rPr>
        <w:t>AMWAYS</w:t>
      </w:r>
      <w:r>
        <w:rPr>
          <w:sz w:val="15"/>
        </w:rPr>
        <w:t>, G</w:t>
      </w:r>
      <w:r>
        <w:rPr>
          <w:sz w:val="15"/>
        </w:rPr>
        <w:t xml:space="preserve">.M., 1992, The reservoir properties and diagenesis of the Brent Group: a regional perspective, </w:t>
      </w:r>
      <w:r>
        <w:rPr>
          <w:i/>
          <w:sz w:val="15"/>
        </w:rPr>
        <w:t xml:space="preserve">in </w:t>
      </w:r>
      <w:r>
        <w:rPr>
          <w:sz w:val="15"/>
        </w:rPr>
        <w:t xml:space="preserve">Morton, A.C., </w:t>
      </w:r>
      <w:proofErr w:type="spellStart"/>
      <w:r>
        <w:rPr>
          <w:sz w:val="15"/>
        </w:rPr>
        <w:t>Haszeldine</w:t>
      </w:r>
      <w:proofErr w:type="spellEnd"/>
      <w:r>
        <w:rPr>
          <w:sz w:val="15"/>
        </w:rPr>
        <w:t>, R.S., Giles, M.R., and Brown, S., eds., Geology of the Brent Group: Geological Society of London, Special Publication 61, p. 289–327</w:t>
      </w:r>
      <w:r>
        <w:rPr>
          <w:sz w:val="15"/>
        </w:rPr>
        <w:t>.</w:t>
      </w:r>
    </w:p>
    <w:p w14:paraId="3D2E1B16" w14:textId="77777777" w:rsidR="0081446C" w:rsidRDefault="002452A6">
      <w:pPr>
        <w:spacing w:after="22" w:line="230" w:lineRule="auto"/>
        <w:ind w:left="-15" w:firstLine="0"/>
      </w:pPr>
      <w:r>
        <w:rPr>
          <w:sz w:val="15"/>
        </w:rPr>
        <w:t>H</w:t>
      </w:r>
      <w:r>
        <w:rPr>
          <w:sz w:val="10"/>
        </w:rPr>
        <w:t>EALD</w:t>
      </w:r>
      <w:r>
        <w:rPr>
          <w:sz w:val="15"/>
        </w:rPr>
        <w:t xml:space="preserve">, M.T., 1955, </w:t>
      </w:r>
      <w:proofErr w:type="spellStart"/>
      <w:r>
        <w:rPr>
          <w:sz w:val="15"/>
        </w:rPr>
        <w:t>Stylolites</w:t>
      </w:r>
      <w:proofErr w:type="spellEnd"/>
      <w:r>
        <w:rPr>
          <w:sz w:val="15"/>
        </w:rPr>
        <w:t xml:space="preserve"> in sandstones: Journal of Geology, v. 63, p. 101–114.</w:t>
      </w:r>
    </w:p>
    <w:p w14:paraId="2CD1F941" w14:textId="77777777" w:rsidR="0081446C" w:rsidRDefault="002452A6">
      <w:pPr>
        <w:spacing w:after="22" w:line="230" w:lineRule="auto"/>
        <w:ind w:left="127" w:hanging="142"/>
      </w:pPr>
      <w:r>
        <w:rPr>
          <w:sz w:val="15"/>
        </w:rPr>
        <w:t>H</w:t>
      </w:r>
      <w:r>
        <w:rPr>
          <w:sz w:val="10"/>
        </w:rPr>
        <w:t>EALD</w:t>
      </w:r>
      <w:r>
        <w:rPr>
          <w:sz w:val="15"/>
        </w:rPr>
        <w:t xml:space="preserve">, M.T., </w:t>
      </w:r>
      <w:r>
        <w:rPr>
          <w:sz w:val="10"/>
        </w:rPr>
        <w:t xml:space="preserve">AND </w:t>
      </w:r>
      <w:r>
        <w:rPr>
          <w:sz w:val="15"/>
        </w:rPr>
        <w:t>L</w:t>
      </w:r>
      <w:r>
        <w:rPr>
          <w:sz w:val="10"/>
        </w:rPr>
        <w:t>ARESE</w:t>
      </w:r>
      <w:r>
        <w:rPr>
          <w:sz w:val="15"/>
        </w:rPr>
        <w:t>, R.E., 1974, Influence of coatings on quartz cementation: Journal of Sedimentary Petrology, v. 44, p. 1269–1274.</w:t>
      </w:r>
    </w:p>
    <w:p w14:paraId="0E53F96D" w14:textId="77777777" w:rsidR="0081446C" w:rsidRDefault="002452A6">
      <w:pPr>
        <w:spacing w:after="1" w:line="230" w:lineRule="auto"/>
        <w:ind w:left="127" w:hanging="142"/>
      </w:pPr>
      <w:r>
        <w:rPr>
          <w:sz w:val="15"/>
        </w:rPr>
        <w:t>H</w:t>
      </w:r>
      <w:r>
        <w:rPr>
          <w:sz w:val="10"/>
        </w:rPr>
        <w:t>EALD</w:t>
      </w:r>
      <w:r>
        <w:rPr>
          <w:sz w:val="15"/>
        </w:rPr>
        <w:t xml:space="preserve">, M.T., </w:t>
      </w:r>
      <w:r>
        <w:rPr>
          <w:sz w:val="10"/>
        </w:rPr>
        <w:t xml:space="preserve">AND </w:t>
      </w:r>
      <w:r>
        <w:rPr>
          <w:sz w:val="15"/>
        </w:rPr>
        <w:t>R</w:t>
      </w:r>
      <w:r>
        <w:rPr>
          <w:sz w:val="10"/>
        </w:rPr>
        <w:t>ENTON</w:t>
      </w:r>
      <w:r>
        <w:rPr>
          <w:sz w:val="15"/>
        </w:rPr>
        <w:t>, J.J., 1966, Experimental study of sandstone cementation: Journal of Sedimentary Petrology, v. 36, p. 977–991.</w:t>
      </w:r>
    </w:p>
    <w:p w14:paraId="469470A9" w14:textId="77777777" w:rsidR="0081446C" w:rsidRDefault="002452A6">
      <w:pPr>
        <w:spacing w:after="22" w:line="230" w:lineRule="auto"/>
        <w:ind w:left="127" w:hanging="142"/>
      </w:pPr>
      <w:r>
        <w:rPr>
          <w:sz w:val="15"/>
        </w:rPr>
        <w:t>H</w:t>
      </w:r>
      <w:r>
        <w:rPr>
          <w:sz w:val="10"/>
        </w:rPr>
        <w:t>OUSEKN</w:t>
      </w:r>
      <w:r>
        <w:rPr>
          <w:sz w:val="10"/>
        </w:rPr>
        <w:t>ECHT</w:t>
      </w:r>
      <w:r>
        <w:rPr>
          <w:sz w:val="15"/>
        </w:rPr>
        <w:t>, D.W., 1988, Intergranular pressure solution in four quartzose sandstones: Journal of Sedimentary Petrology, v. 58, p. 228–246.</w:t>
      </w:r>
    </w:p>
    <w:p w14:paraId="47B2E7B9" w14:textId="77777777" w:rsidR="0081446C" w:rsidRDefault="002452A6">
      <w:pPr>
        <w:spacing w:after="22" w:line="230" w:lineRule="auto"/>
        <w:ind w:left="127" w:hanging="142"/>
      </w:pPr>
      <w:r>
        <w:rPr>
          <w:sz w:val="15"/>
        </w:rPr>
        <w:t>L</w:t>
      </w:r>
      <w:r>
        <w:rPr>
          <w:sz w:val="10"/>
        </w:rPr>
        <w:t>AND</w:t>
      </w:r>
      <w:r>
        <w:rPr>
          <w:sz w:val="15"/>
        </w:rPr>
        <w:t xml:space="preserve">, L.S., </w:t>
      </w:r>
      <w:r>
        <w:rPr>
          <w:sz w:val="10"/>
        </w:rPr>
        <w:t xml:space="preserve">AND </w:t>
      </w:r>
      <w:r>
        <w:rPr>
          <w:sz w:val="15"/>
        </w:rPr>
        <w:t>F</w:t>
      </w:r>
      <w:r>
        <w:rPr>
          <w:sz w:val="10"/>
        </w:rPr>
        <w:t>ISHER</w:t>
      </w:r>
      <w:r>
        <w:rPr>
          <w:sz w:val="15"/>
        </w:rPr>
        <w:t xml:space="preserve">, R.S., 1987, Wilcox sandstone diagenesis, Texas Gulf Coast: a regional isotopic comparison with the </w:t>
      </w:r>
      <w:r>
        <w:rPr>
          <w:sz w:val="15"/>
        </w:rPr>
        <w:t xml:space="preserve">Frio Formation, </w:t>
      </w:r>
      <w:r>
        <w:rPr>
          <w:i/>
          <w:sz w:val="15"/>
        </w:rPr>
        <w:t xml:space="preserve">in </w:t>
      </w:r>
      <w:r>
        <w:rPr>
          <w:sz w:val="15"/>
        </w:rPr>
        <w:t>Marshall, J.D., ed., Diagenesis of Sedimentary Sequences: Geological Society of London, Special Publication 36, p. 219–235.</w:t>
      </w:r>
    </w:p>
    <w:p w14:paraId="3570865D" w14:textId="77777777" w:rsidR="0081446C" w:rsidRDefault="002452A6">
      <w:pPr>
        <w:spacing w:after="22" w:line="230" w:lineRule="auto"/>
        <w:ind w:left="127" w:hanging="142"/>
      </w:pPr>
      <w:r>
        <w:rPr>
          <w:sz w:val="15"/>
        </w:rPr>
        <w:t>L</w:t>
      </w:r>
      <w:r>
        <w:rPr>
          <w:sz w:val="10"/>
        </w:rPr>
        <w:t>AND</w:t>
      </w:r>
      <w:r>
        <w:rPr>
          <w:sz w:val="15"/>
        </w:rPr>
        <w:t xml:space="preserve">, L.S., </w:t>
      </w:r>
      <w:r>
        <w:rPr>
          <w:sz w:val="10"/>
        </w:rPr>
        <w:t xml:space="preserve">AND </w:t>
      </w:r>
      <w:r>
        <w:rPr>
          <w:sz w:val="15"/>
        </w:rPr>
        <w:t>M</w:t>
      </w:r>
      <w:r>
        <w:rPr>
          <w:sz w:val="10"/>
        </w:rPr>
        <w:t>ILLIKEN</w:t>
      </w:r>
      <w:r>
        <w:rPr>
          <w:sz w:val="15"/>
        </w:rPr>
        <w:t>, K.L., 2000, Regional loss of SiO</w:t>
      </w:r>
      <w:r>
        <w:rPr>
          <w:sz w:val="14"/>
          <w:vertAlign w:val="subscript"/>
        </w:rPr>
        <w:t xml:space="preserve">2 </w:t>
      </w:r>
      <w:r>
        <w:rPr>
          <w:sz w:val="15"/>
        </w:rPr>
        <w:t>and CaCO</w:t>
      </w:r>
      <w:r>
        <w:rPr>
          <w:sz w:val="14"/>
          <w:vertAlign w:val="subscript"/>
        </w:rPr>
        <w:t>3</w:t>
      </w:r>
      <w:r>
        <w:rPr>
          <w:sz w:val="15"/>
        </w:rPr>
        <w:t>, and gain of K</w:t>
      </w:r>
      <w:r>
        <w:rPr>
          <w:sz w:val="14"/>
          <w:vertAlign w:val="subscript"/>
        </w:rPr>
        <w:t>2</w:t>
      </w:r>
      <w:r>
        <w:rPr>
          <w:sz w:val="15"/>
        </w:rPr>
        <w:t>O during burial diagenesis o</w:t>
      </w:r>
      <w:r>
        <w:rPr>
          <w:sz w:val="15"/>
        </w:rPr>
        <w:t xml:space="preserve">f Gulf Coast </w:t>
      </w:r>
      <w:proofErr w:type="spellStart"/>
      <w:r>
        <w:rPr>
          <w:sz w:val="15"/>
        </w:rPr>
        <w:t>mudrocks</w:t>
      </w:r>
      <w:proofErr w:type="spellEnd"/>
      <w:r>
        <w:rPr>
          <w:sz w:val="15"/>
        </w:rPr>
        <w:t xml:space="preserve">, U.S.A., </w:t>
      </w:r>
      <w:r>
        <w:rPr>
          <w:i/>
          <w:sz w:val="15"/>
        </w:rPr>
        <w:t xml:space="preserve">in </w:t>
      </w:r>
      <w:r>
        <w:rPr>
          <w:sz w:val="15"/>
        </w:rPr>
        <w:t xml:space="preserve">Worden, R.H., and </w:t>
      </w:r>
      <w:proofErr w:type="spellStart"/>
      <w:r>
        <w:rPr>
          <w:sz w:val="15"/>
        </w:rPr>
        <w:t>Morad</w:t>
      </w:r>
      <w:proofErr w:type="spellEnd"/>
      <w:r>
        <w:rPr>
          <w:sz w:val="15"/>
        </w:rPr>
        <w:t xml:space="preserve">, S., eds., Quartz Cementation in Sandstones: International Association of </w:t>
      </w:r>
      <w:proofErr w:type="spellStart"/>
      <w:r>
        <w:rPr>
          <w:sz w:val="15"/>
        </w:rPr>
        <w:t>Sedimentologists</w:t>
      </w:r>
      <w:proofErr w:type="spellEnd"/>
      <w:r>
        <w:rPr>
          <w:sz w:val="15"/>
        </w:rPr>
        <w:t>, Special Publication 29, p. 183–197.</w:t>
      </w:r>
    </w:p>
    <w:p w14:paraId="38DF75AD" w14:textId="77777777" w:rsidR="0081446C" w:rsidRDefault="002452A6">
      <w:pPr>
        <w:spacing w:after="0" w:line="230" w:lineRule="auto"/>
        <w:ind w:left="127" w:hanging="142"/>
      </w:pPr>
      <w:r>
        <w:rPr>
          <w:sz w:val="15"/>
        </w:rPr>
        <w:t>L</w:t>
      </w:r>
      <w:r>
        <w:rPr>
          <w:sz w:val="10"/>
        </w:rPr>
        <w:t>ANDER</w:t>
      </w:r>
      <w:r>
        <w:rPr>
          <w:sz w:val="15"/>
        </w:rPr>
        <w:t xml:space="preserve">, R.H., </w:t>
      </w:r>
      <w:r>
        <w:rPr>
          <w:sz w:val="10"/>
        </w:rPr>
        <w:t xml:space="preserve">AND </w:t>
      </w:r>
      <w:r>
        <w:rPr>
          <w:sz w:val="15"/>
        </w:rPr>
        <w:t>W</w:t>
      </w:r>
      <w:r>
        <w:rPr>
          <w:sz w:val="10"/>
        </w:rPr>
        <w:t>ALDERHAUG</w:t>
      </w:r>
      <w:r>
        <w:rPr>
          <w:sz w:val="15"/>
        </w:rPr>
        <w:t>, O., 1999, Predicting porosity through si</w:t>
      </w:r>
      <w:r>
        <w:rPr>
          <w:sz w:val="15"/>
        </w:rPr>
        <w:t>mulating sandstone compaction and quartz cementation: American Association of Petroleum Geologists, Bulletin, v. 83, p. 433–449.</w:t>
      </w:r>
    </w:p>
    <w:p w14:paraId="6FB24A28" w14:textId="77777777" w:rsidR="0081446C" w:rsidRDefault="002452A6">
      <w:pPr>
        <w:spacing w:after="22" w:line="230" w:lineRule="auto"/>
        <w:ind w:left="127" w:hanging="142"/>
      </w:pPr>
      <w:r>
        <w:rPr>
          <w:sz w:val="15"/>
        </w:rPr>
        <w:t>L</w:t>
      </w:r>
      <w:r>
        <w:rPr>
          <w:sz w:val="10"/>
        </w:rPr>
        <w:t>OWRY</w:t>
      </w:r>
      <w:r>
        <w:rPr>
          <w:sz w:val="15"/>
        </w:rPr>
        <w:t>, W.D., 1956, Factors in loss of porosity by quartzose sandstones of Virginia: American Association of Petroleum Geologist</w:t>
      </w:r>
      <w:r>
        <w:rPr>
          <w:sz w:val="15"/>
        </w:rPr>
        <w:t>s, Bulletin, v. 40, p. 489–500.</w:t>
      </w:r>
    </w:p>
    <w:p w14:paraId="25D3D858" w14:textId="77777777" w:rsidR="0081446C" w:rsidRDefault="002452A6">
      <w:pPr>
        <w:spacing w:after="22" w:line="230" w:lineRule="auto"/>
        <w:ind w:left="-15" w:firstLine="0"/>
      </w:pPr>
      <w:r>
        <w:rPr>
          <w:sz w:val="15"/>
        </w:rPr>
        <w:t>M</w:t>
      </w:r>
      <w:r>
        <w:rPr>
          <w:sz w:val="10"/>
        </w:rPr>
        <w:t>C</w:t>
      </w:r>
      <w:r>
        <w:rPr>
          <w:sz w:val="15"/>
        </w:rPr>
        <w:t>B</w:t>
      </w:r>
      <w:r>
        <w:rPr>
          <w:sz w:val="10"/>
        </w:rPr>
        <w:t>RIDE</w:t>
      </w:r>
      <w:r>
        <w:rPr>
          <w:sz w:val="15"/>
        </w:rPr>
        <w:t>, E.F., 1989, Quartz cement in sandstones: a review: Earth-Science Reviews, v. 26,</w:t>
      </w:r>
    </w:p>
    <w:p w14:paraId="4B1F6C87" w14:textId="77777777" w:rsidR="0081446C" w:rsidRDefault="002452A6">
      <w:pPr>
        <w:spacing w:after="22" w:line="230" w:lineRule="auto"/>
        <w:ind w:left="132" w:firstLine="0"/>
      </w:pPr>
      <w:r>
        <w:rPr>
          <w:sz w:val="15"/>
        </w:rPr>
        <w:t>p. 69–112.</w:t>
      </w:r>
    </w:p>
    <w:p w14:paraId="0F93589A" w14:textId="77777777" w:rsidR="0081446C" w:rsidRDefault="002452A6">
      <w:pPr>
        <w:spacing w:after="22" w:line="230" w:lineRule="auto"/>
        <w:ind w:left="127" w:hanging="142"/>
      </w:pPr>
      <w:r>
        <w:rPr>
          <w:sz w:val="15"/>
        </w:rPr>
        <w:t>M</w:t>
      </w:r>
      <w:r>
        <w:rPr>
          <w:sz w:val="10"/>
        </w:rPr>
        <w:t>ULLIS</w:t>
      </w:r>
      <w:r>
        <w:rPr>
          <w:sz w:val="15"/>
        </w:rPr>
        <w:t>, A.M., 1991, The role of silica precipitation kinetics in determining the rate of quartz pressure solution: Journal of Geophysical Research, v. 96, p. 10,007–10,013.</w:t>
      </w:r>
    </w:p>
    <w:p w14:paraId="22BAD274" w14:textId="77777777" w:rsidR="0081446C" w:rsidRDefault="002452A6">
      <w:pPr>
        <w:spacing w:after="22" w:line="230" w:lineRule="auto"/>
        <w:ind w:left="127" w:right="241" w:hanging="142"/>
      </w:pPr>
      <w:r>
        <w:rPr>
          <w:sz w:val="15"/>
        </w:rPr>
        <w:t>N</w:t>
      </w:r>
      <w:r>
        <w:rPr>
          <w:sz w:val="10"/>
        </w:rPr>
        <w:t>YLAND</w:t>
      </w:r>
      <w:r>
        <w:rPr>
          <w:sz w:val="15"/>
        </w:rPr>
        <w:t>, B., J</w:t>
      </w:r>
      <w:r>
        <w:rPr>
          <w:sz w:val="10"/>
        </w:rPr>
        <w:t>ENSEN</w:t>
      </w:r>
      <w:r>
        <w:rPr>
          <w:sz w:val="15"/>
        </w:rPr>
        <w:t>, L.N., S</w:t>
      </w:r>
      <w:r>
        <w:rPr>
          <w:sz w:val="10"/>
        </w:rPr>
        <w:t>KAGEN</w:t>
      </w:r>
      <w:r>
        <w:rPr>
          <w:sz w:val="15"/>
        </w:rPr>
        <w:t>, J., S</w:t>
      </w:r>
      <w:r>
        <w:rPr>
          <w:sz w:val="10"/>
        </w:rPr>
        <w:t>KARPNES</w:t>
      </w:r>
      <w:r>
        <w:rPr>
          <w:sz w:val="15"/>
        </w:rPr>
        <w:t xml:space="preserve">, O., </w:t>
      </w:r>
      <w:r>
        <w:rPr>
          <w:sz w:val="10"/>
        </w:rPr>
        <w:t xml:space="preserve">AND </w:t>
      </w:r>
      <w:r>
        <w:rPr>
          <w:sz w:val="15"/>
        </w:rPr>
        <w:t>V</w:t>
      </w:r>
      <w:r>
        <w:rPr>
          <w:sz w:val="10"/>
        </w:rPr>
        <w:t>ORREN</w:t>
      </w:r>
      <w:r>
        <w:rPr>
          <w:sz w:val="15"/>
        </w:rPr>
        <w:t>, T., 1992, Tertiary uplift</w:t>
      </w:r>
      <w:r>
        <w:rPr>
          <w:sz w:val="15"/>
        </w:rPr>
        <w:t xml:space="preserve"> and erosion in the Barents Sea: magnitude, </w:t>
      </w:r>
      <w:proofErr w:type="gramStart"/>
      <w:r>
        <w:rPr>
          <w:sz w:val="15"/>
        </w:rPr>
        <w:t>timing</w:t>
      </w:r>
      <w:proofErr w:type="gramEnd"/>
      <w:r>
        <w:rPr>
          <w:sz w:val="15"/>
        </w:rPr>
        <w:t xml:space="preserve"> and consequences, </w:t>
      </w:r>
      <w:r>
        <w:rPr>
          <w:i/>
          <w:sz w:val="15"/>
        </w:rPr>
        <w:t xml:space="preserve">in </w:t>
      </w:r>
      <w:r>
        <w:rPr>
          <w:sz w:val="15"/>
        </w:rPr>
        <w:t xml:space="preserve">Larsen, R.M., Brekke, H., Larsen, B.T., and </w:t>
      </w:r>
      <w:proofErr w:type="spellStart"/>
      <w:r>
        <w:rPr>
          <w:sz w:val="15"/>
        </w:rPr>
        <w:t>Talleraas</w:t>
      </w:r>
      <w:proofErr w:type="spellEnd"/>
      <w:r>
        <w:rPr>
          <w:sz w:val="15"/>
        </w:rPr>
        <w:t>, E., eds., Structural and Tectonic Modelling and its Application to Petroleum Geology: Amsterdam, Elsevier, p. 153–162.</w:t>
      </w:r>
    </w:p>
    <w:p w14:paraId="7428830E" w14:textId="77777777" w:rsidR="0081446C" w:rsidRDefault="002452A6">
      <w:pPr>
        <w:spacing w:after="22" w:line="230" w:lineRule="auto"/>
        <w:ind w:left="127" w:right="239" w:hanging="142"/>
      </w:pPr>
      <w:r>
        <w:rPr>
          <w:sz w:val="15"/>
        </w:rPr>
        <w:t>O</w:t>
      </w:r>
      <w:r>
        <w:rPr>
          <w:sz w:val="10"/>
        </w:rPr>
        <w:t>ELKERS</w:t>
      </w:r>
      <w:r>
        <w:rPr>
          <w:sz w:val="15"/>
        </w:rPr>
        <w:t>, E</w:t>
      </w:r>
      <w:r>
        <w:rPr>
          <w:sz w:val="15"/>
        </w:rPr>
        <w:t xml:space="preserve">.H., </w:t>
      </w:r>
      <w:proofErr w:type="spellStart"/>
      <w:r>
        <w:rPr>
          <w:sz w:val="15"/>
        </w:rPr>
        <w:t>B</w:t>
      </w:r>
      <w:r>
        <w:rPr>
          <w:sz w:val="10"/>
        </w:rPr>
        <w:t>J</w:t>
      </w:r>
      <w:r>
        <w:rPr>
          <w:sz w:val="15"/>
        </w:rPr>
        <w:t>ø</w:t>
      </w:r>
      <w:r>
        <w:rPr>
          <w:sz w:val="10"/>
        </w:rPr>
        <w:t>RKUM</w:t>
      </w:r>
      <w:proofErr w:type="spellEnd"/>
      <w:r>
        <w:rPr>
          <w:sz w:val="15"/>
        </w:rPr>
        <w:t xml:space="preserve">, P.A., </w:t>
      </w:r>
      <w:r>
        <w:rPr>
          <w:sz w:val="10"/>
        </w:rPr>
        <w:t xml:space="preserve">AND </w:t>
      </w:r>
      <w:r>
        <w:rPr>
          <w:sz w:val="15"/>
        </w:rPr>
        <w:t>M</w:t>
      </w:r>
      <w:r>
        <w:rPr>
          <w:sz w:val="10"/>
        </w:rPr>
        <w:t>URPHY</w:t>
      </w:r>
      <w:r>
        <w:rPr>
          <w:sz w:val="15"/>
        </w:rPr>
        <w:t>, W.M., 1996, A petrographic and computational investigation of quartz cementation and porosity reduction in North Sea sandstones: American Journal of Science, v. 296, p. 420–452.</w:t>
      </w:r>
    </w:p>
    <w:p w14:paraId="5138A4E6" w14:textId="77777777" w:rsidR="0081446C" w:rsidRDefault="002452A6">
      <w:pPr>
        <w:spacing w:after="22" w:line="230" w:lineRule="auto"/>
        <w:ind w:left="127" w:right="243" w:hanging="142"/>
      </w:pPr>
      <w:r>
        <w:rPr>
          <w:sz w:val="15"/>
        </w:rPr>
        <w:t>O</w:t>
      </w:r>
      <w:r>
        <w:rPr>
          <w:sz w:val="10"/>
        </w:rPr>
        <w:t>ELKERS</w:t>
      </w:r>
      <w:r>
        <w:rPr>
          <w:sz w:val="15"/>
        </w:rPr>
        <w:t xml:space="preserve">, E.H., </w:t>
      </w:r>
      <w:proofErr w:type="spellStart"/>
      <w:r>
        <w:rPr>
          <w:sz w:val="15"/>
        </w:rPr>
        <w:t>B</w:t>
      </w:r>
      <w:r>
        <w:rPr>
          <w:sz w:val="10"/>
        </w:rPr>
        <w:t>J</w:t>
      </w:r>
      <w:r>
        <w:rPr>
          <w:sz w:val="15"/>
        </w:rPr>
        <w:t>ø</w:t>
      </w:r>
      <w:r>
        <w:rPr>
          <w:sz w:val="10"/>
        </w:rPr>
        <w:t>RKUM</w:t>
      </w:r>
      <w:proofErr w:type="spellEnd"/>
      <w:r>
        <w:rPr>
          <w:sz w:val="15"/>
        </w:rPr>
        <w:t>, P.A., W</w:t>
      </w:r>
      <w:r>
        <w:rPr>
          <w:sz w:val="10"/>
        </w:rPr>
        <w:t>ALDERHAUG</w:t>
      </w:r>
      <w:r>
        <w:rPr>
          <w:sz w:val="15"/>
        </w:rPr>
        <w:t>, O., N</w:t>
      </w:r>
      <w:r>
        <w:rPr>
          <w:sz w:val="10"/>
        </w:rPr>
        <w:t>ADEAU</w:t>
      </w:r>
      <w:r>
        <w:rPr>
          <w:sz w:val="15"/>
        </w:rPr>
        <w:t xml:space="preserve">, P.H., </w:t>
      </w:r>
      <w:r>
        <w:rPr>
          <w:sz w:val="10"/>
        </w:rPr>
        <w:t xml:space="preserve">AND </w:t>
      </w:r>
      <w:r>
        <w:rPr>
          <w:sz w:val="15"/>
        </w:rPr>
        <w:t>M</w:t>
      </w:r>
      <w:r>
        <w:rPr>
          <w:sz w:val="10"/>
        </w:rPr>
        <w:t>URPHY</w:t>
      </w:r>
      <w:r>
        <w:rPr>
          <w:sz w:val="15"/>
        </w:rPr>
        <w:t>, W.M.</w:t>
      </w:r>
      <w:r>
        <w:rPr>
          <w:sz w:val="15"/>
        </w:rPr>
        <w:t>, 2000, Making diagenesis obey thermodynamics and kinetics: the case of quartz cementation in sandstones from offshore mid-Norway: Applied Geochemistry, v. 15, p. 295–309.</w:t>
      </w:r>
    </w:p>
    <w:p w14:paraId="051AEC4B" w14:textId="77777777" w:rsidR="0081446C" w:rsidRDefault="002452A6">
      <w:pPr>
        <w:spacing w:after="22" w:line="230" w:lineRule="auto"/>
        <w:ind w:left="127" w:right="242" w:hanging="142"/>
      </w:pPr>
      <w:r>
        <w:rPr>
          <w:sz w:val="15"/>
        </w:rPr>
        <w:t>O</w:t>
      </w:r>
      <w:r>
        <w:rPr>
          <w:sz w:val="10"/>
        </w:rPr>
        <w:t>LAUSSEN</w:t>
      </w:r>
      <w:r>
        <w:rPr>
          <w:sz w:val="15"/>
        </w:rPr>
        <w:t>, S., D</w:t>
      </w:r>
      <w:r>
        <w:rPr>
          <w:sz w:val="10"/>
        </w:rPr>
        <w:t>ALLAND</w:t>
      </w:r>
      <w:r>
        <w:rPr>
          <w:sz w:val="15"/>
        </w:rPr>
        <w:t>, A., G</w:t>
      </w:r>
      <w:r>
        <w:rPr>
          <w:sz w:val="10"/>
        </w:rPr>
        <w:t>LOPPEN</w:t>
      </w:r>
      <w:r>
        <w:rPr>
          <w:sz w:val="15"/>
        </w:rPr>
        <w:t xml:space="preserve">, T.G., </w:t>
      </w:r>
      <w:r>
        <w:rPr>
          <w:sz w:val="10"/>
        </w:rPr>
        <w:t xml:space="preserve">AND </w:t>
      </w:r>
      <w:r>
        <w:rPr>
          <w:sz w:val="15"/>
        </w:rPr>
        <w:t>J</w:t>
      </w:r>
      <w:r>
        <w:rPr>
          <w:sz w:val="10"/>
        </w:rPr>
        <w:t>OHANNESSEN</w:t>
      </w:r>
      <w:r>
        <w:rPr>
          <w:sz w:val="15"/>
        </w:rPr>
        <w:t>, E., 1984, Depositional en</w:t>
      </w:r>
      <w:r>
        <w:rPr>
          <w:sz w:val="15"/>
        </w:rPr>
        <w:t xml:space="preserve">vironment and diagenesis of Jurassic reservoir sandstones in the eastern part of Troms I area, </w:t>
      </w:r>
      <w:r>
        <w:rPr>
          <w:i/>
          <w:sz w:val="15"/>
        </w:rPr>
        <w:t xml:space="preserve">in </w:t>
      </w:r>
      <w:r>
        <w:rPr>
          <w:sz w:val="15"/>
        </w:rPr>
        <w:t xml:space="preserve">Spencer, A.M., Holter, E., Johnsen, S.O., </w:t>
      </w:r>
      <w:proofErr w:type="spellStart"/>
      <w:r>
        <w:rPr>
          <w:sz w:val="15"/>
        </w:rPr>
        <w:t>Mørk</w:t>
      </w:r>
      <w:proofErr w:type="spellEnd"/>
      <w:r>
        <w:rPr>
          <w:sz w:val="15"/>
        </w:rPr>
        <w:t xml:space="preserve">, A., </w:t>
      </w:r>
      <w:proofErr w:type="spellStart"/>
      <w:r>
        <w:rPr>
          <w:sz w:val="15"/>
        </w:rPr>
        <w:t>Nysæther</w:t>
      </w:r>
      <w:proofErr w:type="spellEnd"/>
      <w:r>
        <w:rPr>
          <w:sz w:val="15"/>
        </w:rPr>
        <w:t xml:space="preserve">, E., </w:t>
      </w:r>
      <w:proofErr w:type="spellStart"/>
      <w:r>
        <w:rPr>
          <w:sz w:val="15"/>
        </w:rPr>
        <w:t>Sognstad</w:t>
      </w:r>
      <w:proofErr w:type="spellEnd"/>
      <w:r>
        <w:rPr>
          <w:sz w:val="15"/>
        </w:rPr>
        <w:t xml:space="preserve">, P., and </w:t>
      </w:r>
      <w:proofErr w:type="spellStart"/>
      <w:r>
        <w:rPr>
          <w:sz w:val="15"/>
        </w:rPr>
        <w:t>Spinnangr</w:t>
      </w:r>
      <w:proofErr w:type="spellEnd"/>
      <w:r>
        <w:rPr>
          <w:sz w:val="15"/>
        </w:rPr>
        <w:t>, A</w:t>
      </w:r>
      <w:proofErr w:type="gramStart"/>
      <w:r>
        <w:rPr>
          <w:sz w:val="15"/>
        </w:rPr>
        <w:t>˚ .</w:t>
      </w:r>
      <w:proofErr w:type="gramEnd"/>
      <w:r>
        <w:rPr>
          <w:sz w:val="15"/>
        </w:rPr>
        <w:t>, eds., Petroleum Geology of the North European Margin: Lon</w:t>
      </w:r>
      <w:r>
        <w:rPr>
          <w:sz w:val="15"/>
        </w:rPr>
        <w:t>don, Graham &amp; Trotman, p. 61–79.</w:t>
      </w:r>
    </w:p>
    <w:p w14:paraId="74E79976" w14:textId="77777777" w:rsidR="0081446C" w:rsidRDefault="002452A6">
      <w:pPr>
        <w:spacing w:after="28" w:line="227" w:lineRule="auto"/>
        <w:ind w:left="127" w:right="145" w:hanging="142"/>
        <w:jc w:val="left"/>
      </w:pPr>
      <w:r>
        <w:rPr>
          <w:sz w:val="15"/>
        </w:rPr>
        <w:t>P</w:t>
      </w:r>
      <w:r>
        <w:rPr>
          <w:sz w:val="10"/>
        </w:rPr>
        <w:t>ARNELL</w:t>
      </w:r>
      <w:r>
        <w:rPr>
          <w:sz w:val="15"/>
        </w:rPr>
        <w:t xml:space="preserve">, J., 1987, Secondary porosity in hydrocarbon-bearing transgressive sandstones on an unstable lower </w:t>
      </w:r>
      <w:proofErr w:type="spellStart"/>
      <w:r>
        <w:rPr>
          <w:sz w:val="15"/>
        </w:rPr>
        <w:t>Palaeozoic</w:t>
      </w:r>
      <w:proofErr w:type="spellEnd"/>
      <w:r>
        <w:rPr>
          <w:sz w:val="15"/>
        </w:rPr>
        <w:t xml:space="preserve"> continental shelf, Welsh Borderland, </w:t>
      </w:r>
      <w:r>
        <w:rPr>
          <w:i/>
          <w:sz w:val="15"/>
        </w:rPr>
        <w:t xml:space="preserve">in </w:t>
      </w:r>
      <w:r>
        <w:rPr>
          <w:sz w:val="15"/>
        </w:rPr>
        <w:t>Marshall, J.D., ed., Diagenesis of Sedimentary Sequences: Geologi</w:t>
      </w:r>
      <w:r>
        <w:rPr>
          <w:sz w:val="15"/>
        </w:rPr>
        <w:t>cal Society of London, Special Publication 36, p. 297–312.</w:t>
      </w:r>
    </w:p>
    <w:p w14:paraId="73F7481D" w14:textId="77777777" w:rsidR="0081446C" w:rsidRDefault="002452A6">
      <w:pPr>
        <w:spacing w:after="22" w:line="230" w:lineRule="auto"/>
        <w:ind w:left="127" w:right="239" w:hanging="142"/>
      </w:pPr>
      <w:r>
        <w:rPr>
          <w:sz w:val="15"/>
        </w:rPr>
        <w:t>R</w:t>
      </w:r>
      <w:r>
        <w:rPr>
          <w:sz w:val="10"/>
        </w:rPr>
        <w:t>ICHES</w:t>
      </w:r>
      <w:r>
        <w:rPr>
          <w:sz w:val="15"/>
        </w:rPr>
        <w:t>, P., T</w:t>
      </w:r>
      <w:r>
        <w:rPr>
          <w:sz w:val="10"/>
        </w:rPr>
        <w:t>RAUBB</w:t>
      </w:r>
      <w:r>
        <w:rPr>
          <w:sz w:val="15"/>
        </w:rPr>
        <w:t>-S</w:t>
      </w:r>
      <w:r>
        <w:rPr>
          <w:sz w:val="10"/>
        </w:rPr>
        <w:t>OBOTT</w:t>
      </w:r>
      <w:r>
        <w:rPr>
          <w:sz w:val="15"/>
        </w:rPr>
        <w:t>, I., Z</w:t>
      </w:r>
      <w:r>
        <w:rPr>
          <w:sz w:val="10"/>
        </w:rPr>
        <w:t>IMMERLE</w:t>
      </w:r>
      <w:r>
        <w:rPr>
          <w:sz w:val="15"/>
        </w:rPr>
        <w:t xml:space="preserve">, W., </w:t>
      </w:r>
      <w:r>
        <w:rPr>
          <w:sz w:val="10"/>
        </w:rPr>
        <w:t xml:space="preserve">AND </w:t>
      </w:r>
      <w:r>
        <w:rPr>
          <w:sz w:val="15"/>
        </w:rPr>
        <w:t>Z</w:t>
      </w:r>
      <w:r>
        <w:rPr>
          <w:sz w:val="10"/>
        </w:rPr>
        <w:t>INKERNAGEL</w:t>
      </w:r>
      <w:r>
        <w:rPr>
          <w:sz w:val="15"/>
        </w:rPr>
        <w:t xml:space="preserve">, U., 1986, Diagenetic peculiarities of potential Lower Jurassic reservoir sandstones, Troms I area, off </w:t>
      </w:r>
      <w:r>
        <w:rPr>
          <w:sz w:val="15"/>
        </w:rPr>
        <w:lastRenderedPageBreak/>
        <w:t>northern Norway, and their tecto</w:t>
      </w:r>
      <w:r>
        <w:rPr>
          <w:sz w:val="15"/>
        </w:rPr>
        <w:t>nic significance: Clay Minerals, v. 21, p. 565–584.</w:t>
      </w:r>
    </w:p>
    <w:p w14:paraId="7096714D" w14:textId="77777777" w:rsidR="0081446C" w:rsidRDefault="002452A6">
      <w:pPr>
        <w:spacing w:after="0" w:line="230" w:lineRule="auto"/>
        <w:ind w:left="127" w:hanging="142"/>
      </w:pPr>
      <w:r>
        <w:rPr>
          <w:sz w:val="15"/>
        </w:rPr>
        <w:t>S</w:t>
      </w:r>
      <w:r>
        <w:rPr>
          <w:sz w:val="10"/>
        </w:rPr>
        <w:t>IBLEY</w:t>
      </w:r>
      <w:r>
        <w:rPr>
          <w:sz w:val="15"/>
        </w:rPr>
        <w:t xml:space="preserve">, D.F., </w:t>
      </w:r>
      <w:r>
        <w:rPr>
          <w:sz w:val="10"/>
        </w:rPr>
        <w:t xml:space="preserve">AND </w:t>
      </w:r>
      <w:r>
        <w:rPr>
          <w:sz w:val="15"/>
        </w:rPr>
        <w:t>B</w:t>
      </w:r>
      <w:r>
        <w:rPr>
          <w:sz w:val="10"/>
        </w:rPr>
        <w:t>LATT</w:t>
      </w:r>
      <w:r>
        <w:rPr>
          <w:sz w:val="15"/>
        </w:rPr>
        <w:t>, H., 1976, Intergranular pressure solution and cementation of the Tuscarora orthoquartzite: Journal of Sedimentary Petrology, v. 46, p. 881–896.</w:t>
      </w:r>
    </w:p>
    <w:p w14:paraId="56857F0C" w14:textId="77777777" w:rsidR="0081446C" w:rsidRDefault="002452A6">
      <w:pPr>
        <w:spacing w:after="22" w:line="230" w:lineRule="auto"/>
        <w:ind w:left="127" w:hanging="142"/>
      </w:pPr>
      <w:r>
        <w:rPr>
          <w:sz w:val="15"/>
        </w:rPr>
        <w:t>S</w:t>
      </w:r>
      <w:r>
        <w:rPr>
          <w:sz w:val="10"/>
        </w:rPr>
        <w:t>MITH</w:t>
      </w:r>
      <w:r>
        <w:rPr>
          <w:sz w:val="15"/>
        </w:rPr>
        <w:t xml:space="preserve">, J.E., 1971, The dynamics of </w:t>
      </w:r>
      <w:r>
        <w:rPr>
          <w:sz w:val="15"/>
        </w:rPr>
        <w:t>shale compaction and evolution of fluid pressure: Mathematical Geology, v. 3, p. 239–269.</w:t>
      </w:r>
    </w:p>
    <w:p w14:paraId="5A67D4BC" w14:textId="77777777" w:rsidR="0081446C" w:rsidRDefault="002452A6">
      <w:pPr>
        <w:spacing w:after="0" w:line="230" w:lineRule="auto"/>
        <w:ind w:left="127" w:right="240" w:hanging="142"/>
      </w:pPr>
      <w:r>
        <w:rPr>
          <w:sz w:val="15"/>
        </w:rPr>
        <w:t>U</w:t>
      </w:r>
      <w:r>
        <w:rPr>
          <w:sz w:val="10"/>
        </w:rPr>
        <w:t>NGERER</w:t>
      </w:r>
      <w:r>
        <w:rPr>
          <w:sz w:val="15"/>
        </w:rPr>
        <w:t>, P., B</w:t>
      </w:r>
      <w:r>
        <w:rPr>
          <w:sz w:val="10"/>
        </w:rPr>
        <w:t>URRUS</w:t>
      </w:r>
      <w:r>
        <w:rPr>
          <w:sz w:val="15"/>
        </w:rPr>
        <w:t>, J., D</w:t>
      </w:r>
      <w:r>
        <w:rPr>
          <w:sz w:val="10"/>
        </w:rPr>
        <w:t>OLIGEZ</w:t>
      </w:r>
      <w:r>
        <w:rPr>
          <w:sz w:val="15"/>
        </w:rPr>
        <w:t>, B., C</w:t>
      </w:r>
      <w:r>
        <w:rPr>
          <w:sz w:val="10"/>
        </w:rPr>
        <w:t>HE´NET</w:t>
      </w:r>
      <w:r>
        <w:rPr>
          <w:sz w:val="15"/>
        </w:rPr>
        <w:t xml:space="preserve">, P.Y., </w:t>
      </w:r>
      <w:r>
        <w:rPr>
          <w:sz w:val="10"/>
        </w:rPr>
        <w:t xml:space="preserve">AND </w:t>
      </w:r>
      <w:r>
        <w:rPr>
          <w:sz w:val="15"/>
        </w:rPr>
        <w:t>B</w:t>
      </w:r>
      <w:r>
        <w:rPr>
          <w:sz w:val="10"/>
        </w:rPr>
        <w:t>ESSIS</w:t>
      </w:r>
      <w:r>
        <w:rPr>
          <w:sz w:val="15"/>
        </w:rPr>
        <w:t>, F., 1990, Basin evaluation by integrated two-dimensional modeling of heat transfer, fluid flow, hydro</w:t>
      </w:r>
      <w:r>
        <w:rPr>
          <w:sz w:val="15"/>
        </w:rPr>
        <w:t>carbon generation, and migration: American Association of Petroleum Geologists, Bulletin, v. 74, p. 309–335.</w:t>
      </w:r>
    </w:p>
    <w:p w14:paraId="5C592748" w14:textId="77777777" w:rsidR="0081446C" w:rsidRDefault="002452A6">
      <w:pPr>
        <w:spacing w:after="0" w:line="227" w:lineRule="auto"/>
        <w:ind w:left="127" w:right="145" w:hanging="142"/>
        <w:jc w:val="left"/>
      </w:pPr>
      <w:r>
        <w:rPr>
          <w:sz w:val="15"/>
        </w:rPr>
        <w:t>W</w:t>
      </w:r>
      <w:r>
        <w:rPr>
          <w:sz w:val="10"/>
        </w:rPr>
        <w:t>ALDERHAUG</w:t>
      </w:r>
      <w:r>
        <w:rPr>
          <w:sz w:val="15"/>
        </w:rPr>
        <w:t xml:space="preserve">, O., 1985, Et </w:t>
      </w:r>
      <w:proofErr w:type="spellStart"/>
      <w:r>
        <w:rPr>
          <w:sz w:val="15"/>
        </w:rPr>
        <w:t>studium</w:t>
      </w:r>
      <w:proofErr w:type="spellEnd"/>
      <w:r>
        <w:rPr>
          <w:sz w:val="15"/>
        </w:rPr>
        <w:t xml:space="preserve"> av </w:t>
      </w:r>
      <w:proofErr w:type="spellStart"/>
      <w:r>
        <w:rPr>
          <w:sz w:val="15"/>
        </w:rPr>
        <w:t>tidlig</w:t>
      </w:r>
      <w:proofErr w:type="spellEnd"/>
      <w:r>
        <w:rPr>
          <w:sz w:val="15"/>
        </w:rPr>
        <w:t xml:space="preserve"> </w:t>
      </w:r>
      <w:proofErr w:type="spellStart"/>
      <w:r>
        <w:rPr>
          <w:sz w:val="15"/>
        </w:rPr>
        <w:t>jurassiske</w:t>
      </w:r>
      <w:proofErr w:type="spellEnd"/>
      <w:r>
        <w:rPr>
          <w:sz w:val="15"/>
        </w:rPr>
        <w:t xml:space="preserve"> </w:t>
      </w:r>
      <w:proofErr w:type="spellStart"/>
      <w:r>
        <w:rPr>
          <w:sz w:val="15"/>
        </w:rPr>
        <w:t>sandsteiner</w:t>
      </w:r>
      <w:proofErr w:type="spellEnd"/>
      <w:r>
        <w:rPr>
          <w:sz w:val="15"/>
        </w:rPr>
        <w:t xml:space="preserve"> </w:t>
      </w:r>
      <w:proofErr w:type="spellStart"/>
      <w:r>
        <w:rPr>
          <w:sz w:val="15"/>
        </w:rPr>
        <w:t>fra</w:t>
      </w:r>
      <w:proofErr w:type="spellEnd"/>
      <w:r>
        <w:rPr>
          <w:sz w:val="15"/>
        </w:rPr>
        <w:t xml:space="preserve"> </w:t>
      </w:r>
      <w:proofErr w:type="spellStart"/>
      <w:r>
        <w:rPr>
          <w:sz w:val="15"/>
        </w:rPr>
        <w:t>brønn</w:t>
      </w:r>
      <w:proofErr w:type="spellEnd"/>
      <w:r>
        <w:rPr>
          <w:sz w:val="15"/>
        </w:rPr>
        <w:t xml:space="preserve"> 7120/9-1, </w:t>
      </w:r>
      <w:proofErr w:type="spellStart"/>
      <w:r>
        <w:rPr>
          <w:sz w:val="15"/>
        </w:rPr>
        <w:t>Hammerfestbassenget</w:t>
      </w:r>
      <w:proofErr w:type="spellEnd"/>
      <w:r>
        <w:rPr>
          <w:sz w:val="15"/>
        </w:rPr>
        <w:t xml:space="preserve">, med </w:t>
      </w:r>
      <w:proofErr w:type="spellStart"/>
      <w:r>
        <w:rPr>
          <w:sz w:val="15"/>
        </w:rPr>
        <w:t>hovedvekt</w:t>
      </w:r>
      <w:proofErr w:type="spellEnd"/>
      <w:r>
        <w:rPr>
          <w:sz w:val="15"/>
        </w:rPr>
        <w:t xml:space="preserve"> pa˚ </w:t>
      </w:r>
      <w:proofErr w:type="spellStart"/>
      <w:r>
        <w:rPr>
          <w:sz w:val="15"/>
        </w:rPr>
        <w:t>diagenese</w:t>
      </w:r>
      <w:proofErr w:type="spellEnd"/>
      <w:r>
        <w:rPr>
          <w:sz w:val="15"/>
        </w:rPr>
        <w:t xml:space="preserve"> [Unpublished Cand. scient. thesis]: University of Bergen.</w:t>
      </w:r>
    </w:p>
    <w:p w14:paraId="6344E014" w14:textId="77777777" w:rsidR="0081446C" w:rsidRDefault="002452A6">
      <w:pPr>
        <w:spacing w:after="0" w:line="230" w:lineRule="auto"/>
        <w:ind w:left="127" w:hanging="142"/>
      </w:pPr>
      <w:r>
        <w:rPr>
          <w:sz w:val="15"/>
        </w:rPr>
        <w:t>W</w:t>
      </w:r>
      <w:r>
        <w:rPr>
          <w:sz w:val="10"/>
        </w:rPr>
        <w:t>ALDERHAUG</w:t>
      </w:r>
      <w:r>
        <w:rPr>
          <w:sz w:val="15"/>
        </w:rPr>
        <w:t xml:space="preserve">, O., 1992, Magnitude of uplift of the </w:t>
      </w:r>
      <w:proofErr w:type="spellStart"/>
      <w:r>
        <w:rPr>
          <w:sz w:val="15"/>
        </w:rPr>
        <w:t>Stø</w:t>
      </w:r>
      <w:proofErr w:type="spellEnd"/>
      <w:r>
        <w:rPr>
          <w:sz w:val="15"/>
        </w:rPr>
        <w:t xml:space="preserve"> and </w:t>
      </w:r>
      <w:proofErr w:type="spellStart"/>
      <w:r>
        <w:rPr>
          <w:sz w:val="15"/>
        </w:rPr>
        <w:t>Nordmela</w:t>
      </w:r>
      <w:proofErr w:type="spellEnd"/>
      <w:r>
        <w:rPr>
          <w:sz w:val="15"/>
        </w:rPr>
        <w:t xml:space="preserve"> Formati</w:t>
      </w:r>
      <w:r>
        <w:rPr>
          <w:sz w:val="15"/>
        </w:rPr>
        <w:t xml:space="preserve">ons in the Hammerfest Basin—a diagenetic approach: </w:t>
      </w:r>
      <w:proofErr w:type="spellStart"/>
      <w:r>
        <w:rPr>
          <w:sz w:val="15"/>
        </w:rPr>
        <w:t>Norsk</w:t>
      </w:r>
      <w:proofErr w:type="spellEnd"/>
      <w:r>
        <w:rPr>
          <w:sz w:val="15"/>
        </w:rPr>
        <w:t xml:space="preserve"> </w:t>
      </w:r>
      <w:proofErr w:type="spellStart"/>
      <w:r>
        <w:rPr>
          <w:sz w:val="15"/>
        </w:rPr>
        <w:t>Geologisk</w:t>
      </w:r>
      <w:proofErr w:type="spellEnd"/>
      <w:r>
        <w:rPr>
          <w:sz w:val="15"/>
        </w:rPr>
        <w:t xml:space="preserve"> </w:t>
      </w:r>
      <w:proofErr w:type="spellStart"/>
      <w:r>
        <w:rPr>
          <w:sz w:val="15"/>
        </w:rPr>
        <w:t>Tidsskrift</w:t>
      </w:r>
      <w:proofErr w:type="spellEnd"/>
      <w:r>
        <w:rPr>
          <w:sz w:val="15"/>
        </w:rPr>
        <w:t>, v. 72, p. 321–323.</w:t>
      </w:r>
    </w:p>
    <w:p w14:paraId="645540D2" w14:textId="77777777" w:rsidR="0081446C" w:rsidRDefault="002452A6">
      <w:pPr>
        <w:spacing w:after="0" w:line="230" w:lineRule="auto"/>
        <w:ind w:left="127" w:right="242" w:hanging="142"/>
      </w:pPr>
      <w:r>
        <w:rPr>
          <w:sz w:val="15"/>
        </w:rPr>
        <w:t>W</w:t>
      </w:r>
      <w:r>
        <w:rPr>
          <w:sz w:val="10"/>
        </w:rPr>
        <w:t>ALDERHAUG</w:t>
      </w:r>
      <w:r>
        <w:rPr>
          <w:sz w:val="15"/>
        </w:rPr>
        <w:t>, O., 1994, Temperatures of quartz cementation in Jurassic sandstones from the Norwegian continental shelf—evidence from fluid inclusions: Journal of Sedimentary Petrology, v. A64, p. 311–323.</w:t>
      </w:r>
    </w:p>
    <w:p w14:paraId="35A4A529" w14:textId="77777777" w:rsidR="0081446C" w:rsidRDefault="002452A6">
      <w:pPr>
        <w:spacing w:after="0" w:line="230" w:lineRule="auto"/>
        <w:ind w:left="127" w:right="243" w:hanging="142"/>
      </w:pPr>
      <w:r>
        <w:rPr>
          <w:sz w:val="15"/>
        </w:rPr>
        <w:t>W</w:t>
      </w:r>
      <w:r>
        <w:rPr>
          <w:sz w:val="10"/>
        </w:rPr>
        <w:t>ALDERHAUG</w:t>
      </w:r>
      <w:r>
        <w:rPr>
          <w:sz w:val="15"/>
        </w:rPr>
        <w:t>, O., 1996, Kinetic modelling of quartz cementation a</w:t>
      </w:r>
      <w:r>
        <w:rPr>
          <w:sz w:val="15"/>
        </w:rPr>
        <w:t>nd porosity loss in deeply buried sandstone reservoirs: American Association of Petroleum Geologists, Bulletin, v. 80, p. 731–745.</w:t>
      </w:r>
    </w:p>
    <w:p w14:paraId="0860ECD1" w14:textId="77777777" w:rsidR="0081446C" w:rsidRDefault="002452A6">
      <w:pPr>
        <w:spacing w:after="22" w:line="230" w:lineRule="auto"/>
        <w:ind w:left="127" w:right="243" w:hanging="142"/>
      </w:pPr>
      <w:r>
        <w:rPr>
          <w:sz w:val="15"/>
        </w:rPr>
        <w:t>W</w:t>
      </w:r>
      <w:r>
        <w:rPr>
          <w:sz w:val="10"/>
        </w:rPr>
        <w:t>ALDERHAUG</w:t>
      </w:r>
      <w:r>
        <w:rPr>
          <w:sz w:val="15"/>
        </w:rPr>
        <w:t xml:space="preserve">, O., 2000, Modelling quartz cementation and porosity in Middle Jurassic Brent Group sandstones of the </w:t>
      </w:r>
      <w:proofErr w:type="spellStart"/>
      <w:r>
        <w:rPr>
          <w:sz w:val="15"/>
        </w:rPr>
        <w:t>Kvitebjørn</w:t>
      </w:r>
      <w:proofErr w:type="spellEnd"/>
      <w:r>
        <w:rPr>
          <w:sz w:val="15"/>
        </w:rPr>
        <w:t xml:space="preserve"> F</w:t>
      </w:r>
      <w:r>
        <w:rPr>
          <w:sz w:val="15"/>
        </w:rPr>
        <w:t>ield, northern North Sea: American Association of Petroleum Geologists, Bulletin, v. 84, p. 1325–1339.</w:t>
      </w:r>
    </w:p>
    <w:p w14:paraId="0969B604" w14:textId="77777777" w:rsidR="0081446C" w:rsidRDefault="002452A6">
      <w:pPr>
        <w:spacing w:after="22" w:line="230" w:lineRule="auto"/>
        <w:ind w:left="127" w:right="240" w:hanging="142"/>
      </w:pPr>
      <w:r>
        <w:rPr>
          <w:sz w:val="15"/>
        </w:rPr>
        <w:t>W</w:t>
      </w:r>
      <w:r>
        <w:rPr>
          <w:sz w:val="10"/>
        </w:rPr>
        <w:t>ALDERHAUG</w:t>
      </w:r>
      <w:r>
        <w:rPr>
          <w:sz w:val="15"/>
        </w:rPr>
        <w:t>, O., L</w:t>
      </w:r>
      <w:r>
        <w:rPr>
          <w:sz w:val="10"/>
        </w:rPr>
        <w:t>ANDER</w:t>
      </w:r>
      <w:r>
        <w:rPr>
          <w:sz w:val="15"/>
        </w:rPr>
        <w:t xml:space="preserve">, R.H., </w:t>
      </w:r>
      <w:proofErr w:type="spellStart"/>
      <w:r>
        <w:rPr>
          <w:sz w:val="15"/>
        </w:rPr>
        <w:t>B</w:t>
      </w:r>
      <w:r>
        <w:rPr>
          <w:sz w:val="10"/>
        </w:rPr>
        <w:t>J</w:t>
      </w:r>
      <w:r>
        <w:rPr>
          <w:sz w:val="15"/>
        </w:rPr>
        <w:t>ø</w:t>
      </w:r>
      <w:r>
        <w:rPr>
          <w:sz w:val="10"/>
        </w:rPr>
        <w:t>RKUM</w:t>
      </w:r>
      <w:proofErr w:type="spellEnd"/>
      <w:r>
        <w:rPr>
          <w:sz w:val="15"/>
        </w:rPr>
        <w:t>, P.A., O</w:t>
      </w:r>
      <w:r>
        <w:rPr>
          <w:sz w:val="10"/>
        </w:rPr>
        <w:t>ELKERS</w:t>
      </w:r>
      <w:r>
        <w:rPr>
          <w:sz w:val="15"/>
        </w:rPr>
        <w:t xml:space="preserve">, E.H., </w:t>
      </w:r>
      <w:proofErr w:type="spellStart"/>
      <w:r>
        <w:rPr>
          <w:sz w:val="15"/>
        </w:rPr>
        <w:t>B</w:t>
      </w:r>
      <w:r>
        <w:rPr>
          <w:sz w:val="10"/>
        </w:rPr>
        <w:t>J</w:t>
      </w:r>
      <w:r>
        <w:rPr>
          <w:sz w:val="15"/>
        </w:rPr>
        <w:t>ø</w:t>
      </w:r>
      <w:r>
        <w:rPr>
          <w:sz w:val="10"/>
        </w:rPr>
        <w:t>RLYKKE</w:t>
      </w:r>
      <w:proofErr w:type="spellEnd"/>
      <w:r>
        <w:rPr>
          <w:sz w:val="15"/>
        </w:rPr>
        <w:t xml:space="preserve">, K. </w:t>
      </w:r>
      <w:r>
        <w:rPr>
          <w:sz w:val="10"/>
        </w:rPr>
        <w:t xml:space="preserve">AND </w:t>
      </w:r>
      <w:r>
        <w:rPr>
          <w:sz w:val="15"/>
        </w:rPr>
        <w:t>N</w:t>
      </w:r>
      <w:r>
        <w:rPr>
          <w:sz w:val="10"/>
        </w:rPr>
        <w:t>ADEAU</w:t>
      </w:r>
      <w:r>
        <w:rPr>
          <w:sz w:val="15"/>
        </w:rPr>
        <w:t xml:space="preserve">, P.H., 2000, Modelling quartz cementation and porosity in reservoir </w:t>
      </w:r>
      <w:r>
        <w:rPr>
          <w:sz w:val="15"/>
        </w:rPr>
        <w:t xml:space="preserve">sandstones: examples from the Norwegian continental shelf, </w:t>
      </w:r>
      <w:r>
        <w:rPr>
          <w:i/>
          <w:sz w:val="15"/>
        </w:rPr>
        <w:t xml:space="preserve">in </w:t>
      </w:r>
      <w:r>
        <w:rPr>
          <w:sz w:val="15"/>
        </w:rPr>
        <w:t xml:space="preserve">Worden, R.H., and </w:t>
      </w:r>
      <w:proofErr w:type="spellStart"/>
      <w:r>
        <w:rPr>
          <w:sz w:val="15"/>
        </w:rPr>
        <w:t>Morad</w:t>
      </w:r>
      <w:proofErr w:type="spellEnd"/>
      <w:r>
        <w:rPr>
          <w:sz w:val="15"/>
        </w:rPr>
        <w:t xml:space="preserve">, S., eds., Quartz Cementation in Sandstones: International Association of </w:t>
      </w:r>
      <w:proofErr w:type="spellStart"/>
      <w:r>
        <w:rPr>
          <w:sz w:val="15"/>
        </w:rPr>
        <w:t>Sedimentologists</w:t>
      </w:r>
      <w:proofErr w:type="spellEnd"/>
      <w:r>
        <w:rPr>
          <w:sz w:val="15"/>
        </w:rPr>
        <w:t>, Special Publication 29, p. 39–49.</w:t>
      </w:r>
    </w:p>
    <w:p w14:paraId="377871C0" w14:textId="77777777" w:rsidR="0081446C" w:rsidRDefault="002452A6">
      <w:pPr>
        <w:spacing w:after="0" w:line="230" w:lineRule="auto"/>
        <w:ind w:left="127" w:right="241" w:hanging="142"/>
      </w:pPr>
      <w:r>
        <w:rPr>
          <w:sz w:val="15"/>
        </w:rPr>
        <w:t>W</w:t>
      </w:r>
      <w:r>
        <w:rPr>
          <w:sz w:val="10"/>
        </w:rPr>
        <w:t>ALDSCHMIDT</w:t>
      </w:r>
      <w:r>
        <w:rPr>
          <w:sz w:val="15"/>
        </w:rPr>
        <w:t>, W.A., 1941, Cementing materials</w:t>
      </w:r>
      <w:r>
        <w:rPr>
          <w:sz w:val="15"/>
        </w:rPr>
        <w:t xml:space="preserve"> in sandstones and their probable influence on migration and accumulation of oil and gas: American Association of Petroleum Geologists, Bulletin, v. 25, p. 1839–1879.</w:t>
      </w:r>
    </w:p>
    <w:p w14:paraId="22B0925E" w14:textId="77777777" w:rsidR="0081446C" w:rsidRDefault="002452A6">
      <w:pPr>
        <w:spacing w:after="22" w:line="230" w:lineRule="auto"/>
        <w:ind w:left="127" w:hanging="142"/>
      </w:pPr>
      <w:r>
        <w:rPr>
          <w:sz w:val="15"/>
        </w:rPr>
        <w:t>W</w:t>
      </w:r>
      <w:r>
        <w:rPr>
          <w:sz w:val="10"/>
        </w:rPr>
        <w:t>EYL</w:t>
      </w:r>
      <w:r>
        <w:rPr>
          <w:sz w:val="15"/>
        </w:rPr>
        <w:t>, P.K., 1959, Pressure solution and the force of crystallization—a phenomenological t</w:t>
      </w:r>
      <w:r>
        <w:rPr>
          <w:sz w:val="15"/>
        </w:rPr>
        <w:t>heory: Journal of Geophysical Research, v. 64, p. 2001–2025.</w:t>
      </w:r>
    </w:p>
    <w:p w14:paraId="6AEBDBCA" w14:textId="77777777" w:rsidR="0081446C" w:rsidRDefault="002452A6">
      <w:pPr>
        <w:spacing w:after="119" w:line="230" w:lineRule="auto"/>
        <w:ind w:left="127" w:right="243" w:hanging="142"/>
      </w:pPr>
      <w:r>
        <w:rPr>
          <w:sz w:val="15"/>
        </w:rPr>
        <w:t>W</w:t>
      </w:r>
      <w:r>
        <w:rPr>
          <w:sz w:val="10"/>
        </w:rPr>
        <w:t>ORDEN</w:t>
      </w:r>
      <w:r>
        <w:rPr>
          <w:sz w:val="15"/>
        </w:rPr>
        <w:t xml:space="preserve">, R.H., </w:t>
      </w:r>
      <w:r>
        <w:rPr>
          <w:sz w:val="10"/>
        </w:rPr>
        <w:t xml:space="preserve">AND </w:t>
      </w:r>
      <w:r>
        <w:rPr>
          <w:sz w:val="15"/>
        </w:rPr>
        <w:t>M</w:t>
      </w:r>
      <w:r>
        <w:rPr>
          <w:sz w:val="10"/>
        </w:rPr>
        <w:t>ORAD</w:t>
      </w:r>
      <w:r>
        <w:rPr>
          <w:sz w:val="15"/>
        </w:rPr>
        <w:t xml:space="preserve">, S., 2000, Quartz cementation in oil field sandstones: a review of the key controversies, </w:t>
      </w:r>
      <w:r>
        <w:rPr>
          <w:i/>
          <w:sz w:val="15"/>
        </w:rPr>
        <w:t xml:space="preserve">in </w:t>
      </w:r>
      <w:r>
        <w:rPr>
          <w:sz w:val="15"/>
        </w:rPr>
        <w:t xml:space="preserve">Worden, R.H., and </w:t>
      </w:r>
      <w:proofErr w:type="spellStart"/>
      <w:r>
        <w:rPr>
          <w:sz w:val="15"/>
        </w:rPr>
        <w:t>Morad</w:t>
      </w:r>
      <w:proofErr w:type="spellEnd"/>
      <w:r>
        <w:rPr>
          <w:sz w:val="15"/>
        </w:rPr>
        <w:t>, S., eds., Quartz Cementation in Sandstones: Internati</w:t>
      </w:r>
      <w:r>
        <w:rPr>
          <w:sz w:val="15"/>
        </w:rPr>
        <w:t xml:space="preserve">onal Association of </w:t>
      </w:r>
      <w:proofErr w:type="spellStart"/>
      <w:r>
        <w:rPr>
          <w:sz w:val="15"/>
        </w:rPr>
        <w:t>Sedimentologists</w:t>
      </w:r>
      <w:proofErr w:type="spellEnd"/>
      <w:r>
        <w:rPr>
          <w:sz w:val="15"/>
        </w:rPr>
        <w:t>, Special Publication 29, p. 1–20.</w:t>
      </w:r>
    </w:p>
    <w:p w14:paraId="755BC4B3" w14:textId="77777777" w:rsidR="0081446C" w:rsidRDefault="002452A6">
      <w:pPr>
        <w:spacing w:after="22" w:line="230" w:lineRule="auto"/>
        <w:ind w:left="-15" w:firstLine="0"/>
      </w:pPr>
      <w:r>
        <w:rPr>
          <w:sz w:val="15"/>
        </w:rPr>
        <w:t>Received 27 June 2001; accepted 5 September 2002.</w:t>
      </w:r>
    </w:p>
    <w:sectPr w:rsidR="0081446C">
      <w:type w:val="continuous"/>
      <w:pgSz w:w="12240" w:h="15840"/>
      <w:pgMar w:top="1290" w:right="835" w:bottom="1318" w:left="840" w:header="720" w:footer="720" w:gutter="0"/>
      <w:cols w:num="2" w:space="2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FFDC5" w14:textId="77777777" w:rsidR="00000000" w:rsidRDefault="002452A6">
      <w:pPr>
        <w:spacing w:after="0" w:line="240" w:lineRule="auto"/>
      </w:pPr>
      <w:r>
        <w:separator/>
      </w:r>
    </w:p>
  </w:endnote>
  <w:endnote w:type="continuationSeparator" w:id="0">
    <w:p w14:paraId="19F8525B" w14:textId="77777777" w:rsidR="00000000" w:rsidRDefault="00245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831C9" w14:textId="77777777" w:rsidR="0081446C" w:rsidRDefault="002452A6">
    <w:pPr>
      <w:spacing w:after="0" w:line="216" w:lineRule="auto"/>
      <w:ind w:left="-983" w:right="5366" w:firstLine="0"/>
      <w:jc w:val="left"/>
    </w:pPr>
    <w:r>
      <w:rPr>
        <w:rFonts w:ascii="Arial" w:eastAsia="Arial" w:hAnsi="Arial" w:cs="Arial"/>
        <w:color w:val="000000"/>
        <w:sz w:val="12"/>
      </w:rPr>
      <w:t>Downloaded from http://pubs.geoscienceworld.org/sepm/jsedres/article-pdf/73/2/146/3722939/146.pdf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DFA34" w14:textId="77777777" w:rsidR="0081446C" w:rsidRDefault="002452A6">
    <w:pPr>
      <w:spacing w:after="0" w:line="216" w:lineRule="auto"/>
      <w:ind w:left="-983" w:right="5366" w:firstLine="0"/>
      <w:jc w:val="left"/>
    </w:pPr>
    <w:r>
      <w:rPr>
        <w:rFonts w:ascii="Arial" w:eastAsia="Arial" w:hAnsi="Arial" w:cs="Arial"/>
        <w:color w:val="000000"/>
        <w:sz w:val="12"/>
      </w:rPr>
      <w:t>Downloaded from http://pubs.geoscienceworld.org/sepm/jsedres/article-pdf/73/2/146/3722939/146.pdf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05A57" w14:textId="77777777" w:rsidR="0081446C" w:rsidRDefault="002452A6">
    <w:pPr>
      <w:spacing w:after="0" w:line="216" w:lineRule="auto"/>
      <w:ind w:left="-983" w:right="5366" w:firstLine="0"/>
      <w:jc w:val="left"/>
    </w:pPr>
    <w:r>
      <w:rPr>
        <w:rFonts w:ascii="Arial" w:eastAsia="Arial" w:hAnsi="Arial" w:cs="Arial"/>
        <w:color w:val="000000"/>
        <w:sz w:val="12"/>
      </w:rPr>
      <w:t>Down</w:t>
    </w:r>
    <w:r>
      <w:rPr>
        <w:rFonts w:ascii="Arial" w:eastAsia="Arial" w:hAnsi="Arial" w:cs="Arial"/>
        <w:color w:val="000000"/>
        <w:sz w:val="12"/>
      </w:rPr>
      <w:t>loaded from http://pubs.geoscienceworld.org/sepm/jsedres/article-pdf/73/2/146/3722939/146.pdf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6DC76" w14:textId="77777777" w:rsidR="00000000" w:rsidRDefault="002452A6">
      <w:pPr>
        <w:spacing w:after="0" w:line="240" w:lineRule="auto"/>
      </w:pPr>
      <w:r>
        <w:separator/>
      </w:r>
    </w:p>
  </w:footnote>
  <w:footnote w:type="continuationSeparator" w:id="0">
    <w:p w14:paraId="5EB373BE" w14:textId="77777777" w:rsidR="00000000" w:rsidRDefault="002452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D6341" w14:textId="77777777" w:rsidR="0081446C" w:rsidRDefault="002452A6">
    <w:pPr>
      <w:tabs>
        <w:tab w:val="center" w:pos="4959"/>
      </w:tabs>
      <w:spacing w:after="0" w:line="259" w:lineRule="auto"/>
      <w:ind w:left="-203" w:firstLine="0"/>
      <w:jc w:val="left"/>
    </w:pPr>
    <w:r>
      <w:fldChar w:fldCharType="begin"/>
    </w:r>
    <w:r>
      <w:instrText xml:space="preserve"> PAGE   \* MERGEFORMAT </w:instrText>
    </w:r>
    <w:r>
      <w:fldChar w:fldCharType="separate"/>
    </w:r>
    <w:r>
      <w:t>148</w:t>
    </w:r>
    <w:r>
      <w:fldChar w:fldCharType="end"/>
    </w:r>
    <w:r>
      <w:tab/>
    </w:r>
    <w:r>
      <w:rPr>
        <w:i/>
      </w:rPr>
      <w:t>O. WALDERHAUG AND P.A. BJØRKUM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72B3B" w14:textId="77777777" w:rsidR="0081446C" w:rsidRDefault="002452A6">
    <w:pPr>
      <w:tabs>
        <w:tab w:val="center" w:pos="5199"/>
        <w:tab w:val="right" w:pos="10357"/>
      </w:tabs>
      <w:spacing w:after="0" w:line="259" w:lineRule="auto"/>
      <w:ind w:left="0" w:right="-440" w:firstLine="0"/>
      <w:jc w:val="left"/>
    </w:pPr>
    <w:r>
      <w:rPr>
        <w:rFonts w:ascii="Calibri" w:eastAsia="Calibri" w:hAnsi="Calibri" w:cs="Calibri"/>
        <w:color w:val="000000"/>
        <w:sz w:val="22"/>
      </w:rPr>
      <w:tab/>
    </w:r>
    <w:r>
      <w:rPr>
        <w:i/>
      </w:rPr>
      <w:t>EFFECT OF STYLOLITE SPACING ON QUARTZ CEMENTATION</w:t>
    </w:r>
    <w:r>
      <w:rPr>
        <w:i/>
      </w:rPr>
      <w:tab/>
    </w:r>
    <w:r>
      <w:fldChar w:fldCharType="begin"/>
    </w:r>
    <w:r>
      <w:instrText xml:space="preserve"> PAGE   \* MERGEFORMAT </w:instrText>
    </w:r>
    <w:r>
      <w:fldChar w:fldCharType="separate"/>
    </w:r>
    <w:r>
      <w:t>147</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FE981" w14:textId="77777777" w:rsidR="0081446C" w:rsidRDefault="0081446C">
    <w:pPr>
      <w:spacing w:after="160" w:line="259" w:lineRule="auto"/>
      <w:ind w:lef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46C"/>
    <w:rsid w:val="002452A6"/>
    <w:rsid w:val="00814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6E495"/>
  <w15:docId w15:val="{44B320C1-6EAD-44AA-B2D3-63910C794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36" w:lineRule="auto"/>
      <w:ind w:left="3" w:firstLine="156"/>
      <w:jc w:val="both"/>
    </w:pPr>
    <w:rPr>
      <w:rFonts w:ascii="Times New Roman" w:eastAsia="Times New Roman" w:hAnsi="Times New Roman" w:cs="Times New Roman"/>
      <w:color w:val="181717"/>
      <w:sz w:val="19"/>
    </w:rPr>
  </w:style>
  <w:style w:type="paragraph" w:styleId="1">
    <w:name w:val="heading 1"/>
    <w:next w:val="a"/>
    <w:link w:val="10"/>
    <w:uiPriority w:val="9"/>
    <w:qFormat/>
    <w:pPr>
      <w:keepNext/>
      <w:keepLines/>
      <w:spacing w:after="94" w:line="259" w:lineRule="auto"/>
      <w:ind w:left="10" w:right="243" w:hanging="10"/>
      <w:jc w:val="center"/>
      <w:outlineLvl w:val="0"/>
    </w:pPr>
    <w:rPr>
      <w:rFonts w:ascii="Times New Roman" w:eastAsia="Times New Roman" w:hAnsi="Times New Roman" w:cs="Times New Roman"/>
      <w:b/>
      <w:i/>
      <w:color w:val="181717"/>
      <w:sz w:val="19"/>
    </w:rPr>
  </w:style>
  <w:style w:type="paragraph" w:styleId="2">
    <w:name w:val="heading 2"/>
    <w:next w:val="a"/>
    <w:link w:val="20"/>
    <w:uiPriority w:val="9"/>
    <w:unhideWhenUsed/>
    <w:qFormat/>
    <w:pPr>
      <w:keepNext/>
      <w:keepLines/>
      <w:spacing w:after="155" w:line="259" w:lineRule="auto"/>
      <w:ind w:left="10" w:right="70" w:hanging="10"/>
      <w:jc w:val="center"/>
      <w:outlineLvl w:val="1"/>
    </w:pPr>
    <w:rPr>
      <w:rFonts w:ascii="Times New Roman" w:eastAsia="Times New Roman" w:hAnsi="Times New Roman" w:cs="Times New Roman"/>
      <w:b/>
      <w:color w:val="181717"/>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i/>
      <w:color w:val="181717"/>
      <w:sz w:val="19"/>
    </w:rPr>
  </w:style>
  <w:style w:type="character" w:customStyle="1" w:styleId="20">
    <w:name w:val="标题 2 字符"/>
    <w:link w:val="2"/>
    <w:rPr>
      <w:rFonts w:ascii="Times New Roman" w:eastAsia="Times New Roman" w:hAnsi="Times New Roman" w:cs="Times New Roman"/>
      <w:b/>
      <w:color w:val="181717"/>
      <w:sz w:val="15"/>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image" Target="media/image90.png"/><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jp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7578</Words>
  <Characters>43197</Characters>
  <Application>Microsoft Office Word</Application>
  <DocSecurity>0</DocSecurity>
  <Lines>359</Lines>
  <Paragraphs>101</Paragraphs>
  <ScaleCrop>false</ScaleCrop>
  <Company/>
  <LinksUpToDate>false</LinksUpToDate>
  <CharactersWithSpaces>50674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sedp_73_201.146_156.tp</dc:title>
  <dc:subject/>
  <dc:creator>kbailey</dc:creator>
  <cp:keywords/>
  <cp:lastModifiedBy>wang dachui</cp:lastModifiedBy>
  <cp:revision>2</cp:revision>
  <dcterms:created xsi:type="dcterms:W3CDTF">2021-02-12T19:13:00Z</dcterms:created>
  <dcterms:modified xsi:type="dcterms:W3CDTF">2021-02-12T19:13:00Z</dcterms:modified>
</cp:coreProperties>
</file>