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5665A" w14:textId="77777777" w:rsidR="00F64F7F" w:rsidRDefault="0056380C">
      <w:pPr>
        <w:spacing w:after="603" w:line="259" w:lineRule="auto"/>
        <w:ind w:left="0" w:right="-307" w:firstLine="0"/>
        <w:jc w:val="left"/>
      </w:pPr>
      <w:r>
        <w:rPr>
          <w:rFonts w:ascii="Calibri" w:eastAsia="Calibri" w:hAnsi="Calibri" w:cs="Calibri"/>
          <w:noProof/>
          <w:color w:val="000000"/>
          <w:sz w:val="22"/>
        </w:rPr>
        <mc:AlternateContent>
          <mc:Choice Requires="wpg">
            <w:drawing>
              <wp:inline distT="0" distB="0" distL="0" distR="0" wp14:anchorId="17DB9390" wp14:editId="5DB8B588">
                <wp:extent cx="6593116" cy="1266456"/>
                <wp:effectExtent l="0" t="0" r="0" b="0"/>
                <wp:docPr id="25878" name="Group 25878"/>
                <wp:cNvGraphicFramePr/>
                <a:graphic xmlns:a="http://schemas.openxmlformats.org/drawingml/2006/main">
                  <a:graphicData uri="http://schemas.microsoft.com/office/word/2010/wordprocessingGroup">
                    <wpg:wgp>
                      <wpg:cNvGrpSpPr/>
                      <wpg:grpSpPr>
                        <a:xfrm>
                          <a:off x="0" y="0"/>
                          <a:ext cx="6593116" cy="1266456"/>
                          <a:chOff x="0" y="0"/>
                          <a:chExt cx="6593116" cy="1266456"/>
                        </a:xfrm>
                      </wpg:grpSpPr>
                      <wps:wsp>
                        <wps:cNvPr id="29233" name="Shape 29233"/>
                        <wps:cNvSpPr/>
                        <wps:spPr>
                          <a:xfrm>
                            <a:off x="0" y="239730"/>
                            <a:ext cx="5688000" cy="9144"/>
                          </a:xfrm>
                          <a:custGeom>
                            <a:avLst/>
                            <a:gdLst/>
                            <a:ahLst/>
                            <a:cxnLst/>
                            <a:rect l="0" t="0" r="0" b="0"/>
                            <a:pathLst>
                              <a:path w="5688000" h="9144">
                                <a:moveTo>
                                  <a:pt x="0" y="0"/>
                                </a:moveTo>
                                <a:lnTo>
                                  <a:pt x="5688000" y="0"/>
                                </a:lnTo>
                                <a:lnTo>
                                  <a:pt x="5688000"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8" name="Rectangle 248"/>
                        <wps:cNvSpPr/>
                        <wps:spPr>
                          <a:xfrm>
                            <a:off x="2234155" y="162"/>
                            <a:ext cx="2515371" cy="107697"/>
                          </a:xfrm>
                          <a:prstGeom prst="rect">
                            <a:avLst/>
                          </a:prstGeom>
                          <a:ln>
                            <a:noFill/>
                          </a:ln>
                        </wps:spPr>
                        <wps:txbx>
                          <w:txbxContent>
                            <w:p w14:paraId="7A12FD40" w14:textId="77777777" w:rsidR="00F64F7F" w:rsidRDefault="0056380C">
                              <w:pPr>
                                <w:spacing w:after="160" w:line="259" w:lineRule="auto"/>
                                <w:ind w:left="0" w:firstLine="0"/>
                                <w:jc w:val="left"/>
                              </w:pPr>
                              <w:r>
                                <w:rPr>
                                  <w:color w:val="422874"/>
                                  <w:w w:val="113"/>
                                  <w:sz w:val="13"/>
                                </w:rPr>
                                <w:t>Earth</w:t>
                              </w:r>
                              <w:r>
                                <w:rPr>
                                  <w:color w:val="422874"/>
                                  <w:spacing w:val="11"/>
                                  <w:w w:val="113"/>
                                  <w:sz w:val="13"/>
                                </w:rPr>
                                <w:t xml:space="preserve"> </w:t>
                              </w:r>
                              <w:r>
                                <w:rPr>
                                  <w:color w:val="422874"/>
                                  <w:w w:val="113"/>
                                  <w:sz w:val="13"/>
                                </w:rPr>
                                <w:t>and</w:t>
                              </w:r>
                              <w:r>
                                <w:rPr>
                                  <w:color w:val="422874"/>
                                  <w:spacing w:val="11"/>
                                  <w:w w:val="113"/>
                                  <w:sz w:val="13"/>
                                </w:rPr>
                                <w:t xml:space="preserve"> </w:t>
                              </w:r>
                              <w:r>
                                <w:rPr>
                                  <w:color w:val="422874"/>
                                  <w:w w:val="113"/>
                                  <w:sz w:val="13"/>
                                </w:rPr>
                                <w:t>Planetary</w:t>
                              </w:r>
                              <w:r>
                                <w:rPr>
                                  <w:color w:val="422874"/>
                                  <w:spacing w:val="11"/>
                                  <w:w w:val="113"/>
                                  <w:sz w:val="13"/>
                                </w:rPr>
                                <w:t xml:space="preserve"> </w:t>
                              </w:r>
                              <w:r>
                                <w:rPr>
                                  <w:color w:val="422874"/>
                                  <w:w w:val="113"/>
                                  <w:sz w:val="13"/>
                                </w:rPr>
                                <w:t>Science</w:t>
                              </w:r>
                              <w:r>
                                <w:rPr>
                                  <w:color w:val="422874"/>
                                  <w:spacing w:val="12"/>
                                  <w:w w:val="113"/>
                                  <w:sz w:val="13"/>
                                </w:rPr>
                                <w:t xml:space="preserve"> </w:t>
                              </w:r>
                              <w:r>
                                <w:rPr>
                                  <w:color w:val="422874"/>
                                  <w:w w:val="113"/>
                                  <w:sz w:val="13"/>
                                </w:rPr>
                                <w:t>Letters</w:t>
                              </w:r>
                              <w:r>
                                <w:rPr>
                                  <w:color w:val="422874"/>
                                  <w:spacing w:val="12"/>
                                  <w:w w:val="113"/>
                                  <w:sz w:val="13"/>
                                </w:rPr>
                                <w:t xml:space="preserve"> </w:t>
                              </w:r>
                              <w:r>
                                <w:rPr>
                                  <w:color w:val="422874"/>
                                  <w:w w:val="113"/>
                                  <w:sz w:val="13"/>
                                </w:rPr>
                                <w:t>305</w:t>
                              </w:r>
                              <w:r>
                                <w:rPr>
                                  <w:color w:val="422874"/>
                                  <w:spacing w:val="11"/>
                                  <w:w w:val="113"/>
                                  <w:sz w:val="13"/>
                                </w:rPr>
                                <w:t xml:space="preserve"> </w:t>
                              </w:r>
                              <w:r>
                                <w:rPr>
                                  <w:color w:val="422874"/>
                                  <w:w w:val="113"/>
                                  <w:sz w:val="13"/>
                                </w:rPr>
                                <w:t>(2011)</w:t>
                              </w:r>
                              <w:r>
                                <w:rPr>
                                  <w:color w:val="422874"/>
                                  <w:spacing w:val="12"/>
                                  <w:w w:val="113"/>
                                  <w:sz w:val="13"/>
                                </w:rPr>
                                <w:t xml:space="preserve"> </w:t>
                              </w:r>
                              <w:r>
                                <w:rPr>
                                  <w:color w:val="422874"/>
                                  <w:w w:val="113"/>
                                  <w:sz w:val="13"/>
                                </w:rPr>
                                <w:t>19</w:t>
                              </w:r>
                            </w:p>
                          </w:txbxContent>
                        </wps:txbx>
                        <wps:bodyPr horzOverflow="overflow" vert="horz" lIns="0" tIns="0" rIns="0" bIns="0" rtlCol="0">
                          <a:noAutofit/>
                        </wps:bodyPr>
                      </wps:wsp>
                      <wps:wsp>
                        <wps:cNvPr id="249" name="Rectangle 249"/>
                        <wps:cNvSpPr/>
                        <wps:spPr>
                          <a:xfrm>
                            <a:off x="4125411" y="162"/>
                            <a:ext cx="61603" cy="107697"/>
                          </a:xfrm>
                          <a:prstGeom prst="rect">
                            <a:avLst/>
                          </a:prstGeom>
                          <a:ln>
                            <a:noFill/>
                          </a:ln>
                        </wps:spPr>
                        <wps:txbx>
                          <w:txbxContent>
                            <w:p w14:paraId="6CE4BA18" w14:textId="77777777" w:rsidR="00F64F7F" w:rsidRDefault="0056380C">
                              <w:pPr>
                                <w:spacing w:after="160" w:line="259" w:lineRule="auto"/>
                                <w:ind w:left="0" w:firstLine="0"/>
                                <w:jc w:val="left"/>
                              </w:pPr>
                              <w:hyperlink r:id="rId7">
                                <w:r>
                                  <w:rPr>
                                    <w:color w:val="422874"/>
                                    <w:w w:val="114"/>
                                    <w:sz w:val="13"/>
                                  </w:rPr>
                                  <w:t>5</w:t>
                                </w:r>
                              </w:hyperlink>
                            </w:p>
                          </w:txbxContent>
                        </wps:txbx>
                        <wps:bodyPr horzOverflow="overflow" vert="horz" lIns="0" tIns="0" rIns="0" bIns="0" rtlCol="0">
                          <a:noAutofit/>
                        </wps:bodyPr>
                      </wps:wsp>
                      <wps:wsp>
                        <wps:cNvPr id="179" name="Rectangle 179"/>
                        <wps:cNvSpPr/>
                        <wps:spPr>
                          <a:xfrm>
                            <a:off x="4171681" y="0"/>
                            <a:ext cx="61603" cy="107589"/>
                          </a:xfrm>
                          <a:prstGeom prst="rect">
                            <a:avLst/>
                          </a:prstGeom>
                          <a:ln>
                            <a:noFill/>
                          </a:ln>
                        </wps:spPr>
                        <wps:txbx>
                          <w:txbxContent>
                            <w:p w14:paraId="05CFBE2D" w14:textId="77777777" w:rsidR="00F64F7F" w:rsidRDefault="0056380C">
                              <w:pPr>
                                <w:spacing w:after="160" w:line="259" w:lineRule="auto"/>
                                <w:ind w:left="0" w:firstLine="0"/>
                                <w:jc w:val="left"/>
                              </w:pPr>
                              <w:hyperlink r:id="rId8">
                                <w:r>
                                  <w:rPr>
                                    <w:rFonts w:ascii="Calibri" w:eastAsia="Calibri" w:hAnsi="Calibri" w:cs="Calibri"/>
                                    <w:color w:val="422874"/>
                                    <w:w w:val="114"/>
                                    <w:sz w:val="13"/>
                                  </w:rPr>
                                  <w:t>–</w:t>
                                </w:r>
                              </w:hyperlink>
                            </w:p>
                          </w:txbxContent>
                        </wps:txbx>
                        <wps:bodyPr horzOverflow="overflow" vert="horz" lIns="0" tIns="0" rIns="0" bIns="0" rtlCol="0">
                          <a:noAutofit/>
                        </wps:bodyPr>
                      </wps:wsp>
                      <wps:wsp>
                        <wps:cNvPr id="250" name="Rectangle 250"/>
                        <wps:cNvSpPr/>
                        <wps:spPr>
                          <a:xfrm>
                            <a:off x="4218485" y="162"/>
                            <a:ext cx="123206" cy="107697"/>
                          </a:xfrm>
                          <a:prstGeom prst="rect">
                            <a:avLst/>
                          </a:prstGeom>
                          <a:ln>
                            <a:noFill/>
                          </a:ln>
                        </wps:spPr>
                        <wps:txbx>
                          <w:txbxContent>
                            <w:p w14:paraId="07C3300A" w14:textId="77777777" w:rsidR="00F64F7F" w:rsidRDefault="0056380C">
                              <w:pPr>
                                <w:spacing w:after="160" w:line="259" w:lineRule="auto"/>
                                <w:ind w:left="0" w:firstLine="0"/>
                                <w:jc w:val="left"/>
                              </w:pPr>
                              <w:r>
                                <w:rPr>
                                  <w:color w:val="422874"/>
                                  <w:w w:val="114"/>
                                  <w:sz w:val="13"/>
                                </w:rPr>
                                <w:t>20</w:t>
                              </w:r>
                            </w:p>
                          </w:txbxContent>
                        </wps:txbx>
                        <wps:bodyPr horzOverflow="overflow" vert="horz" lIns="0" tIns="0" rIns="0" bIns="0" rtlCol="0">
                          <a:noAutofit/>
                        </wps:bodyPr>
                      </wps:wsp>
                      <wps:wsp>
                        <wps:cNvPr id="251" name="Rectangle 251"/>
                        <wps:cNvSpPr/>
                        <wps:spPr>
                          <a:xfrm>
                            <a:off x="4311121" y="162"/>
                            <a:ext cx="61603" cy="107697"/>
                          </a:xfrm>
                          <a:prstGeom prst="rect">
                            <a:avLst/>
                          </a:prstGeom>
                          <a:ln>
                            <a:noFill/>
                          </a:ln>
                        </wps:spPr>
                        <wps:txbx>
                          <w:txbxContent>
                            <w:p w14:paraId="0F568582" w14:textId="77777777" w:rsidR="00F64F7F" w:rsidRDefault="0056380C">
                              <w:pPr>
                                <w:spacing w:after="160" w:line="259" w:lineRule="auto"/>
                                <w:ind w:left="0" w:firstLine="0"/>
                                <w:jc w:val="left"/>
                              </w:pPr>
                              <w:hyperlink r:id="rId9">
                                <w:r>
                                  <w:rPr>
                                    <w:color w:val="422874"/>
                                    <w:w w:val="114"/>
                                    <w:sz w:val="13"/>
                                  </w:rPr>
                                  <w:t>6</w:t>
                                </w:r>
                              </w:hyperlink>
                            </w:p>
                          </w:txbxContent>
                        </wps:txbx>
                        <wps:bodyPr horzOverflow="overflow" vert="horz" lIns="0" tIns="0" rIns="0" bIns="0" rtlCol="0">
                          <a:noAutofit/>
                        </wps:bodyPr>
                      </wps:wsp>
                      <pic:pic xmlns:pic="http://schemas.openxmlformats.org/drawingml/2006/picture">
                        <pic:nvPicPr>
                          <pic:cNvPr id="189" name="Picture 189"/>
                          <pic:cNvPicPr/>
                        </pic:nvPicPr>
                        <pic:blipFill>
                          <a:blip r:embed="rId10"/>
                          <a:stretch>
                            <a:fillRect/>
                          </a:stretch>
                        </pic:blipFill>
                        <pic:spPr>
                          <a:xfrm>
                            <a:off x="5911914" y="240461"/>
                            <a:ext cx="681202" cy="908634"/>
                          </a:xfrm>
                          <a:prstGeom prst="rect">
                            <a:avLst/>
                          </a:prstGeom>
                        </pic:spPr>
                      </pic:pic>
                      <pic:pic xmlns:pic="http://schemas.openxmlformats.org/drawingml/2006/picture">
                        <pic:nvPicPr>
                          <pic:cNvPr id="196" name="Picture 196"/>
                          <pic:cNvPicPr/>
                        </pic:nvPicPr>
                        <pic:blipFill>
                          <a:blip r:embed="rId11"/>
                          <a:stretch>
                            <a:fillRect/>
                          </a:stretch>
                        </pic:blipFill>
                        <pic:spPr>
                          <a:xfrm>
                            <a:off x="0" y="320369"/>
                            <a:ext cx="758939" cy="828002"/>
                          </a:xfrm>
                          <a:prstGeom prst="rect">
                            <a:avLst/>
                          </a:prstGeom>
                        </pic:spPr>
                      </pic:pic>
                      <wps:wsp>
                        <wps:cNvPr id="29252" name="Shape 29252"/>
                        <wps:cNvSpPr/>
                        <wps:spPr>
                          <a:xfrm>
                            <a:off x="935990" y="320369"/>
                            <a:ext cx="4755604" cy="828002"/>
                          </a:xfrm>
                          <a:custGeom>
                            <a:avLst/>
                            <a:gdLst/>
                            <a:ahLst/>
                            <a:cxnLst/>
                            <a:rect l="0" t="0" r="0" b="0"/>
                            <a:pathLst>
                              <a:path w="4755604" h="828002">
                                <a:moveTo>
                                  <a:pt x="0" y="0"/>
                                </a:moveTo>
                                <a:lnTo>
                                  <a:pt x="4755604" y="0"/>
                                </a:lnTo>
                                <a:lnTo>
                                  <a:pt x="4755604" y="828002"/>
                                </a:lnTo>
                                <a:lnTo>
                                  <a:pt x="0" y="828002"/>
                                </a:lnTo>
                                <a:lnTo>
                                  <a:pt x="0" y="0"/>
                                </a:lnTo>
                              </a:path>
                            </a:pathLst>
                          </a:custGeom>
                          <a:ln w="0" cap="flat">
                            <a:miter lim="127000"/>
                          </a:ln>
                        </wps:spPr>
                        <wps:style>
                          <a:lnRef idx="0">
                            <a:srgbClr val="000000">
                              <a:alpha val="0"/>
                            </a:srgbClr>
                          </a:lnRef>
                          <a:fillRef idx="1">
                            <a:srgbClr val="E9E8E7"/>
                          </a:fillRef>
                          <a:effectRef idx="0">
                            <a:scrgbClr r="0" g="0" b="0"/>
                          </a:effectRef>
                          <a:fontRef idx="none"/>
                        </wps:style>
                        <wps:bodyPr/>
                      </wps:wsp>
                      <wps:wsp>
                        <wps:cNvPr id="199" name="Rectangle 199"/>
                        <wps:cNvSpPr/>
                        <wps:spPr>
                          <a:xfrm>
                            <a:off x="2378155" y="312682"/>
                            <a:ext cx="1596083" cy="162626"/>
                          </a:xfrm>
                          <a:prstGeom prst="rect">
                            <a:avLst/>
                          </a:prstGeom>
                          <a:ln>
                            <a:noFill/>
                          </a:ln>
                        </wps:spPr>
                        <wps:txbx>
                          <w:txbxContent>
                            <w:p w14:paraId="644FFC9A" w14:textId="77777777" w:rsidR="00F64F7F" w:rsidRDefault="0056380C">
                              <w:pPr>
                                <w:spacing w:after="160" w:line="259" w:lineRule="auto"/>
                                <w:ind w:left="0" w:firstLine="0"/>
                                <w:jc w:val="left"/>
                              </w:pPr>
                              <w:r>
                                <w:rPr>
                                  <w:rFonts w:ascii="Calibri" w:eastAsia="Calibri" w:hAnsi="Calibri" w:cs="Calibri"/>
                                  <w:w w:val="114"/>
                                </w:rPr>
                                <w:t>Contents</w:t>
                              </w:r>
                              <w:r>
                                <w:rPr>
                                  <w:rFonts w:ascii="Calibri" w:eastAsia="Calibri" w:hAnsi="Calibri" w:cs="Calibri"/>
                                  <w:spacing w:val="17"/>
                                  <w:w w:val="114"/>
                                </w:rPr>
                                <w:t xml:space="preserve"> </w:t>
                              </w:r>
                              <w:r>
                                <w:rPr>
                                  <w:rFonts w:ascii="Calibri" w:eastAsia="Calibri" w:hAnsi="Calibri" w:cs="Calibri"/>
                                  <w:w w:val="114"/>
                                </w:rPr>
                                <w:t>lists</w:t>
                              </w:r>
                              <w:r>
                                <w:rPr>
                                  <w:rFonts w:ascii="Calibri" w:eastAsia="Calibri" w:hAnsi="Calibri" w:cs="Calibri"/>
                                  <w:spacing w:val="16"/>
                                  <w:w w:val="114"/>
                                </w:rPr>
                                <w:t xml:space="preserve"> </w:t>
                              </w:r>
                              <w:r>
                                <w:rPr>
                                  <w:rFonts w:ascii="Calibri" w:eastAsia="Calibri" w:hAnsi="Calibri" w:cs="Calibri"/>
                                  <w:w w:val="114"/>
                                </w:rPr>
                                <w:t>available</w:t>
                              </w:r>
                              <w:r>
                                <w:rPr>
                                  <w:rFonts w:ascii="Calibri" w:eastAsia="Calibri" w:hAnsi="Calibri" w:cs="Calibri"/>
                                  <w:spacing w:val="16"/>
                                  <w:w w:val="114"/>
                                </w:rPr>
                                <w:t xml:space="preserve"> </w:t>
                              </w:r>
                              <w:r>
                                <w:rPr>
                                  <w:rFonts w:ascii="Calibri" w:eastAsia="Calibri" w:hAnsi="Calibri" w:cs="Calibri"/>
                                  <w:w w:val="114"/>
                                </w:rPr>
                                <w:t>at</w:t>
                              </w:r>
                            </w:p>
                          </w:txbxContent>
                        </wps:txbx>
                        <wps:bodyPr horzOverflow="overflow" vert="horz" lIns="0" tIns="0" rIns="0" bIns="0" rtlCol="0">
                          <a:noAutofit/>
                        </wps:bodyPr>
                      </wps:wsp>
                      <wps:wsp>
                        <wps:cNvPr id="254" name="Rectangle 254"/>
                        <wps:cNvSpPr/>
                        <wps:spPr>
                          <a:xfrm>
                            <a:off x="3612238" y="312682"/>
                            <a:ext cx="798149" cy="162626"/>
                          </a:xfrm>
                          <a:prstGeom prst="rect">
                            <a:avLst/>
                          </a:prstGeom>
                          <a:ln>
                            <a:noFill/>
                          </a:ln>
                        </wps:spPr>
                        <wps:txbx>
                          <w:txbxContent>
                            <w:p w14:paraId="230AA57E" w14:textId="77777777" w:rsidR="00F64F7F" w:rsidRDefault="0056380C">
                              <w:pPr>
                                <w:spacing w:after="160" w:line="259" w:lineRule="auto"/>
                                <w:ind w:left="0" w:firstLine="0"/>
                                <w:jc w:val="left"/>
                              </w:pPr>
                              <w:r>
                                <w:rPr>
                                  <w:rFonts w:ascii="Calibri" w:eastAsia="Calibri" w:hAnsi="Calibri" w:cs="Calibri"/>
                                  <w:color w:val="422874"/>
                                  <w:w w:val="115"/>
                                </w:rPr>
                                <w:t>ScienceDirec</w:t>
                              </w:r>
                            </w:p>
                          </w:txbxContent>
                        </wps:txbx>
                        <wps:bodyPr horzOverflow="overflow" vert="horz" lIns="0" tIns="0" rIns="0" bIns="0" rtlCol="0">
                          <a:noAutofit/>
                        </wps:bodyPr>
                      </wps:wsp>
                      <wps:wsp>
                        <wps:cNvPr id="255" name="Rectangle 255"/>
                        <wps:cNvSpPr/>
                        <wps:spPr>
                          <a:xfrm>
                            <a:off x="4212350" y="312682"/>
                            <a:ext cx="49003" cy="162626"/>
                          </a:xfrm>
                          <a:prstGeom prst="rect">
                            <a:avLst/>
                          </a:prstGeom>
                          <a:ln>
                            <a:noFill/>
                          </a:ln>
                        </wps:spPr>
                        <wps:txbx>
                          <w:txbxContent>
                            <w:p w14:paraId="213E86E3" w14:textId="77777777" w:rsidR="00F64F7F" w:rsidRDefault="0056380C">
                              <w:pPr>
                                <w:spacing w:after="160" w:line="259" w:lineRule="auto"/>
                                <w:ind w:left="0" w:firstLine="0"/>
                                <w:jc w:val="left"/>
                              </w:pPr>
                              <w:hyperlink r:id="rId12">
                                <w:r>
                                  <w:rPr>
                                    <w:rFonts w:ascii="Calibri" w:eastAsia="Calibri" w:hAnsi="Calibri" w:cs="Calibri"/>
                                    <w:color w:val="422874"/>
                                    <w:w w:val="110"/>
                                  </w:rPr>
                                  <w:t>t</w:t>
                                </w:r>
                              </w:hyperlink>
                            </w:p>
                          </w:txbxContent>
                        </wps:txbx>
                        <wps:bodyPr horzOverflow="overflow" vert="horz" lIns="0" tIns="0" rIns="0" bIns="0" rtlCol="0">
                          <a:noAutofit/>
                        </wps:bodyPr>
                      </wps:wsp>
                      <wps:wsp>
                        <wps:cNvPr id="201" name="Rectangle 201"/>
                        <wps:cNvSpPr/>
                        <wps:spPr>
                          <a:xfrm>
                            <a:off x="1870555" y="633492"/>
                            <a:ext cx="3838757" cy="235588"/>
                          </a:xfrm>
                          <a:prstGeom prst="rect">
                            <a:avLst/>
                          </a:prstGeom>
                          <a:ln>
                            <a:noFill/>
                          </a:ln>
                        </wps:spPr>
                        <wps:txbx>
                          <w:txbxContent>
                            <w:p w14:paraId="2B2FB3FF" w14:textId="77777777" w:rsidR="00F64F7F" w:rsidRDefault="0056380C">
                              <w:pPr>
                                <w:spacing w:after="160" w:line="259" w:lineRule="auto"/>
                                <w:ind w:left="0" w:firstLine="0"/>
                                <w:jc w:val="left"/>
                              </w:pPr>
                              <w:r>
                                <w:rPr>
                                  <w:w w:val="112"/>
                                  <w:sz w:val="28"/>
                                </w:rPr>
                                <w:t>Earth</w:t>
                              </w:r>
                              <w:r>
                                <w:rPr>
                                  <w:spacing w:val="24"/>
                                  <w:w w:val="112"/>
                                  <w:sz w:val="28"/>
                                </w:rPr>
                                <w:t xml:space="preserve"> </w:t>
                              </w:r>
                              <w:r>
                                <w:rPr>
                                  <w:w w:val="112"/>
                                  <w:sz w:val="28"/>
                                </w:rPr>
                                <w:t>and</w:t>
                              </w:r>
                              <w:r>
                                <w:rPr>
                                  <w:spacing w:val="23"/>
                                  <w:w w:val="112"/>
                                  <w:sz w:val="28"/>
                                </w:rPr>
                                <w:t xml:space="preserve"> </w:t>
                              </w:r>
                              <w:r>
                                <w:rPr>
                                  <w:w w:val="112"/>
                                  <w:sz w:val="28"/>
                                </w:rPr>
                                <w:t>Planetary</w:t>
                              </w:r>
                              <w:r>
                                <w:rPr>
                                  <w:spacing w:val="25"/>
                                  <w:w w:val="112"/>
                                  <w:sz w:val="28"/>
                                </w:rPr>
                                <w:t xml:space="preserve"> </w:t>
                              </w:r>
                              <w:r>
                                <w:rPr>
                                  <w:w w:val="112"/>
                                  <w:sz w:val="28"/>
                                </w:rPr>
                                <w:t>Science</w:t>
                              </w:r>
                              <w:r>
                                <w:rPr>
                                  <w:spacing w:val="24"/>
                                  <w:w w:val="112"/>
                                  <w:sz w:val="28"/>
                                </w:rPr>
                                <w:t xml:space="preserve"> </w:t>
                              </w:r>
                              <w:r>
                                <w:rPr>
                                  <w:w w:val="112"/>
                                  <w:sz w:val="28"/>
                                </w:rPr>
                                <w:t>Letters</w:t>
                              </w:r>
                            </w:p>
                          </w:txbxContent>
                        </wps:txbx>
                        <wps:bodyPr horzOverflow="overflow" vert="horz" lIns="0" tIns="0" rIns="0" bIns="0" rtlCol="0">
                          <a:noAutofit/>
                        </wps:bodyPr>
                      </wps:wsp>
                      <wps:wsp>
                        <wps:cNvPr id="202" name="Rectangle 202"/>
                        <wps:cNvSpPr/>
                        <wps:spPr>
                          <a:xfrm>
                            <a:off x="1902955" y="1019001"/>
                            <a:ext cx="3752218" cy="162626"/>
                          </a:xfrm>
                          <a:prstGeom prst="rect">
                            <a:avLst/>
                          </a:prstGeom>
                          <a:ln>
                            <a:noFill/>
                          </a:ln>
                        </wps:spPr>
                        <wps:txbx>
                          <w:txbxContent>
                            <w:p w14:paraId="3956A6A7" w14:textId="77777777" w:rsidR="00F64F7F" w:rsidRDefault="0056380C">
                              <w:pPr>
                                <w:spacing w:after="160" w:line="259" w:lineRule="auto"/>
                                <w:ind w:left="0" w:firstLine="0"/>
                                <w:jc w:val="left"/>
                              </w:pPr>
                              <w:r>
                                <w:rPr>
                                  <w:rFonts w:ascii="Calibri" w:eastAsia="Calibri" w:hAnsi="Calibri" w:cs="Calibri"/>
                                  <w:spacing w:val="20"/>
                                  <w:w w:val="112"/>
                                </w:rPr>
                                <w:t>journal</w:t>
                              </w:r>
                              <w:r>
                                <w:rPr>
                                  <w:rFonts w:ascii="Calibri" w:eastAsia="Calibri" w:hAnsi="Calibri" w:cs="Calibri"/>
                                  <w:spacing w:val="17"/>
                                  <w:w w:val="112"/>
                                </w:rPr>
                                <w:t xml:space="preserve"> </w:t>
                              </w:r>
                              <w:r>
                                <w:rPr>
                                  <w:rFonts w:ascii="Calibri" w:eastAsia="Calibri" w:hAnsi="Calibri" w:cs="Calibri"/>
                                  <w:spacing w:val="20"/>
                                  <w:w w:val="112"/>
                                </w:rPr>
                                <w:t>homepage:</w:t>
                              </w:r>
                              <w:r>
                                <w:rPr>
                                  <w:rFonts w:ascii="Calibri" w:eastAsia="Calibri" w:hAnsi="Calibri" w:cs="Calibri"/>
                                  <w:spacing w:val="17"/>
                                  <w:w w:val="112"/>
                                </w:rPr>
                                <w:t xml:space="preserve"> </w:t>
                              </w:r>
                              <w:r>
                                <w:rPr>
                                  <w:rFonts w:ascii="Calibri" w:eastAsia="Calibri" w:hAnsi="Calibri" w:cs="Calibri"/>
                                  <w:spacing w:val="20"/>
                                  <w:w w:val="112"/>
                                </w:rPr>
                                <w:t>www.elsevier.com/locate/epsl</w:t>
                              </w:r>
                            </w:p>
                          </w:txbxContent>
                        </wps:txbx>
                        <wps:bodyPr horzOverflow="overflow" vert="horz" lIns="0" tIns="0" rIns="0" bIns="0" rtlCol="0">
                          <a:noAutofit/>
                        </wps:bodyPr>
                      </wps:wsp>
                      <wps:wsp>
                        <wps:cNvPr id="29279" name="Shape 29279"/>
                        <wps:cNvSpPr/>
                        <wps:spPr>
                          <a:xfrm>
                            <a:off x="0" y="1228296"/>
                            <a:ext cx="6592316" cy="38160"/>
                          </a:xfrm>
                          <a:custGeom>
                            <a:avLst/>
                            <a:gdLst/>
                            <a:ahLst/>
                            <a:cxnLst/>
                            <a:rect l="0" t="0" r="0" b="0"/>
                            <a:pathLst>
                              <a:path w="6592316" h="38160">
                                <a:moveTo>
                                  <a:pt x="0" y="0"/>
                                </a:moveTo>
                                <a:lnTo>
                                  <a:pt x="6592316" y="0"/>
                                </a:lnTo>
                                <a:lnTo>
                                  <a:pt x="6592316" y="38160"/>
                                </a:lnTo>
                                <a:lnTo>
                                  <a:pt x="0" y="38160"/>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5878" style="width:519.143pt;height:99.7209pt;mso-position-horizontal-relative:char;mso-position-vertical-relative:line" coordsize="65931,12664">
                <v:shape id="Shape 29280" style="position:absolute;width:56880;height:91;left:0;top:2397;" coordsize="5688000,9144" path="m0,0l5688000,0l5688000,9144l0,9144l0,0">
                  <v:stroke weight="0pt" endcap="flat" joinstyle="miter" miterlimit="10" on="false" color="#000000" opacity="0"/>
                  <v:fill on="true" color="#181717"/>
                </v:shape>
                <v:rect id="Rectangle 248" style="position:absolute;width:25153;height:1076;left:22341;top:1;" filled="f" stroked="f">
                  <v:textbox inset="0,0,0,0">
                    <w:txbxContent>
                      <w:p>
                        <w:pPr>
                          <w:spacing w:before="0" w:after="160" w:line="259" w:lineRule="auto"/>
                          <w:ind w:left="0" w:firstLine="0"/>
                          <w:jc w:val="left"/>
                        </w:pPr>
                        <w:r>
                          <w:rPr>
                            <w:color w:val="422874"/>
                            <w:w w:val="113"/>
                            <w:sz w:val="13"/>
                          </w:rPr>
                          <w:t xml:space="preserve">Earth</w:t>
                        </w:r>
                        <w:r>
                          <w:rPr>
                            <w:color w:val="422874"/>
                            <w:spacing w:val="11"/>
                            <w:w w:val="113"/>
                            <w:sz w:val="13"/>
                          </w:rPr>
                          <w:t xml:space="preserve"> </w:t>
                        </w:r>
                        <w:r>
                          <w:rPr>
                            <w:color w:val="422874"/>
                            <w:w w:val="113"/>
                            <w:sz w:val="13"/>
                          </w:rPr>
                          <w:t xml:space="preserve">and</w:t>
                        </w:r>
                        <w:r>
                          <w:rPr>
                            <w:color w:val="422874"/>
                            <w:spacing w:val="11"/>
                            <w:w w:val="113"/>
                            <w:sz w:val="13"/>
                          </w:rPr>
                          <w:t xml:space="preserve"> </w:t>
                        </w:r>
                        <w:r>
                          <w:rPr>
                            <w:color w:val="422874"/>
                            <w:w w:val="113"/>
                            <w:sz w:val="13"/>
                          </w:rPr>
                          <w:t xml:space="preserve">Planetary</w:t>
                        </w:r>
                        <w:r>
                          <w:rPr>
                            <w:color w:val="422874"/>
                            <w:spacing w:val="11"/>
                            <w:w w:val="113"/>
                            <w:sz w:val="13"/>
                          </w:rPr>
                          <w:t xml:space="preserve"> </w:t>
                        </w:r>
                        <w:r>
                          <w:rPr>
                            <w:color w:val="422874"/>
                            <w:w w:val="113"/>
                            <w:sz w:val="13"/>
                          </w:rPr>
                          <w:t xml:space="preserve">Science</w:t>
                        </w:r>
                        <w:r>
                          <w:rPr>
                            <w:color w:val="422874"/>
                            <w:spacing w:val="12"/>
                            <w:w w:val="113"/>
                            <w:sz w:val="13"/>
                          </w:rPr>
                          <w:t xml:space="preserve"> </w:t>
                        </w:r>
                        <w:r>
                          <w:rPr>
                            <w:color w:val="422874"/>
                            <w:w w:val="113"/>
                            <w:sz w:val="13"/>
                          </w:rPr>
                          <w:t xml:space="preserve">Letters</w:t>
                        </w:r>
                        <w:r>
                          <w:rPr>
                            <w:color w:val="422874"/>
                            <w:spacing w:val="12"/>
                            <w:w w:val="113"/>
                            <w:sz w:val="13"/>
                          </w:rPr>
                          <w:t xml:space="preserve"> </w:t>
                        </w:r>
                        <w:r>
                          <w:rPr>
                            <w:color w:val="422874"/>
                            <w:w w:val="113"/>
                            <w:sz w:val="13"/>
                          </w:rPr>
                          <w:t xml:space="preserve">305</w:t>
                        </w:r>
                        <w:r>
                          <w:rPr>
                            <w:color w:val="422874"/>
                            <w:spacing w:val="11"/>
                            <w:w w:val="113"/>
                            <w:sz w:val="13"/>
                          </w:rPr>
                          <w:t xml:space="preserve"> </w:t>
                        </w:r>
                        <w:r>
                          <w:rPr>
                            <w:color w:val="422874"/>
                            <w:w w:val="113"/>
                            <w:sz w:val="13"/>
                          </w:rPr>
                          <w:t xml:space="preserve">(2011)</w:t>
                        </w:r>
                        <w:r>
                          <w:rPr>
                            <w:color w:val="422874"/>
                            <w:spacing w:val="12"/>
                            <w:w w:val="113"/>
                            <w:sz w:val="13"/>
                          </w:rPr>
                          <w:t xml:space="preserve"> </w:t>
                        </w:r>
                        <w:r>
                          <w:rPr>
                            <w:color w:val="422874"/>
                            <w:w w:val="113"/>
                            <w:sz w:val="13"/>
                          </w:rPr>
                          <w:t xml:space="preserve">19</w:t>
                        </w:r>
                      </w:p>
                    </w:txbxContent>
                  </v:textbox>
                </v:rect>
                <v:rect id="Rectangle 249" style="position:absolute;width:616;height:1076;left:41254;top:1;" filled="f" stroked="f">
                  <v:textbox inset="0,0,0,0">
                    <w:txbxContent>
                      <w:p>
                        <w:pPr>
                          <w:spacing w:before="0" w:after="160" w:line="259" w:lineRule="auto"/>
                          <w:ind w:left="0" w:firstLine="0"/>
                          <w:jc w:val="left"/>
                        </w:pPr>
                        <w:hyperlink r:id="hyperlink244">
                          <w:r>
                            <w:rPr>
                              <w:color w:val="422874"/>
                              <w:w w:val="114"/>
                              <w:sz w:val="13"/>
                            </w:rPr>
                            <w:t xml:space="preserve">5</w:t>
                          </w:r>
                        </w:hyperlink>
                      </w:p>
                    </w:txbxContent>
                  </v:textbox>
                </v:rect>
                <v:rect id="Rectangle 179" style="position:absolute;width:616;height:1075;left:41716;top:0;" filled="f" stroked="f">
                  <v:textbox inset="0,0,0,0">
                    <w:txbxContent>
                      <w:p>
                        <w:pPr>
                          <w:spacing w:before="0" w:after="160" w:line="259" w:lineRule="auto"/>
                          <w:ind w:left="0" w:firstLine="0"/>
                          <w:jc w:val="left"/>
                        </w:pPr>
                        <w:hyperlink r:id="hyperlink244">
                          <w:r>
                            <w:rPr>
                              <w:rFonts w:cs="Calibri" w:hAnsi="Calibri" w:eastAsia="Calibri" w:ascii="Calibri"/>
                              <w:color w:val="422874"/>
                              <w:w w:val="114"/>
                              <w:sz w:val="13"/>
                            </w:rPr>
                            <w:t xml:space="preserve">–</w:t>
                          </w:r>
                        </w:hyperlink>
                      </w:p>
                    </w:txbxContent>
                  </v:textbox>
                </v:rect>
                <v:rect id="Rectangle 250" style="position:absolute;width:1232;height:1076;left:42184;top:1;" filled="f" stroked="f">
                  <v:textbox inset="0,0,0,0">
                    <w:txbxContent>
                      <w:p>
                        <w:pPr>
                          <w:spacing w:before="0" w:after="160" w:line="259" w:lineRule="auto"/>
                          <w:ind w:left="0" w:firstLine="0"/>
                          <w:jc w:val="left"/>
                        </w:pPr>
                        <w:r>
                          <w:rPr>
                            <w:color w:val="422874"/>
                            <w:w w:val="114"/>
                            <w:sz w:val="13"/>
                          </w:rPr>
                          <w:t xml:space="preserve">20</w:t>
                        </w:r>
                      </w:p>
                    </w:txbxContent>
                  </v:textbox>
                </v:rect>
                <v:rect id="Rectangle 251" style="position:absolute;width:616;height:1076;left:43111;top:1;" filled="f" stroked="f">
                  <v:textbox inset="0,0,0,0">
                    <w:txbxContent>
                      <w:p>
                        <w:pPr>
                          <w:spacing w:before="0" w:after="160" w:line="259" w:lineRule="auto"/>
                          <w:ind w:left="0" w:firstLine="0"/>
                          <w:jc w:val="left"/>
                        </w:pPr>
                        <w:hyperlink r:id="hyperlink244">
                          <w:r>
                            <w:rPr>
                              <w:color w:val="422874"/>
                              <w:w w:val="114"/>
                              <w:sz w:val="13"/>
                            </w:rPr>
                            <w:t xml:space="preserve">6</w:t>
                          </w:r>
                        </w:hyperlink>
                      </w:p>
                    </w:txbxContent>
                  </v:textbox>
                </v:rect>
                <v:shape id="Picture 189" style="position:absolute;width:6812;height:9086;left:59119;top:2404;" filled="f">
                  <v:imagedata r:id="rId13"/>
                </v:shape>
                <v:shape id="Picture 196" style="position:absolute;width:7589;height:8280;left:0;top:3203;" filled="f">
                  <v:imagedata r:id="rId14"/>
                </v:shape>
                <v:shape id="Shape 29299" style="position:absolute;width:47556;height:8280;left:9359;top:3203;" coordsize="4755604,828002" path="m0,0l4755604,0l4755604,828002l0,828002l0,0">
                  <v:stroke weight="0pt" endcap="flat" joinstyle="miter" miterlimit="10" on="false" color="#000000" opacity="0"/>
                  <v:fill on="true" color="#e9e8e7"/>
                </v:shape>
                <v:rect id="Rectangle 199" style="position:absolute;width:15960;height:1626;left:23781;top:3126;" filled="f" stroked="f">
                  <v:textbox inset="0,0,0,0">
                    <w:txbxContent>
                      <w:p>
                        <w:pPr>
                          <w:spacing w:before="0" w:after="160" w:line="259" w:lineRule="auto"/>
                          <w:ind w:left="0" w:firstLine="0"/>
                          <w:jc w:val="left"/>
                        </w:pPr>
                        <w:r>
                          <w:rPr>
                            <w:rFonts w:cs="Calibri" w:hAnsi="Calibri" w:eastAsia="Calibri" w:ascii="Calibri"/>
                            <w:w w:val="114"/>
                          </w:rPr>
                          <w:t xml:space="preserve">Contents</w:t>
                        </w:r>
                        <w:r>
                          <w:rPr>
                            <w:rFonts w:cs="Calibri" w:hAnsi="Calibri" w:eastAsia="Calibri" w:ascii="Calibri"/>
                            <w:spacing w:val="17"/>
                            <w:w w:val="114"/>
                          </w:rPr>
                          <w:t xml:space="preserve"> </w:t>
                        </w:r>
                        <w:r>
                          <w:rPr>
                            <w:rFonts w:cs="Calibri" w:hAnsi="Calibri" w:eastAsia="Calibri" w:ascii="Calibri"/>
                            <w:w w:val="114"/>
                          </w:rPr>
                          <w:t xml:space="preserve">lists</w:t>
                        </w:r>
                        <w:r>
                          <w:rPr>
                            <w:rFonts w:cs="Calibri" w:hAnsi="Calibri" w:eastAsia="Calibri" w:ascii="Calibri"/>
                            <w:spacing w:val="16"/>
                            <w:w w:val="114"/>
                          </w:rPr>
                          <w:t xml:space="preserve"> </w:t>
                        </w:r>
                        <w:r>
                          <w:rPr>
                            <w:rFonts w:cs="Calibri" w:hAnsi="Calibri" w:eastAsia="Calibri" w:ascii="Calibri"/>
                            <w:w w:val="114"/>
                          </w:rPr>
                          <w:t xml:space="preserve">available</w:t>
                        </w:r>
                        <w:r>
                          <w:rPr>
                            <w:rFonts w:cs="Calibri" w:hAnsi="Calibri" w:eastAsia="Calibri" w:ascii="Calibri"/>
                            <w:spacing w:val="16"/>
                            <w:w w:val="114"/>
                          </w:rPr>
                          <w:t xml:space="preserve"> </w:t>
                        </w:r>
                        <w:r>
                          <w:rPr>
                            <w:rFonts w:cs="Calibri" w:hAnsi="Calibri" w:eastAsia="Calibri" w:ascii="Calibri"/>
                            <w:w w:val="114"/>
                          </w:rPr>
                          <w:t xml:space="preserve">at</w:t>
                        </w:r>
                      </w:p>
                    </w:txbxContent>
                  </v:textbox>
                </v:rect>
                <v:rect id="Rectangle 254" style="position:absolute;width:7981;height:1626;left:36122;top:3126;" filled="f" stroked="f">
                  <v:textbox inset="0,0,0,0">
                    <w:txbxContent>
                      <w:p>
                        <w:pPr>
                          <w:spacing w:before="0" w:after="160" w:line="259" w:lineRule="auto"/>
                          <w:ind w:left="0" w:firstLine="0"/>
                          <w:jc w:val="left"/>
                        </w:pPr>
                        <w:r>
                          <w:rPr>
                            <w:rFonts w:cs="Calibri" w:hAnsi="Calibri" w:eastAsia="Calibri" w:ascii="Calibri"/>
                            <w:color w:val="422874"/>
                            <w:w w:val="115"/>
                          </w:rPr>
                          <w:t xml:space="preserve">ScienceDirec</w:t>
                        </w:r>
                      </w:p>
                    </w:txbxContent>
                  </v:textbox>
                </v:rect>
                <v:rect id="Rectangle 255" style="position:absolute;width:490;height:1626;left:42123;top:3126;" filled="f" stroked="f">
                  <v:textbox inset="0,0,0,0">
                    <w:txbxContent>
                      <w:p>
                        <w:pPr>
                          <w:spacing w:before="0" w:after="160" w:line="259" w:lineRule="auto"/>
                          <w:ind w:left="0" w:firstLine="0"/>
                          <w:jc w:val="left"/>
                        </w:pPr>
                        <w:hyperlink r:id="hyperlink247">
                          <w:r>
                            <w:rPr>
                              <w:rFonts w:cs="Calibri" w:hAnsi="Calibri" w:eastAsia="Calibri" w:ascii="Calibri"/>
                              <w:color w:val="422874"/>
                              <w:w w:val="110"/>
                            </w:rPr>
                            <w:t xml:space="preserve">t</w:t>
                          </w:r>
                        </w:hyperlink>
                      </w:p>
                    </w:txbxContent>
                  </v:textbox>
                </v:rect>
                <v:rect id="Rectangle 201" style="position:absolute;width:38387;height:2355;left:18705;top:6334;" filled="f" stroked="f">
                  <v:textbox inset="0,0,0,0">
                    <w:txbxContent>
                      <w:p>
                        <w:pPr>
                          <w:spacing w:before="0" w:after="160" w:line="259" w:lineRule="auto"/>
                          <w:ind w:left="0" w:firstLine="0"/>
                          <w:jc w:val="left"/>
                        </w:pPr>
                        <w:r>
                          <w:rPr>
                            <w:w w:val="112"/>
                            <w:sz w:val="28"/>
                          </w:rPr>
                          <w:t xml:space="preserve">Earth</w:t>
                        </w:r>
                        <w:r>
                          <w:rPr>
                            <w:spacing w:val="24"/>
                            <w:w w:val="112"/>
                            <w:sz w:val="28"/>
                          </w:rPr>
                          <w:t xml:space="preserve"> </w:t>
                        </w:r>
                        <w:r>
                          <w:rPr>
                            <w:w w:val="112"/>
                            <w:sz w:val="28"/>
                          </w:rPr>
                          <w:t xml:space="preserve">and</w:t>
                        </w:r>
                        <w:r>
                          <w:rPr>
                            <w:spacing w:val="23"/>
                            <w:w w:val="112"/>
                            <w:sz w:val="28"/>
                          </w:rPr>
                          <w:t xml:space="preserve"> </w:t>
                        </w:r>
                        <w:r>
                          <w:rPr>
                            <w:w w:val="112"/>
                            <w:sz w:val="28"/>
                          </w:rPr>
                          <w:t xml:space="preserve">Planetary</w:t>
                        </w:r>
                        <w:r>
                          <w:rPr>
                            <w:spacing w:val="25"/>
                            <w:w w:val="112"/>
                            <w:sz w:val="28"/>
                          </w:rPr>
                          <w:t xml:space="preserve"> </w:t>
                        </w:r>
                        <w:r>
                          <w:rPr>
                            <w:w w:val="112"/>
                            <w:sz w:val="28"/>
                          </w:rPr>
                          <w:t xml:space="preserve">Science</w:t>
                        </w:r>
                        <w:r>
                          <w:rPr>
                            <w:spacing w:val="24"/>
                            <w:w w:val="112"/>
                            <w:sz w:val="28"/>
                          </w:rPr>
                          <w:t xml:space="preserve"> </w:t>
                        </w:r>
                        <w:r>
                          <w:rPr>
                            <w:w w:val="112"/>
                            <w:sz w:val="28"/>
                          </w:rPr>
                          <w:t xml:space="preserve">Letters</w:t>
                        </w:r>
                      </w:p>
                    </w:txbxContent>
                  </v:textbox>
                </v:rect>
                <v:rect id="Rectangle 202" style="position:absolute;width:37522;height:1626;left:19029;top:10190;" filled="f" stroked="f">
                  <v:textbox inset="0,0,0,0">
                    <w:txbxContent>
                      <w:p>
                        <w:pPr>
                          <w:spacing w:before="0" w:after="160" w:line="259" w:lineRule="auto"/>
                          <w:ind w:left="0" w:firstLine="0"/>
                          <w:jc w:val="left"/>
                        </w:pPr>
                        <w:r>
                          <w:rPr>
                            <w:rFonts w:cs="Calibri" w:hAnsi="Calibri" w:eastAsia="Calibri" w:ascii="Calibri"/>
                            <w:spacing w:val="20"/>
                            <w:w w:val="112"/>
                          </w:rPr>
                          <w:t xml:space="preserve">journal</w:t>
                        </w:r>
                        <w:r>
                          <w:rPr>
                            <w:rFonts w:cs="Calibri" w:hAnsi="Calibri" w:eastAsia="Calibri" w:ascii="Calibri"/>
                            <w:spacing w:val="17"/>
                            <w:w w:val="112"/>
                          </w:rPr>
                          <w:t xml:space="preserve"> </w:t>
                        </w:r>
                        <w:r>
                          <w:rPr>
                            <w:rFonts w:cs="Calibri" w:hAnsi="Calibri" w:eastAsia="Calibri" w:ascii="Calibri"/>
                            <w:spacing w:val="20"/>
                            <w:w w:val="112"/>
                          </w:rPr>
                          <w:t xml:space="preserve">homepage:</w:t>
                        </w:r>
                        <w:r>
                          <w:rPr>
                            <w:rFonts w:cs="Calibri" w:hAnsi="Calibri" w:eastAsia="Calibri" w:ascii="Calibri"/>
                            <w:spacing w:val="17"/>
                            <w:w w:val="112"/>
                          </w:rPr>
                          <w:t xml:space="preserve"> </w:t>
                        </w:r>
                        <w:r>
                          <w:rPr>
                            <w:rFonts w:cs="Calibri" w:hAnsi="Calibri" w:eastAsia="Calibri" w:ascii="Calibri"/>
                            <w:spacing w:val="20"/>
                            <w:w w:val="112"/>
                          </w:rPr>
                          <w:t xml:space="preserve">www.elsevier.com/locate/epsl</w:t>
                        </w:r>
                      </w:p>
                    </w:txbxContent>
                  </v:textbox>
                </v:rect>
                <v:shape id="Shape 29326" style="position:absolute;width:65923;height:381;left:0;top:12282;" coordsize="6592316,38160" path="m0,0l6592316,0l6592316,38160l0,38160l0,0">
                  <v:stroke weight="0pt" endcap="flat" joinstyle="miter" miterlimit="10" on="false" color="#000000" opacity="0"/>
                  <v:fill on="true" color="#181717"/>
                </v:shape>
              </v:group>
            </w:pict>
          </mc:Fallback>
        </mc:AlternateContent>
      </w:r>
    </w:p>
    <w:p w14:paraId="62347CA9" w14:textId="77777777" w:rsidR="00F64F7F" w:rsidRDefault="0056380C">
      <w:pPr>
        <w:spacing w:after="132" w:line="252" w:lineRule="auto"/>
        <w:ind w:left="0" w:firstLine="0"/>
        <w:jc w:val="left"/>
      </w:pPr>
      <w:r>
        <w:rPr>
          <w:sz w:val="27"/>
        </w:rPr>
        <w:t>Provenance analysis of upper Cretaceous strata in the Tethys Himalaya, southern Tibet: Implications for timing of India</w:t>
      </w:r>
      <w:r>
        <w:rPr>
          <w:rFonts w:ascii="Calibri" w:eastAsia="Calibri" w:hAnsi="Calibri" w:cs="Calibri"/>
          <w:sz w:val="27"/>
        </w:rPr>
        <w:t>–</w:t>
      </w:r>
      <w:r>
        <w:rPr>
          <w:sz w:val="27"/>
        </w:rPr>
        <w:t>Asia collision</w:t>
      </w:r>
    </w:p>
    <w:p w14:paraId="129F43CD" w14:textId="77777777" w:rsidR="00F64F7F" w:rsidRDefault="0056380C">
      <w:pPr>
        <w:spacing w:after="0" w:line="259" w:lineRule="auto"/>
        <w:ind w:left="0" w:firstLine="0"/>
        <w:jc w:val="left"/>
      </w:pPr>
      <w:r>
        <w:rPr>
          <w:sz w:val="21"/>
        </w:rPr>
        <w:t xml:space="preserve">Fulong Cai, Lin Ding </w:t>
      </w:r>
      <w:r>
        <w:rPr>
          <w:rFonts w:ascii="Calibri" w:eastAsia="Calibri" w:hAnsi="Calibri" w:cs="Calibri"/>
          <w:color w:val="422874"/>
          <w:sz w:val="24"/>
        </w:rPr>
        <w:t>⁎</w:t>
      </w:r>
      <w:r>
        <w:rPr>
          <w:sz w:val="21"/>
        </w:rPr>
        <w:t>, Yahui Yue</w:t>
      </w:r>
    </w:p>
    <w:tbl>
      <w:tblPr>
        <w:tblStyle w:val="TableGrid"/>
        <w:tblpPr w:vertAnchor="text" w:tblpY="2183"/>
        <w:tblOverlap w:val="never"/>
        <w:tblW w:w="10386" w:type="dxa"/>
        <w:tblInd w:w="0" w:type="dxa"/>
        <w:tblCellMar>
          <w:top w:w="0" w:type="dxa"/>
          <w:left w:w="0" w:type="dxa"/>
          <w:bottom w:w="0" w:type="dxa"/>
          <w:right w:w="0" w:type="dxa"/>
        </w:tblCellMar>
        <w:tblLook w:val="04A0" w:firstRow="1" w:lastRow="0" w:firstColumn="1" w:lastColumn="0" w:noHBand="0" w:noVBand="1"/>
      </w:tblPr>
      <w:tblGrid>
        <w:gridCol w:w="3288"/>
        <w:gridCol w:w="7098"/>
      </w:tblGrid>
      <w:tr w:rsidR="00F64F7F" w14:paraId="706FE2B6" w14:textId="77777777">
        <w:trPr>
          <w:trHeight w:val="2439"/>
        </w:trPr>
        <w:tc>
          <w:tcPr>
            <w:tcW w:w="3288" w:type="dxa"/>
            <w:tcBorders>
              <w:top w:val="nil"/>
              <w:left w:val="nil"/>
              <w:bottom w:val="nil"/>
              <w:right w:val="nil"/>
            </w:tcBorders>
          </w:tcPr>
          <w:p w14:paraId="02F8D23D" w14:textId="77777777" w:rsidR="00F64F7F" w:rsidRDefault="0056380C">
            <w:pPr>
              <w:spacing w:after="0" w:line="259" w:lineRule="auto"/>
              <w:ind w:left="0" w:right="2103" w:firstLine="0"/>
              <w:jc w:val="left"/>
            </w:pPr>
            <w:r>
              <w:rPr>
                <w:sz w:val="13"/>
              </w:rPr>
              <w:t xml:space="preserve">Keywords: </w:t>
            </w:r>
            <w:r>
              <w:rPr>
                <w:sz w:val="13"/>
              </w:rPr>
              <w:t>Tethys Himalaya provenance analysis detrital zi</w:t>
            </w:r>
            <w:r>
              <w:rPr>
                <w:sz w:val="13"/>
              </w:rPr>
              <w:t>rcons Cr</w:t>
            </w:r>
            <w:r>
              <w:rPr>
                <w:rFonts w:ascii="Calibri" w:eastAsia="Calibri" w:hAnsi="Calibri" w:cs="Calibri"/>
                <w:sz w:val="13"/>
              </w:rPr>
              <w:t>–</w:t>
            </w:r>
            <w:r>
              <w:rPr>
                <w:sz w:val="13"/>
              </w:rPr>
              <w:t>spinel Nd-isotopes initial collision</w:t>
            </w:r>
          </w:p>
        </w:tc>
        <w:tc>
          <w:tcPr>
            <w:tcW w:w="7097" w:type="dxa"/>
            <w:tcBorders>
              <w:top w:val="nil"/>
              <w:left w:val="nil"/>
              <w:bottom w:val="nil"/>
              <w:right w:val="nil"/>
            </w:tcBorders>
          </w:tcPr>
          <w:p w14:paraId="1EA61B92" w14:textId="77777777" w:rsidR="00F64F7F" w:rsidRDefault="0056380C">
            <w:pPr>
              <w:spacing w:after="0"/>
              <w:ind w:left="0" w:firstLine="0"/>
            </w:pPr>
            <w:r>
              <w:rPr>
                <w:sz w:val="14"/>
              </w:rPr>
              <w:t>most likely derived from the Indian continent. Overlying conformably is the Santonian</w:t>
            </w:r>
            <w:r>
              <w:rPr>
                <w:rFonts w:ascii="Calibri" w:eastAsia="Calibri" w:hAnsi="Calibri" w:cs="Calibri"/>
                <w:sz w:val="14"/>
              </w:rPr>
              <w:t>–</w:t>
            </w:r>
            <w:r>
              <w:rPr>
                <w:sz w:val="14"/>
              </w:rPr>
              <w:t xml:space="preserve">Maastrichtian Chuangde Formation, which consists of red shale, </w:t>
            </w:r>
            <w:proofErr w:type="gramStart"/>
            <w:r>
              <w:rPr>
                <w:sz w:val="14"/>
              </w:rPr>
              <w:t>limestone</w:t>
            </w:r>
            <w:proofErr w:type="gramEnd"/>
            <w:r>
              <w:rPr>
                <w:sz w:val="14"/>
              </w:rPr>
              <w:t xml:space="preserve"> and chert. The Chuangde Formation is in turn overlain by the late Maastrichtian</w:t>
            </w:r>
            <w:r>
              <w:rPr>
                <w:rFonts w:ascii="Calibri" w:eastAsia="Calibri" w:hAnsi="Calibri" w:cs="Calibri"/>
                <w:sz w:val="14"/>
              </w:rPr>
              <w:t>–</w:t>
            </w:r>
            <w:r>
              <w:rPr>
                <w:sz w:val="14"/>
              </w:rPr>
              <w:t>late Paleocene Zongzhuo Formation, which is composed of black mudstone and lithic sandstone enclosing v</w:t>
            </w:r>
            <w:r>
              <w:rPr>
                <w:sz w:val="14"/>
              </w:rPr>
              <w:t xml:space="preserve">arious olistoliths of sandstone, </w:t>
            </w:r>
            <w:proofErr w:type="gramStart"/>
            <w:r>
              <w:rPr>
                <w:sz w:val="14"/>
              </w:rPr>
              <w:t>limestone</w:t>
            </w:r>
            <w:proofErr w:type="gramEnd"/>
            <w:r>
              <w:rPr>
                <w:sz w:val="14"/>
              </w:rPr>
              <w:t xml:space="preserve"> and chert. The Rilang conglomerate is a lens which is located within the upper part of the Zongzhuo Formation and consists of an upward-thinning and </w:t>
            </w:r>
            <w:r>
              <w:rPr>
                <w:rFonts w:ascii="Calibri" w:eastAsia="Calibri" w:hAnsi="Calibri" w:cs="Calibri"/>
                <w:sz w:val="14"/>
              </w:rPr>
              <w:t>fi</w:t>
            </w:r>
            <w:r>
              <w:rPr>
                <w:sz w:val="14"/>
              </w:rPr>
              <w:t xml:space="preserve">ning succession of volcanic conglomerate, </w:t>
            </w:r>
            <w:proofErr w:type="gramStart"/>
            <w:r>
              <w:rPr>
                <w:sz w:val="14"/>
              </w:rPr>
              <w:t>sandstone</w:t>
            </w:r>
            <w:proofErr w:type="gramEnd"/>
            <w:r>
              <w:rPr>
                <w:sz w:val="14"/>
              </w:rPr>
              <w:t xml:space="preserve"> and black </w:t>
            </w:r>
            <w:r>
              <w:rPr>
                <w:sz w:val="14"/>
              </w:rPr>
              <w:t>mudstone. The Zongzhuo Formation and the Rilang conglomerate record an abrupt in</w:t>
            </w:r>
            <w:r>
              <w:rPr>
                <w:rFonts w:ascii="Calibri" w:eastAsia="Calibri" w:hAnsi="Calibri" w:cs="Calibri"/>
                <w:sz w:val="14"/>
              </w:rPr>
              <w:t>fl</w:t>
            </w:r>
            <w:r>
              <w:rPr>
                <w:sz w:val="14"/>
              </w:rPr>
              <w:t>ux of Cretaceous zircon grains with juvenile Hf isotopic compositions, arc-related Cr</w:t>
            </w:r>
            <w:r>
              <w:rPr>
                <w:rFonts w:ascii="Calibri" w:eastAsia="Calibri" w:hAnsi="Calibri" w:cs="Calibri"/>
                <w:sz w:val="14"/>
              </w:rPr>
              <w:t>–</w:t>
            </w:r>
            <w:r>
              <w:rPr>
                <w:sz w:val="14"/>
              </w:rPr>
              <w:t xml:space="preserve">spinels and positive </w:t>
            </w:r>
            <w:r>
              <w:rPr>
                <w:rFonts w:ascii="Calibri" w:eastAsia="Calibri" w:hAnsi="Calibri" w:cs="Calibri"/>
                <w:sz w:val="14"/>
              </w:rPr>
              <w:t>ε</w:t>
            </w:r>
            <w:proofErr w:type="gramStart"/>
            <w:r>
              <w:rPr>
                <w:sz w:val="14"/>
              </w:rPr>
              <w:t>Nd</w:t>
            </w:r>
            <w:r>
              <w:rPr>
                <w:sz w:val="14"/>
                <w:vertAlign w:val="subscript"/>
              </w:rPr>
              <w:t>(</w:t>
            </w:r>
            <w:proofErr w:type="gramEnd"/>
            <w:r>
              <w:rPr>
                <w:sz w:val="14"/>
                <w:vertAlign w:val="subscript"/>
              </w:rPr>
              <w:t xml:space="preserve">0) </w:t>
            </w:r>
            <w:r>
              <w:rPr>
                <w:sz w:val="14"/>
              </w:rPr>
              <w:t>sediments, suggesting an arc and suture-zone provenance. The</w:t>
            </w:r>
            <w:r>
              <w:rPr>
                <w:sz w:val="14"/>
              </w:rPr>
              <w:t xml:space="preserve"> change in provenance of upper Cretaceous strata from the southern Indian continent to a northern arc and suture zone is attributed to either (1) initial collision between the Indian plate and Lhasa terrane, or (2) initial collision between the Indian plat</w:t>
            </w:r>
            <w:r>
              <w:rPr>
                <w:sz w:val="14"/>
              </w:rPr>
              <w:t>e and an intra-oceanic arc. We prefer option (1) that the initiation of India</w:t>
            </w:r>
            <w:r>
              <w:rPr>
                <w:rFonts w:ascii="Calibri" w:eastAsia="Calibri" w:hAnsi="Calibri" w:cs="Calibri"/>
                <w:sz w:val="14"/>
              </w:rPr>
              <w:t>–</w:t>
            </w:r>
            <w:r>
              <w:rPr>
                <w:sz w:val="14"/>
              </w:rPr>
              <w:t>Asia collision occurred during Maastrichtian (~70</w:t>
            </w:r>
            <w:r>
              <w:rPr>
                <w:rFonts w:ascii="Calibri" w:eastAsia="Calibri" w:hAnsi="Calibri" w:cs="Calibri"/>
                <w:sz w:val="14"/>
              </w:rPr>
              <w:t>–</w:t>
            </w:r>
            <w:r>
              <w:rPr>
                <w:sz w:val="14"/>
              </w:rPr>
              <w:t>65 Ma).</w:t>
            </w:r>
          </w:p>
          <w:p w14:paraId="657C665D" w14:textId="77777777" w:rsidR="00F64F7F" w:rsidRDefault="0056380C">
            <w:pPr>
              <w:spacing w:after="0" w:line="259" w:lineRule="auto"/>
              <w:ind w:left="0" w:right="6" w:firstLine="0"/>
              <w:jc w:val="right"/>
            </w:pPr>
            <w:r>
              <w:rPr>
                <w:sz w:val="14"/>
              </w:rPr>
              <w:t>© 2011 Elsevier B.V. All rights reserved.</w:t>
            </w:r>
          </w:p>
        </w:tc>
      </w:tr>
    </w:tbl>
    <w:p w14:paraId="0F5953A9" w14:textId="77777777" w:rsidR="00F64F7F" w:rsidRDefault="0056380C">
      <w:pPr>
        <w:spacing w:after="32"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1219016B" wp14:editId="645825A2">
                <wp:simplePos x="0" y="0"/>
                <wp:positionH relativeFrom="column">
                  <wp:posOffset>4</wp:posOffset>
                </wp:positionH>
                <wp:positionV relativeFrom="paragraph">
                  <wp:posOffset>1385814</wp:posOffset>
                </wp:positionV>
                <wp:extent cx="1691996" cy="2880"/>
                <wp:effectExtent l="0" t="0" r="0" b="0"/>
                <wp:wrapSquare wrapText="bothSides"/>
                <wp:docPr id="25877" name="Group 25877"/>
                <wp:cNvGraphicFramePr/>
                <a:graphic xmlns:a="http://schemas.openxmlformats.org/drawingml/2006/main">
                  <a:graphicData uri="http://schemas.microsoft.com/office/word/2010/wordprocessingGroup">
                    <wpg:wgp>
                      <wpg:cNvGrpSpPr/>
                      <wpg:grpSpPr>
                        <a:xfrm>
                          <a:off x="0" y="0"/>
                          <a:ext cx="1691996" cy="2880"/>
                          <a:chOff x="0" y="0"/>
                          <a:chExt cx="1691996" cy="2880"/>
                        </a:xfrm>
                      </wpg:grpSpPr>
                      <wps:wsp>
                        <wps:cNvPr id="29327" name="Shape 29327"/>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xmlns:a="http://schemas.openxmlformats.org/drawingml/2006/main">
            <w:pict>
              <v:group id="Group 25877" style="width:133.228pt;height:0.226776pt;position:absolute;mso-position-horizontal-relative:text;mso-position-horizontal:absolute;margin-left:0.000301361pt;mso-position-vertical-relative:text;margin-top:109.119pt;" coordsize="16919,28">
                <v:shape id="Shape 29328" style="position:absolute;width:16919;height:91;left:0;top:0;" coordsize="1691996,9144" path="m0,0l1691996,0l1691996,9144l0,9144l0,0">
                  <v:stroke weight="0pt" endcap="flat" joinstyle="miter" miterlimit="10" on="false" color="#000000" opacity="0"/>
                  <v:fill on="true" color="#181717"/>
                </v:shape>
                <w10:wrap type="square"/>
              </v:group>
            </w:pict>
          </mc:Fallback>
        </mc:AlternateContent>
      </w:r>
      <w:r>
        <w:rPr>
          <w:sz w:val="13"/>
        </w:rPr>
        <w:t>Key Laboratory of Continental Collision and Plateau Uplift, Institute of Tibetan Plateau Research, Chinese Academy of Sciences, Beijing, 100085, China</w:t>
      </w:r>
    </w:p>
    <w:p w14:paraId="70EB3177" w14:textId="77777777" w:rsidR="00F64F7F" w:rsidRDefault="0056380C">
      <w:pPr>
        <w:spacing w:after="262" w:line="259" w:lineRule="auto"/>
        <w:ind w:left="0" w:right="-305" w:firstLine="0"/>
        <w:jc w:val="left"/>
      </w:pPr>
      <w:r>
        <w:rPr>
          <w:rFonts w:ascii="Calibri" w:eastAsia="Calibri" w:hAnsi="Calibri" w:cs="Calibri"/>
          <w:noProof/>
          <w:color w:val="000000"/>
          <w:sz w:val="22"/>
        </w:rPr>
        <mc:AlternateContent>
          <mc:Choice Requires="wpg">
            <w:drawing>
              <wp:inline distT="0" distB="0" distL="0" distR="0" wp14:anchorId="24A8A7CC" wp14:editId="7539FED2">
                <wp:extent cx="6591605" cy="3601"/>
                <wp:effectExtent l="0" t="0" r="0" b="0"/>
                <wp:docPr id="25873" name="Group 25873"/>
                <wp:cNvGraphicFramePr/>
                <a:graphic xmlns:a="http://schemas.openxmlformats.org/drawingml/2006/main">
                  <a:graphicData uri="http://schemas.microsoft.com/office/word/2010/wordprocessingGroup">
                    <wpg:wgp>
                      <wpg:cNvGrpSpPr/>
                      <wpg:grpSpPr>
                        <a:xfrm>
                          <a:off x="0" y="0"/>
                          <a:ext cx="6591605" cy="3601"/>
                          <a:chOff x="0" y="0"/>
                          <a:chExt cx="6591605" cy="3601"/>
                        </a:xfrm>
                      </wpg:grpSpPr>
                      <wps:wsp>
                        <wps:cNvPr id="29329" name="Shape 29329"/>
                        <wps:cNvSpPr/>
                        <wps:spPr>
                          <a:xfrm>
                            <a:off x="0" y="0"/>
                            <a:ext cx="6591605" cy="9144"/>
                          </a:xfrm>
                          <a:custGeom>
                            <a:avLst/>
                            <a:gdLst/>
                            <a:ahLst/>
                            <a:cxnLst/>
                            <a:rect l="0" t="0" r="0" b="0"/>
                            <a:pathLst>
                              <a:path w="6591605" h="9144">
                                <a:moveTo>
                                  <a:pt x="0" y="0"/>
                                </a:moveTo>
                                <a:lnTo>
                                  <a:pt x="6591605" y="0"/>
                                </a:lnTo>
                                <a:lnTo>
                                  <a:pt x="6591605"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5873" style="width:519.024pt;height:0.283508pt;mso-position-horizontal-relative:char;mso-position-vertical-relative:line" coordsize="65916,36">
                <v:shape id="Shape 29330" style="position:absolute;width:65916;height:91;left:0;top:0;" coordsize="6591605,9144" path="m0,0l6591605,0l6591605,9144l0,9144l0,0">
                  <v:stroke weight="0pt" endcap="flat" joinstyle="miter" miterlimit="10" on="false" color="#000000" opacity="0"/>
                  <v:fill on="true" color="#181717"/>
                </v:shape>
              </v:group>
            </w:pict>
          </mc:Fallback>
        </mc:AlternateContent>
      </w:r>
    </w:p>
    <w:tbl>
      <w:tblPr>
        <w:tblStyle w:val="TableGrid"/>
        <w:tblW w:w="4577" w:type="dxa"/>
        <w:tblInd w:w="0" w:type="dxa"/>
        <w:tblCellMar>
          <w:top w:w="0" w:type="dxa"/>
          <w:left w:w="0" w:type="dxa"/>
          <w:bottom w:w="0" w:type="dxa"/>
          <w:right w:w="0" w:type="dxa"/>
        </w:tblCellMar>
        <w:tblLook w:val="04A0" w:firstRow="1" w:lastRow="0" w:firstColumn="1" w:lastColumn="0" w:noHBand="0" w:noVBand="1"/>
      </w:tblPr>
      <w:tblGrid>
        <w:gridCol w:w="1296"/>
        <w:gridCol w:w="1992"/>
        <w:gridCol w:w="1289"/>
      </w:tblGrid>
      <w:tr w:rsidR="00F64F7F" w14:paraId="1DDEB040" w14:textId="77777777">
        <w:trPr>
          <w:trHeight w:val="220"/>
        </w:trPr>
        <w:tc>
          <w:tcPr>
            <w:tcW w:w="1296" w:type="dxa"/>
            <w:tcBorders>
              <w:top w:val="nil"/>
              <w:left w:val="nil"/>
              <w:bottom w:val="nil"/>
              <w:right w:val="nil"/>
            </w:tcBorders>
          </w:tcPr>
          <w:p w14:paraId="09D58F7B" w14:textId="77777777" w:rsidR="00F64F7F" w:rsidRDefault="0056380C">
            <w:pPr>
              <w:spacing w:after="0" w:line="259" w:lineRule="auto"/>
              <w:ind w:left="0" w:firstLine="0"/>
              <w:jc w:val="left"/>
            </w:pPr>
            <w:r>
              <w:rPr>
                <w:sz w:val="18"/>
              </w:rPr>
              <w:t>a r t i c l e</w:t>
            </w:r>
          </w:p>
        </w:tc>
        <w:tc>
          <w:tcPr>
            <w:tcW w:w="1992" w:type="dxa"/>
            <w:tcBorders>
              <w:top w:val="nil"/>
              <w:left w:val="nil"/>
              <w:bottom w:val="nil"/>
              <w:right w:val="nil"/>
            </w:tcBorders>
          </w:tcPr>
          <w:p w14:paraId="60EE0EDD" w14:textId="77777777" w:rsidR="00F64F7F" w:rsidRDefault="0056380C">
            <w:pPr>
              <w:spacing w:after="0" w:line="259" w:lineRule="auto"/>
              <w:ind w:left="0" w:firstLine="0"/>
              <w:jc w:val="left"/>
            </w:pPr>
            <w:r>
              <w:rPr>
                <w:sz w:val="18"/>
              </w:rPr>
              <w:t>i n f o</w:t>
            </w:r>
          </w:p>
        </w:tc>
        <w:tc>
          <w:tcPr>
            <w:tcW w:w="1289" w:type="dxa"/>
            <w:tcBorders>
              <w:top w:val="nil"/>
              <w:left w:val="nil"/>
              <w:bottom w:val="nil"/>
              <w:right w:val="nil"/>
            </w:tcBorders>
          </w:tcPr>
          <w:p w14:paraId="27BD226E" w14:textId="77777777" w:rsidR="00F64F7F" w:rsidRDefault="0056380C">
            <w:pPr>
              <w:spacing w:after="0" w:line="259" w:lineRule="auto"/>
              <w:ind w:left="0" w:firstLine="0"/>
            </w:pPr>
            <w:r>
              <w:rPr>
                <w:sz w:val="18"/>
              </w:rPr>
              <w:t>a b s t r a c t</w:t>
            </w:r>
          </w:p>
        </w:tc>
      </w:tr>
    </w:tbl>
    <w:p w14:paraId="031C5C5F" w14:textId="77777777" w:rsidR="00F64F7F" w:rsidRDefault="0056380C">
      <w:pPr>
        <w:spacing w:after="62" w:line="259" w:lineRule="auto"/>
        <w:ind w:left="0" w:right="-305" w:firstLine="0"/>
        <w:jc w:val="left"/>
      </w:pPr>
      <w:r>
        <w:rPr>
          <w:rFonts w:ascii="Calibri" w:eastAsia="Calibri" w:hAnsi="Calibri" w:cs="Calibri"/>
          <w:noProof/>
          <w:color w:val="000000"/>
          <w:sz w:val="22"/>
        </w:rPr>
        <mc:AlternateContent>
          <mc:Choice Requires="wpg">
            <w:drawing>
              <wp:inline distT="0" distB="0" distL="0" distR="0" wp14:anchorId="4CF1A397" wp14:editId="6D1DC7DF">
                <wp:extent cx="6591592" cy="2880"/>
                <wp:effectExtent l="0" t="0" r="0" b="0"/>
                <wp:docPr id="28793" name="Group 28793"/>
                <wp:cNvGraphicFramePr/>
                <a:graphic xmlns:a="http://schemas.openxmlformats.org/drawingml/2006/main">
                  <a:graphicData uri="http://schemas.microsoft.com/office/word/2010/wordprocessingGroup">
                    <wpg:wgp>
                      <wpg:cNvGrpSpPr/>
                      <wpg:grpSpPr>
                        <a:xfrm>
                          <a:off x="0" y="0"/>
                          <a:ext cx="6591592" cy="2880"/>
                          <a:chOff x="0" y="0"/>
                          <a:chExt cx="6591592" cy="2880"/>
                        </a:xfrm>
                      </wpg:grpSpPr>
                      <wps:wsp>
                        <wps:cNvPr id="29331" name="Shape 29331"/>
                        <wps:cNvSpPr/>
                        <wps:spPr>
                          <a:xfrm>
                            <a:off x="0" y="0"/>
                            <a:ext cx="1691996" cy="9144"/>
                          </a:xfrm>
                          <a:custGeom>
                            <a:avLst/>
                            <a:gdLst/>
                            <a:ahLst/>
                            <a:cxnLst/>
                            <a:rect l="0" t="0" r="0" b="0"/>
                            <a:pathLst>
                              <a:path w="1691996" h="9144">
                                <a:moveTo>
                                  <a:pt x="0" y="0"/>
                                </a:moveTo>
                                <a:lnTo>
                                  <a:pt x="1691996" y="0"/>
                                </a:lnTo>
                                <a:lnTo>
                                  <a:pt x="1691996"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332" name="Shape 29332"/>
                        <wps:cNvSpPr/>
                        <wps:spPr>
                          <a:xfrm>
                            <a:off x="2087994" y="0"/>
                            <a:ext cx="4503598" cy="9144"/>
                          </a:xfrm>
                          <a:custGeom>
                            <a:avLst/>
                            <a:gdLst/>
                            <a:ahLst/>
                            <a:cxnLst/>
                            <a:rect l="0" t="0" r="0" b="0"/>
                            <a:pathLst>
                              <a:path w="4503598" h="9144">
                                <a:moveTo>
                                  <a:pt x="0" y="0"/>
                                </a:moveTo>
                                <a:lnTo>
                                  <a:pt x="4503598" y="0"/>
                                </a:lnTo>
                                <a:lnTo>
                                  <a:pt x="450359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8793" style="width:519.023pt;height:0.226746pt;mso-position-horizontal-relative:char;mso-position-vertical-relative:line" coordsize="65915,28">
                <v:shape id="Shape 29333" style="position:absolute;width:16919;height:91;left:0;top:0;" coordsize="1691996,9144" path="m0,0l1691996,0l1691996,9144l0,9144l0,0">
                  <v:stroke weight="0pt" endcap="flat" joinstyle="miter" miterlimit="10" on="false" color="#000000" opacity="0"/>
                  <v:fill on="true" color="#181717"/>
                </v:shape>
                <v:shape id="Shape 29334" style="position:absolute;width:45035;height:91;left:20879;top:0;" coordsize="4503598,9144" path="m0,0l4503598,0l4503598,9144l0,9144l0,0">
                  <v:stroke weight="0pt" endcap="flat" joinstyle="miter" miterlimit="10" on="false" color="#000000" opacity="0"/>
                  <v:fill on="true" color="#181717"/>
                </v:shape>
              </v:group>
            </w:pict>
          </mc:Fallback>
        </mc:AlternateContent>
      </w:r>
    </w:p>
    <w:tbl>
      <w:tblPr>
        <w:tblStyle w:val="TableGrid"/>
        <w:tblW w:w="10385" w:type="dxa"/>
        <w:tblInd w:w="0" w:type="dxa"/>
        <w:tblCellMar>
          <w:top w:w="0" w:type="dxa"/>
          <w:left w:w="0" w:type="dxa"/>
          <w:bottom w:w="0" w:type="dxa"/>
          <w:right w:w="0" w:type="dxa"/>
        </w:tblCellMar>
        <w:tblLook w:val="04A0" w:firstRow="1" w:lastRow="0" w:firstColumn="1" w:lastColumn="0" w:noHBand="0" w:noVBand="1"/>
      </w:tblPr>
      <w:tblGrid>
        <w:gridCol w:w="3288"/>
        <w:gridCol w:w="7097"/>
      </w:tblGrid>
      <w:tr w:rsidR="00F64F7F" w14:paraId="1BAE1CFE" w14:textId="77777777">
        <w:trPr>
          <w:trHeight w:val="1107"/>
        </w:trPr>
        <w:tc>
          <w:tcPr>
            <w:tcW w:w="3288" w:type="dxa"/>
            <w:tcBorders>
              <w:top w:val="nil"/>
              <w:left w:val="nil"/>
              <w:bottom w:val="nil"/>
              <w:right w:val="nil"/>
            </w:tcBorders>
          </w:tcPr>
          <w:p w14:paraId="7210692C" w14:textId="77777777" w:rsidR="00F64F7F" w:rsidRDefault="0056380C">
            <w:pPr>
              <w:spacing w:after="12" w:line="259" w:lineRule="auto"/>
              <w:ind w:left="0" w:firstLine="0"/>
              <w:jc w:val="left"/>
            </w:pPr>
            <w:r>
              <w:rPr>
                <w:sz w:val="13"/>
              </w:rPr>
              <w:t>Article history:</w:t>
            </w:r>
          </w:p>
          <w:p w14:paraId="7A9FB3D2" w14:textId="77777777" w:rsidR="00F64F7F" w:rsidRDefault="0056380C">
            <w:pPr>
              <w:spacing w:after="12" w:line="259" w:lineRule="auto"/>
              <w:ind w:left="0" w:firstLine="0"/>
              <w:jc w:val="left"/>
            </w:pPr>
            <w:r>
              <w:rPr>
                <w:sz w:val="13"/>
              </w:rPr>
              <w:t>Received 12 November 2010</w:t>
            </w:r>
          </w:p>
          <w:p w14:paraId="5BC2735A" w14:textId="77777777" w:rsidR="00F64F7F" w:rsidRDefault="0056380C">
            <w:pPr>
              <w:spacing w:after="12" w:line="259" w:lineRule="auto"/>
              <w:ind w:left="0" w:firstLine="0"/>
              <w:jc w:val="left"/>
            </w:pPr>
            <w:r>
              <w:rPr>
                <w:sz w:val="13"/>
              </w:rPr>
              <w:t>Received in revised form 28 February 2011</w:t>
            </w:r>
          </w:p>
          <w:p w14:paraId="4DD02B78" w14:textId="77777777" w:rsidR="00F64F7F" w:rsidRDefault="0056380C">
            <w:pPr>
              <w:spacing w:after="183" w:line="259" w:lineRule="auto"/>
              <w:ind w:left="0" w:firstLine="0"/>
              <w:jc w:val="left"/>
            </w:pPr>
            <w:r>
              <w:rPr>
                <w:sz w:val="13"/>
              </w:rPr>
              <w:t>Accepted 28 February 2011</w:t>
            </w:r>
          </w:p>
          <w:p w14:paraId="46208A63" w14:textId="77777777" w:rsidR="00F64F7F" w:rsidRDefault="0056380C">
            <w:pPr>
              <w:spacing w:after="0" w:line="259" w:lineRule="auto"/>
              <w:ind w:left="0" w:firstLine="0"/>
              <w:jc w:val="left"/>
            </w:pPr>
            <w:r>
              <w:rPr>
                <w:sz w:val="13"/>
              </w:rPr>
              <w:t>Editor: T.M. Harrison</w:t>
            </w:r>
          </w:p>
        </w:tc>
        <w:tc>
          <w:tcPr>
            <w:tcW w:w="7097" w:type="dxa"/>
            <w:tcBorders>
              <w:top w:val="nil"/>
              <w:left w:val="nil"/>
              <w:bottom w:val="nil"/>
              <w:right w:val="nil"/>
            </w:tcBorders>
          </w:tcPr>
          <w:p w14:paraId="6969D21A" w14:textId="77777777" w:rsidR="00F64F7F" w:rsidRDefault="0056380C">
            <w:pPr>
              <w:spacing w:after="0" w:line="259" w:lineRule="auto"/>
              <w:ind w:left="0" w:firstLine="0"/>
            </w:pPr>
            <w:r>
              <w:rPr>
                <w:sz w:val="14"/>
              </w:rPr>
              <w:t>The provenance of upper Cretaceous strata in the Tethys Himalaya provides critical constraints on the closure time of the Neo-Tethys Ocean a</w:t>
            </w:r>
            <w:r>
              <w:rPr>
                <w:sz w:val="14"/>
              </w:rPr>
              <w:t>nd the initial India</w:t>
            </w:r>
            <w:r>
              <w:rPr>
                <w:rFonts w:ascii="Calibri" w:eastAsia="Calibri" w:hAnsi="Calibri" w:cs="Calibri"/>
                <w:sz w:val="14"/>
              </w:rPr>
              <w:t>–</w:t>
            </w:r>
            <w:r>
              <w:rPr>
                <w:sz w:val="14"/>
              </w:rPr>
              <w:t>Asia collision. This paper reports detailed petrographic studies, in-situ detrital zircon U</w:t>
            </w:r>
            <w:r>
              <w:rPr>
                <w:rFonts w:ascii="Calibri" w:eastAsia="Calibri" w:hAnsi="Calibri" w:cs="Calibri"/>
                <w:sz w:val="14"/>
              </w:rPr>
              <w:t>–</w:t>
            </w:r>
            <w:r>
              <w:rPr>
                <w:sz w:val="14"/>
              </w:rPr>
              <w:t>Pb ages and Lu</w:t>
            </w:r>
            <w:r>
              <w:rPr>
                <w:rFonts w:ascii="Calibri" w:eastAsia="Calibri" w:hAnsi="Calibri" w:cs="Calibri"/>
                <w:sz w:val="14"/>
              </w:rPr>
              <w:t>–</w:t>
            </w:r>
            <w:r>
              <w:rPr>
                <w:sz w:val="14"/>
              </w:rPr>
              <w:t>Hf isotopic analyses, whole rock Nd-isotopes, and Cr</w:t>
            </w:r>
            <w:r>
              <w:rPr>
                <w:rFonts w:ascii="Calibri" w:eastAsia="Calibri" w:hAnsi="Calibri" w:cs="Calibri"/>
                <w:sz w:val="14"/>
              </w:rPr>
              <w:t>–</w:t>
            </w:r>
            <w:r>
              <w:rPr>
                <w:sz w:val="14"/>
              </w:rPr>
              <w:t>spinel electronic microprobe data from upper Cretaceous clastic sedimentary</w:t>
            </w:r>
            <w:r>
              <w:rPr>
                <w:sz w:val="14"/>
              </w:rPr>
              <w:t xml:space="preserve"> rocks of the Tethys Himalaya near Gyangze, southern Tibet. The Berriasian</w:t>
            </w:r>
            <w:r>
              <w:rPr>
                <w:rFonts w:ascii="Calibri" w:eastAsia="Calibri" w:hAnsi="Calibri" w:cs="Calibri"/>
                <w:sz w:val="14"/>
              </w:rPr>
              <w:t>–</w:t>
            </w:r>
            <w:r>
              <w:rPr>
                <w:sz w:val="14"/>
              </w:rPr>
              <w:t xml:space="preserve">Coniacian Jiabula Formation consists of black mudstone, </w:t>
            </w:r>
            <w:proofErr w:type="gramStart"/>
            <w:r>
              <w:rPr>
                <w:sz w:val="14"/>
              </w:rPr>
              <w:t>chert</w:t>
            </w:r>
            <w:proofErr w:type="gramEnd"/>
            <w:r>
              <w:rPr>
                <w:sz w:val="14"/>
              </w:rPr>
              <w:t xml:space="preserve"> and minor quartz arenite, and is dominated by detrital zircons with Archean</w:t>
            </w:r>
            <w:r>
              <w:rPr>
                <w:rFonts w:ascii="Calibri" w:eastAsia="Calibri" w:hAnsi="Calibri" w:cs="Calibri"/>
                <w:sz w:val="14"/>
              </w:rPr>
              <w:t>–</w:t>
            </w:r>
            <w:r>
              <w:rPr>
                <w:sz w:val="14"/>
              </w:rPr>
              <w:t>Cambrian U</w:t>
            </w:r>
            <w:r>
              <w:rPr>
                <w:rFonts w:ascii="Calibri" w:eastAsia="Calibri" w:hAnsi="Calibri" w:cs="Calibri"/>
                <w:sz w:val="14"/>
              </w:rPr>
              <w:t>–</w:t>
            </w:r>
            <w:r>
              <w:rPr>
                <w:sz w:val="14"/>
              </w:rPr>
              <w:t>Pb ages which were</w:t>
            </w:r>
          </w:p>
        </w:tc>
      </w:tr>
    </w:tbl>
    <w:p w14:paraId="019B052F" w14:textId="77777777" w:rsidR="00F64F7F" w:rsidRDefault="0056380C">
      <w:pPr>
        <w:spacing w:after="0" w:line="259" w:lineRule="auto"/>
        <w:ind w:left="0" w:right="-305" w:firstLine="0"/>
        <w:jc w:val="left"/>
      </w:pPr>
      <w:r>
        <w:rPr>
          <w:rFonts w:ascii="Calibri" w:eastAsia="Calibri" w:hAnsi="Calibri" w:cs="Calibri"/>
          <w:noProof/>
          <w:color w:val="000000"/>
          <w:sz w:val="22"/>
        </w:rPr>
        <mc:AlternateContent>
          <mc:Choice Requires="wpg">
            <w:drawing>
              <wp:inline distT="0" distB="0" distL="0" distR="0" wp14:anchorId="2A89A50F" wp14:editId="7D8DEB6A">
                <wp:extent cx="6591592" cy="2880"/>
                <wp:effectExtent l="0" t="0" r="0" b="0"/>
                <wp:docPr id="28796" name="Group 28796"/>
                <wp:cNvGraphicFramePr/>
                <a:graphic xmlns:a="http://schemas.openxmlformats.org/drawingml/2006/main">
                  <a:graphicData uri="http://schemas.microsoft.com/office/word/2010/wordprocessingGroup">
                    <wpg:wgp>
                      <wpg:cNvGrpSpPr/>
                      <wpg:grpSpPr>
                        <a:xfrm>
                          <a:off x="0" y="0"/>
                          <a:ext cx="6591592" cy="2880"/>
                          <a:chOff x="0" y="0"/>
                          <a:chExt cx="6591592" cy="2880"/>
                        </a:xfrm>
                      </wpg:grpSpPr>
                      <wps:wsp>
                        <wps:cNvPr id="29335" name="Shape 29335"/>
                        <wps:cNvSpPr/>
                        <wps:spPr>
                          <a:xfrm>
                            <a:off x="0" y="0"/>
                            <a:ext cx="1695602" cy="9144"/>
                          </a:xfrm>
                          <a:custGeom>
                            <a:avLst/>
                            <a:gdLst/>
                            <a:ahLst/>
                            <a:cxnLst/>
                            <a:rect l="0" t="0" r="0" b="0"/>
                            <a:pathLst>
                              <a:path w="1695602" h="9144">
                                <a:moveTo>
                                  <a:pt x="0" y="0"/>
                                </a:moveTo>
                                <a:lnTo>
                                  <a:pt x="1695602" y="0"/>
                                </a:lnTo>
                                <a:lnTo>
                                  <a:pt x="1695602"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336" name="Shape 29336"/>
                        <wps:cNvSpPr/>
                        <wps:spPr>
                          <a:xfrm>
                            <a:off x="2087994" y="0"/>
                            <a:ext cx="4503598" cy="9144"/>
                          </a:xfrm>
                          <a:custGeom>
                            <a:avLst/>
                            <a:gdLst/>
                            <a:ahLst/>
                            <a:cxnLst/>
                            <a:rect l="0" t="0" r="0" b="0"/>
                            <a:pathLst>
                              <a:path w="4503598" h="9144">
                                <a:moveTo>
                                  <a:pt x="0" y="0"/>
                                </a:moveTo>
                                <a:lnTo>
                                  <a:pt x="4503598" y="0"/>
                                </a:lnTo>
                                <a:lnTo>
                                  <a:pt x="4503598"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8796" style="width:519.023pt;height:0.226776pt;mso-position-horizontal-relative:char;mso-position-vertical-relative:line" coordsize="65915,28">
                <v:shape id="Shape 29337" style="position:absolute;width:16956;height:91;left:0;top:0;" coordsize="1695602,9144" path="m0,0l1695602,0l1695602,9144l0,9144l0,0">
                  <v:stroke weight="0pt" endcap="flat" joinstyle="miter" miterlimit="10" on="false" color="#000000" opacity="0"/>
                  <v:fill on="true" color="#181717"/>
                </v:shape>
                <v:shape id="Shape 29338" style="position:absolute;width:45035;height:91;left:20879;top:0;" coordsize="4503598,9144" path="m0,0l4503598,0l4503598,9144l0,9144l0,0">
                  <v:stroke weight="0pt" endcap="flat" joinstyle="miter" miterlimit="10" on="false" color="#000000" opacity="0"/>
                  <v:fill on="true" color="#181717"/>
                </v:shape>
              </v:group>
            </w:pict>
          </mc:Fallback>
        </mc:AlternateContent>
      </w:r>
    </w:p>
    <w:p w14:paraId="33228570" w14:textId="77777777" w:rsidR="00F64F7F" w:rsidRDefault="00F64F7F">
      <w:pPr>
        <w:sectPr w:rsidR="00F64F7F">
          <w:headerReference w:type="even" r:id="rId15"/>
          <w:headerReference w:type="default" r:id="rId16"/>
          <w:headerReference w:type="first" r:id="rId17"/>
          <w:pgSz w:w="11906" w:h="15874"/>
          <w:pgMar w:top="755" w:right="979" w:bottom="1481" w:left="850" w:header="720" w:footer="720" w:gutter="0"/>
          <w:pgNumType w:start="195"/>
          <w:cols w:space="720"/>
          <w:titlePg/>
        </w:sectPr>
      </w:pPr>
    </w:p>
    <w:p w14:paraId="4E65D75B" w14:textId="77777777" w:rsidR="00F64F7F" w:rsidRDefault="0056380C">
      <w:pPr>
        <w:pStyle w:val="1"/>
      </w:pPr>
      <w:r>
        <w:t>1. Introduction</w:t>
      </w:r>
    </w:p>
    <w:p w14:paraId="34038FD8" w14:textId="77777777" w:rsidR="00F64F7F" w:rsidRDefault="0056380C">
      <w:pPr>
        <w:spacing w:after="198"/>
      </w:pPr>
      <w:r>
        <w:t>Knowledge of the initiation age of India</w:t>
      </w:r>
      <w:r>
        <w:rPr>
          <w:rFonts w:ascii="Calibri" w:eastAsia="Calibri" w:hAnsi="Calibri" w:cs="Calibri"/>
        </w:rPr>
        <w:t>–</w:t>
      </w:r>
      <w:r>
        <w:t>Asia collision is critical for understanding the early history of the Himalaya orogenic belt and providing constraints on models for the growth of the Himalaya</w:t>
      </w:r>
      <w:r>
        <w:rPr>
          <w:rFonts w:ascii="Calibri" w:eastAsia="Calibri" w:hAnsi="Calibri" w:cs="Calibri"/>
        </w:rPr>
        <w:t>–</w:t>
      </w:r>
      <w:r>
        <w:t>Tibetan orogen. Despite this importance</w:t>
      </w:r>
      <w:r>
        <w:t>, processes of the initial India</w:t>
      </w:r>
      <w:r>
        <w:rPr>
          <w:rFonts w:ascii="Calibri" w:eastAsia="Calibri" w:hAnsi="Calibri" w:cs="Calibri"/>
        </w:rPr>
        <w:t>–</w:t>
      </w:r>
      <w:r>
        <w:t>Asia collision in southern Tibet remain poorly known relative to that in the northwestern Himalaya. Two proposed models to explain how India</w:t>
      </w:r>
      <w:r>
        <w:rPr>
          <w:rFonts w:ascii="Calibri" w:eastAsia="Calibri" w:hAnsi="Calibri" w:cs="Calibri"/>
        </w:rPr>
        <w:t>–</w:t>
      </w:r>
      <w:r>
        <w:t>Asia collision occurred in southern Tibet are single stage collision and multistag</w:t>
      </w:r>
      <w:r>
        <w:t>e collision respectively. The single stage collision suggests that no intra-oceanicsubductionsystemexisted. However, the initiation age of India</w:t>
      </w:r>
      <w:r>
        <w:rPr>
          <w:rFonts w:ascii="Calibri" w:eastAsia="Calibri" w:hAnsi="Calibri" w:cs="Calibri"/>
        </w:rPr>
        <w:t>–</w:t>
      </w:r>
      <w:r>
        <w:t>Asia collision is controversial and ranges from the latest Cretaceous (</w:t>
      </w:r>
      <w:r>
        <w:rPr>
          <w:color w:val="422874"/>
        </w:rPr>
        <w:t xml:space="preserve">Willems et al., 1996; Yin and Harrison, </w:t>
      </w:r>
      <w:r>
        <w:rPr>
          <w:color w:val="422874"/>
        </w:rPr>
        <w:t>2000</w:t>
      </w:r>
      <w:r>
        <w:t>) to the middle Eocene (</w:t>
      </w:r>
      <w:r>
        <w:rPr>
          <w:color w:val="422874"/>
        </w:rPr>
        <w:t>Burg etal.,1987;Dingetal.,2005;Searleetal.,1987,Zhuetal.,2005a</w:t>
      </w:r>
      <w:r>
        <w:t xml:space="preserve">).Recently, Aitchison's group proposed an alternative multistage collision model that intra-oceanic arc collision and ophiolite obduction with Indian plate </w:t>
      </w:r>
      <w:r>
        <w:t>occurreddu</w:t>
      </w:r>
      <w:r>
        <w:t>ringearlyCenozoicfollowedbyultimatelyIndia</w:t>
      </w:r>
      <w:r>
        <w:rPr>
          <w:rFonts w:ascii="Calibri" w:eastAsia="Calibri" w:hAnsi="Calibri" w:cs="Calibri"/>
        </w:rPr>
        <w:t>–</w:t>
      </w:r>
      <w:r>
        <w:t>Asiacollision at Eocene/Oligocene boundary (</w:t>
      </w:r>
      <w:r>
        <w:rPr>
          <w:color w:val="422874"/>
        </w:rPr>
        <w:t>Aitchison, 2000; Aitchison and Davis,</w:t>
      </w:r>
    </w:p>
    <w:tbl>
      <w:tblPr>
        <w:tblStyle w:val="TableGrid"/>
        <w:tblW w:w="4267" w:type="dxa"/>
        <w:tblInd w:w="176" w:type="dxa"/>
        <w:tblCellMar>
          <w:top w:w="0" w:type="dxa"/>
          <w:left w:w="0" w:type="dxa"/>
          <w:bottom w:w="0" w:type="dxa"/>
          <w:right w:w="0" w:type="dxa"/>
        </w:tblCellMar>
        <w:tblLook w:val="04A0" w:firstRow="1" w:lastRow="0" w:firstColumn="1" w:lastColumn="0" w:noHBand="0" w:noVBand="1"/>
      </w:tblPr>
      <w:tblGrid>
        <w:gridCol w:w="4267"/>
      </w:tblGrid>
      <w:tr w:rsidR="00F64F7F" w14:paraId="624EF8CE" w14:textId="77777777">
        <w:trPr>
          <w:trHeight w:val="934"/>
        </w:trPr>
        <w:tc>
          <w:tcPr>
            <w:tcW w:w="4267" w:type="dxa"/>
            <w:tcBorders>
              <w:top w:val="nil"/>
              <w:left w:val="nil"/>
              <w:bottom w:val="nil"/>
              <w:right w:val="nil"/>
            </w:tcBorders>
            <w:vAlign w:val="bottom"/>
          </w:tcPr>
          <w:p w14:paraId="07B22218" w14:textId="77777777" w:rsidR="00F64F7F" w:rsidRDefault="0056380C">
            <w:pPr>
              <w:spacing w:after="123" w:line="259" w:lineRule="auto"/>
              <w:ind w:left="0" w:firstLine="0"/>
              <w:jc w:val="left"/>
            </w:pPr>
            <w:r>
              <w:rPr>
                <w:rFonts w:ascii="Calibri" w:eastAsia="Calibri" w:hAnsi="Calibri" w:cs="Calibri"/>
                <w:noProof/>
                <w:color w:val="000000"/>
                <w:sz w:val="22"/>
              </w:rPr>
              <mc:AlternateContent>
                <mc:Choice Requires="wpg">
                  <w:drawing>
                    <wp:inline distT="0" distB="0" distL="0" distR="0" wp14:anchorId="488D3FD6" wp14:editId="6DD6D82B">
                      <wp:extent cx="455765" cy="2883"/>
                      <wp:effectExtent l="0" t="0" r="0" b="0"/>
                      <wp:docPr id="25879" name="Group 25879"/>
                      <wp:cNvGraphicFramePr/>
                      <a:graphic xmlns:a="http://schemas.openxmlformats.org/drawingml/2006/main">
                        <a:graphicData uri="http://schemas.microsoft.com/office/word/2010/wordprocessingGroup">
                          <wpg:wgp>
                            <wpg:cNvGrpSpPr/>
                            <wpg:grpSpPr>
                              <a:xfrm>
                                <a:off x="0" y="0"/>
                                <a:ext cx="455765" cy="2883"/>
                                <a:chOff x="0" y="0"/>
                                <a:chExt cx="455765" cy="2883"/>
                              </a:xfrm>
                            </wpg:grpSpPr>
                            <wps:wsp>
                              <wps:cNvPr id="182" name="Shape 182"/>
                              <wps:cNvSpPr/>
                              <wps:spPr>
                                <a:xfrm>
                                  <a:off x="0" y="0"/>
                                  <a:ext cx="455765" cy="0"/>
                                </a:xfrm>
                                <a:custGeom>
                                  <a:avLst/>
                                  <a:gdLst/>
                                  <a:ahLst/>
                                  <a:cxnLst/>
                                  <a:rect l="0" t="0" r="0" b="0"/>
                                  <a:pathLst>
                                    <a:path w="455765">
                                      <a:moveTo>
                                        <a:pt x="0" y="0"/>
                                      </a:moveTo>
                                      <a:lnTo>
                                        <a:pt x="455765" y="0"/>
                                      </a:lnTo>
                                    </a:path>
                                  </a:pathLst>
                                </a:custGeom>
                                <a:ln w="2883" cap="rnd">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879" style="width:35.887pt;height:0.227pt;mso-position-horizontal-relative:char;mso-position-vertical-relative:line" coordsize="4557,28">
                      <v:shape id="Shape 182" style="position:absolute;width:4557;height:0;left:0;top:0;" coordsize="455765,0" path="m0,0l455765,0">
                        <v:stroke weight="0.227pt" endcap="round" joinstyle="round" on="true" color="#181717"/>
                        <v:fill on="false" color="#000000" opacity="0"/>
                      </v:shape>
                    </v:group>
                  </w:pict>
                </mc:Fallback>
              </mc:AlternateContent>
            </w:r>
          </w:p>
          <w:p w14:paraId="57D2B747" w14:textId="77777777" w:rsidR="00F64F7F" w:rsidRDefault="0056380C">
            <w:pPr>
              <w:spacing w:after="170" w:line="290" w:lineRule="auto"/>
              <w:ind w:left="239" w:right="919" w:hanging="136"/>
              <w:jc w:val="left"/>
            </w:pPr>
            <w:r>
              <w:rPr>
                <w:rFonts w:ascii="Calibri" w:eastAsia="Calibri" w:hAnsi="Calibri" w:cs="Calibri"/>
                <w:sz w:val="13"/>
              </w:rPr>
              <w:t>⁎</w:t>
            </w:r>
            <w:r>
              <w:rPr>
                <w:rFonts w:ascii="Calibri" w:eastAsia="Calibri" w:hAnsi="Calibri" w:cs="Calibri"/>
                <w:sz w:val="13"/>
              </w:rPr>
              <w:t xml:space="preserve"> </w:t>
            </w:r>
            <w:r>
              <w:rPr>
                <w:sz w:val="13"/>
              </w:rPr>
              <w:t xml:space="preserve">Corresponding author. Tel.: +86 10 62849679. </w:t>
            </w:r>
            <w:r>
              <w:rPr>
                <w:sz w:val="13"/>
              </w:rPr>
              <w:t xml:space="preserve">E-mail address: </w:t>
            </w:r>
            <w:r>
              <w:rPr>
                <w:color w:val="422874"/>
                <w:sz w:val="13"/>
              </w:rPr>
              <w:t xml:space="preserve">dinglin@itpcas.ac.cn </w:t>
            </w:r>
            <w:r>
              <w:rPr>
                <w:sz w:val="13"/>
              </w:rPr>
              <w:t>(L. Ding).</w:t>
            </w:r>
          </w:p>
          <w:p w14:paraId="49CE0059" w14:textId="77777777" w:rsidR="00F64F7F" w:rsidRDefault="0056380C">
            <w:pPr>
              <w:spacing w:after="7" w:line="259" w:lineRule="auto"/>
              <w:ind w:left="0" w:firstLine="0"/>
              <w:jc w:val="left"/>
            </w:pPr>
            <w:r>
              <w:rPr>
                <w:sz w:val="13"/>
              </w:rPr>
              <w:t xml:space="preserve">0012-821X/$ </w:t>
            </w:r>
            <w:r>
              <w:rPr>
                <w:rFonts w:ascii="Calibri" w:eastAsia="Calibri" w:hAnsi="Calibri" w:cs="Calibri"/>
                <w:sz w:val="13"/>
              </w:rPr>
              <w:t xml:space="preserve">– </w:t>
            </w:r>
            <w:r>
              <w:rPr>
                <w:sz w:val="13"/>
              </w:rPr>
              <w:t>see front matter © 2</w:t>
            </w:r>
            <w:r>
              <w:rPr>
                <w:sz w:val="13"/>
              </w:rPr>
              <w:t>011 Elsevier B.V. All rights reserved.</w:t>
            </w:r>
          </w:p>
          <w:p w14:paraId="7EF04333" w14:textId="77777777" w:rsidR="00F64F7F" w:rsidRDefault="0056380C">
            <w:pPr>
              <w:spacing w:after="0" w:line="259" w:lineRule="auto"/>
              <w:ind w:left="0" w:firstLine="0"/>
              <w:jc w:val="left"/>
            </w:pPr>
            <w:r>
              <w:rPr>
                <w:sz w:val="13"/>
              </w:rPr>
              <w:t>doi:</w:t>
            </w:r>
            <w:hyperlink r:id="rId18">
              <w:r>
                <w:rPr>
                  <w:color w:val="422874"/>
                  <w:sz w:val="13"/>
                </w:rPr>
                <w:t>10.1016/j.epsl.2011.02.055</w:t>
              </w:r>
            </w:hyperlink>
          </w:p>
        </w:tc>
      </w:tr>
    </w:tbl>
    <w:p w14:paraId="0AABEBA7" w14:textId="77777777" w:rsidR="00F64F7F" w:rsidRDefault="0056380C">
      <w:pPr>
        <w:ind w:left="-15" w:firstLine="0"/>
      </w:pPr>
      <w:proofErr w:type="gramStart"/>
      <w:r>
        <w:rPr>
          <w:color w:val="422874"/>
        </w:rPr>
        <w:t>2004;Aitchisonetal</w:t>
      </w:r>
      <w:proofErr w:type="gramEnd"/>
      <w:r>
        <w:rPr>
          <w:color w:val="422874"/>
        </w:rPr>
        <w:t>.,2007a;Davisetal.,2002</w:t>
      </w:r>
      <w:r>
        <w:t>).ThisalternativeIndia</w:t>
      </w:r>
      <w:r>
        <w:rPr>
          <w:rFonts w:ascii="Calibri" w:eastAsia="Calibri" w:hAnsi="Calibri" w:cs="Calibri"/>
        </w:rPr>
        <w:t>–</w:t>
      </w:r>
      <w:r>
        <w:t>Asia collision model requires that the southernmost margin of Lhasa terrane retained its approximate present position at ~30°N deduced from Apparent Polar Wander Path of the stable Eurasian plate (</w:t>
      </w:r>
      <w:r>
        <w:rPr>
          <w:color w:val="422874"/>
        </w:rPr>
        <w:t>Ali and Aitchison, 2004, 2006</w:t>
      </w:r>
      <w:r>
        <w:t>). That is in con</w:t>
      </w:r>
      <w:r>
        <w:rPr>
          <w:rFonts w:ascii="Calibri" w:eastAsia="Calibri" w:hAnsi="Calibri" w:cs="Calibri"/>
        </w:rPr>
        <w:t>fl</w:t>
      </w:r>
      <w:r>
        <w:t>ict with recent paleomagnetic results from the Paleocene</w:t>
      </w:r>
      <w:r>
        <w:rPr>
          <w:rFonts w:ascii="Calibri" w:eastAsia="Calibri" w:hAnsi="Calibri" w:cs="Calibri"/>
        </w:rPr>
        <w:t>–</w:t>
      </w:r>
      <w:r>
        <w:t>Eocene Linzizong Group and dykes indicating thatsouthernmostmarginresidedatlowlatitudes of~10°N</w:t>
      </w:r>
      <w:r>
        <w:rPr>
          <w:rFonts w:ascii="Calibri" w:eastAsia="Calibri" w:hAnsi="Calibri" w:cs="Calibri"/>
        </w:rPr>
        <w:t>–</w:t>
      </w:r>
      <w:r>
        <w:t>~20°</w:t>
      </w:r>
      <w:proofErr w:type="gramStart"/>
      <w:r>
        <w:t>N(</w:t>
      </w:r>
      <w:proofErr w:type="gramEnd"/>
      <w:r>
        <w:rPr>
          <w:color w:val="422874"/>
        </w:rPr>
        <w:t xml:space="preserve">Chen et al., 2010; Dupont-Nivet et al., 2010; Liebke et al., </w:t>
      </w:r>
      <w:r>
        <w:rPr>
          <w:color w:val="422874"/>
        </w:rPr>
        <w:lastRenderedPageBreak/>
        <w:t>2010</w:t>
      </w:r>
      <w:r>
        <w:t>). Thus, a la</w:t>
      </w:r>
      <w:r>
        <w:t xml:space="preserve">ter collision at ~35 Ma as suggested by </w:t>
      </w:r>
      <w:r>
        <w:rPr>
          <w:color w:val="422874"/>
        </w:rPr>
        <w:t xml:space="preserve">Aitchison et al. (2007a) </w:t>
      </w:r>
      <w:r>
        <w:t>may be impossible (</w:t>
      </w:r>
      <w:r>
        <w:rPr>
          <w:color w:val="422874"/>
        </w:rPr>
        <w:t>Chen et al., 2010; Najman et al., 2010</w:t>
      </w:r>
      <w:r>
        <w:t>). However, paleomagnetic data cannot deny the former existence of an intra-oceanic arc.</w:t>
      </w:r>
    </w:p>
    <w:p w14:paraId="007C1FF7" w14:textId="77777777" w:rsidR="00F64F7F" w:rsidRDefault="0056380C">
      <w:pPr>
        <w:ind w:left="-15"/>
      </w:pPr>
      <w:r>
        <w:t>Provenance analysis of clastic rocks is an ef</w:t>
      </w:r>
      <w:r>
        <w:t>fective approach to constrain the initiation age of India</w:t>
      </w:r>
      <w:r>
        <w:rPr>
          <w:rFonts w:ascii="Calibri" w:eastAsia="Calibri" w:hAnsi="Calibri" w:cs="Calibri"/>
        </w:rPr>
        <w:t>–</w:t>
      </w:r>
      <w:r>
        <w:t xml:space="preserve">Asia collision by the </w:t>
      </w:r>
      <w:r>
        <w:rPr>
          <w:rFonts w:ascii="Calibri" w:eastAsia="Calibri" w:hAnsi="Calibri" w:cs="Calibri"/>
        </w:rPr>
        <w:t>fi</w:t>
      </w:r>
      <w:r>
        <w:t>rst arrival of Asia-derived detritus on the Indian passive continental margin (</w:t>
      </w:r>
      <w:r>
        <w:rPr>
          <w:color w:val="422874"/>
        </w:rPr>
        <w:t>Najman, 2006; Yin, 2006</w:t>
      </w:r>
      <w:r>
        <w:t>). TheTethys Himalaya located on the downgoing plate as the Indian conti</w:t>
      </w:r>
      <w:r>
        <w:t>nent was subducted northward beneath the Lhasa terrane contains signi</w:t>
      </w:r>
      <w:r>
        <w:rPr>
          <w:rFonts w:ascii="Calibri" w:eastAsia="Calibri" w:hAnsi="Calibri" w:cs="Calibri"/>
        </w:rPr>
        <w:t>fi</w:t>
      </w:r>
      <w:r>
        <w:t>cant information about the closure time of the Neo-Tethys Ocean and the initiation age of India</w:t>
      </w:r>
      <w:r>
        <w:rPr>
          <w:rFonts w:ascii="Calibri" w:eastAsia="Calibri" w:hAnsi="Calibri" w:cs="Calibri"/>
        </w:rPr>
        <w:t>–</w:t>
      </w:r>
      <w:r>
        <w:t xml:space="preserve">Asia collision. Provenance studies on Eocene strata of the Tethys Himalaya indicated the </w:t>
      </w:r>
      <w:r>
        <w:t>presence of detritus from the Asian plate suggesting that India</w:t>
      </w:r>
      <w:r>
        <w:rPr>
          <w:rFonts w:ascii="Calibri" w:eastAsia="Calibri" w:hAnsi="Calibri" w:cs="Calibri"/>
        </w:rPr>
        <w:t>–</w:t>
      </w:r>
      <w:r>
        <w:t>Asia collision had occurred by this time (</w:t>
      </w:r>
      <w:r>
        <w:rPr>
          <w:color w:val="422874"/>
        </w:rPr>
        <w:t>Ding et al., 2005; Zhu et al., 2005a</w:t>
      </w:r>
      <w:r>
        <w:t>). Rapid changes in sedimentation patterns (</w:t>
      </w:r>
      <w:r>
        <w:rPr>
          <w:color w:val="422874"/>
        </w:rPr>
        <w:t>Willems et al., 1996</w:t>
      </w:r>
      <w:r>
        <w:t>) and tectonic subsidence (</w:t>
      </w:r>
      <w:r>
        <w:rPr>
          <w:color w:val="422874"/>
        </w:rPr>
        <w:t>Rowley, 1998</w:t>
      </w:r>
      <w:r>
        <w:t>), along wi</w:t>
      </w:r>
      <w:r>
        <w:t>th the in</w:t>
      </w:r>
      <w:r>
        <w:rPr>
          <w:rFonts w:ascii="Calibri" w:eastAsia="Calibri" w:hAnsi="Calibri" w:cs="Calibri"/>
        </w:rPr>
        <w:t>fl</w:t>
      </w:r>
      <w:r>
        <w:t>ux of accretionary prism and trench materials have been found in late Masstrichtian strata in southernTibet (Tingri and Gyangze) and have been attributed to initial India</w:t>
      </w:r>
      <w:r>
        <w:rPr>
          <w:rFonts w:ascii="Calibri" w:eastAsia="Calibri" w:hAnsi="Calibri" w:cs="Calibri"/>
        </w:rPr>
        <w:t>–</w:t>
      </w:r>
      <w:r>
        <w:t>Asia collision (</w:t>
      </w:r>
      <w:r>
        <w:rPr>
          <w:color w:val="422874"/>
        </w:rPr>
        <w:t>Liu and Einsele, 1996; Willems et al., 1996; Yin and Harri</w:t>
      </w:r>
      <w:r>
        <w:rPr>
          <w:color w:val="422874"/>
        </w:rPr>
        <w:t>son, 2000</w:t>
      </w:r>
      <w:r>
        <w:t>). However, the lack of evidence for unambiguously Asiaderived detritus in the upper Cretaceous strata of the Tethys Himalaya questioned this early age for collision in southern Tibet.</w:t>
      </w:r>
    </w:p>
    <w:p w14:paraId="34E30658" w14:textId="77777777" w:rsidR="00F64F7F" w:rsidRDefault="0056380C">
      <w:pPr>
        <w:spacing w:after="208"/>
        <w:ind w:left="-15"/>
      </w:pPr>
      <w:r>
        <w:t>In this paper, we carried out a detailed provenance study on t</w:t>
      </w:r>
      <w:r>
        <w:t>he upper Cretaceous clastic sedimentary rocks of the northern Tethys Himalaya, near Gyangze, southern Tibet and present new detrital zircons U</w:t>
      </w:r>
      <w:r>
        <w:rPr>
          <w:rFonts w:ascii="Calibri" w:eastAsia="Calibri" w:hAnsi="Calibri" w:cs="Calibri"/>
        </w:rPr>
        <w:t>–</w:t>
      </w:r>
      <w:r>
        <w:t>Pb</w:t>
      </w:r>
      <w:r>
        <w:rPr>
          <w:rFonts w:ascii="Calibri" w:eastAsia="Calibri" w:hAnsi="Calibri" w:cs="Calibri"/>
        </w:rPr>
        <w:t>–</w:t>
      </w:r>
      <w:r>
        <w:t>Hf isotopic, Cr</w:t>
      </w:r>
      <w:r>
        <w:rPr>
          <w:rFonts w:ascii="Calibri" w:eastAsia="Calibri" w:hAnsi="Calibri" w:cs="Calibri"/>
        </w:rPr>
        <w:t>–</w:t>
      </w:r>
      <w:r>
        <w:t>spinel electronic microprobe, bulk rock Nd-isotopic, and modal sandstone petrographic data. We</w:t>
      </w:r>
      <w:r>
        <w:t xml:space="preserve"> do this to present when Asia-derived detritus deposited </w:t>
      </w:r>
      <w:r>
        <w:rPr>
          <w:rFonts w:ascii="Calibri" w:eastAsia="Calibri" w:hAnsi="Calibri" w:cs="Calibri"/>
        </w:rPr>
        <w:t>fi</w:t>
      </w:r>
      <w:r>
        <w:t xml:space="preserve">rst onto the Indian passivecontinental </w:t>
      </w:r>
      <w:proofErr w:type="gramStart"/>
      <w:r>
        <w:t>margin.Ourresults</w:t>
      </w:r>
      <w:proofErr w:type="gramEnd"/>
      <w:r>
        <w:t xml:space="preserve"> showthat provenancedrastically changed during the deposition of the Santonian</w:t>
      </w:r>
      <w:r>
        <w:rPr>
          <w:rFonts w:ascii="Calibri" w:eastAsia="Calibri" w:hAnsi="Calibri" w:cs="Calibri"/>
        </w:rPr>
        <w:t>–</w:t>
      </w:r>
      <w:r>
        <w:t>Maastrichtian Chuangde Formation, providing new implications f</w:t>
      </w:r>
      <w:r>
        <w:t>or the initial India</w:t>
      </w:r>
      <w:r>
        <w:rPr>
          <w:rFonts w:ascii="Calibri" w:eastAsia="Calibri" w:hAnsi="Calibri" w:cs="Calibri"/>
        </w:rPr>
        <w:t xml:space="preserve">– </w:t>
      </w:r>
      <w:r>
        <w:t>Asia collision.</w:t>
      </w:r>
    </w:p>
    <w:p w14:paraId="04773FFB" w14:textId="77777777" w:rsidR="00F64F7F" w:rsidRDefault="0056380C">
      <w:pPr>
        <w:pStyle w:val="1"/>
        <w:ind w:left="-5"/>
      </w:pPr>
      <w:r>
        <w:t>2. Geological setting</w:t>
      </w:r>
    </w:p>
    <w:p w14:paraId="6DDE2F46" w14:textId="77777777" w:rsidR="00F64F7F" w:rsidRDefault="0056380C">
      <w:pPr>
        <w:ind w:left="-15"/>
      </w:pPr>
      <w:r>
        <w:t xml:space="preserve">The study area </w:t>
      </w:r>
      <w:proofErr w:type="gramStart"/>
      <w:r>
        <w:t>is located in</w:t>
      </w:r>
      <w:proofErr w:type="gramEnd"/>
      <w:r>
        <w:t xml:space="preserve"> south</w:t>
      </w:r>
      <w:r>
        <w:rPr>
          <w:rFonts w:ascii="Calibri" w:eastAsia="Calibri" w:hAnsi="Calibri" w:cs="Calibri"/>
        </w:rPr>
        <w:t>–</w:t>
      </w:r>
      <w:r>
        <w:t>central Tibet, which consists from north to south of the Lhasa terrane, Yarlung Zangbo suture zone, and the Tethys Himalaya (</w:t>
      </w:r>
      <w:r>
        <w:rPr>
          <w:color w:val="422874"/>
        </w:rPr>
        <w:t>Fig. 1</w:t>
      </w:r>
      <w:r>
        <w:t>). The geology of each of thes</w:t>
      </w:r>
      <w:r>
        <w:t>e units is summarized in the following.</w:t>
      </w:r>
    </w:p>
    <w:p w14:paraId="7FC883A1" w14:textId="77777777" w:rsidR="00F64F7F" w:rsidRDefault="0056380C">
      <w:pPr>
        <w:ind w:left="-15"/>
      </w:pPr>
      <w:r>
        <w:t>The Lhasa terrane was contiguous with Gondwanaland during the Paleozoic (</w:t>
      </w:r>
      <w:r>
        <w:rPr>
          <w:color w:val="422874"/>
        </w:rPr>
        <w:t>Dewey et al., 1988; Yin et al., 2010</w:t>
      </w:r>
      <w:r>
        <w:t>). The basement in the few places where it is exposed is mid-Proterozoic to early Cambrian in age (</w:t>
      </w:r>
      <w:r>
        <w:rPr>
          <w:color w:val="422874"/>
        </w:rPr>
        <w:t>Dewey et</w:t>
      </w:r>
      <w:r>
        <w:rPr>
          <w:color w:val="422874"/>
        </w:rPr>
        <w:t xml:space="preserve"> al., 1988; Guynn et al., 2006; Harris et al., 1988</w:t>
      </w:r>
      <w:r>
        <w:t>), and the cover consists mainly of upper Paleozoic to Tertiary sedimentary and volcanogenic strata (</w:t>
      </w:r>
      <w:r>
        <w:rPr>
          <w:color w:val="422874"/>
        </w:rPr>
        <w:t xml:space="preserve">Yin and Harrison, 2000 </w:t>
      </w:r>
      <w:r>
        <w:t>and references therein). The dominant magmatic event occurred in the southern par</w:t>
      </w:r>
      <w:r>
        <w:t>t of the Lhasa terraneandisreferredtoastheGangdesearc.TheGangdesearccomprises Cretaceous to early Tertiary calc-alkaline granitoids (</w:t>
      </w:r>
      <w:r>
        <w:rPr>
          <w:color w:val="422874"/>
        </w:rPr>
        <w:t>Debon et al., 1986</w:t>
      </w:r>
      <w:r>
        <w:t>) and 68</w:t>
      </w:r>
      <w:r>
        <w:rPr>
          <w:rFonts w:ascii="Calibri" w:eastAsia="Calibri" w:hAnsi="Calibri" w:cs="Calibri"/>
        </w:rPr>
        <w:t>–</w:t>
      </w:r>
      <w:r>
        <w:t>43 Ma nonmarine volcanic sequences of the Linzizong Group (</w:t>
      </w:r>
      <w:r>
        <w:rPr>
          <w:color w:val="422874"/>
        </w:rPr>
        <w:t>He et al., 2007</w:t>
      </w:r>
      <w:r>
        <w:t xml:space="preserve">) which </w:t>
      </w:r>
      <w:r>
        <w:t>are traditiona</w:t>
      </w:r>
      <w:r>
        <w:t>lly attributed to northward subduction of Neo-Tethys oceanic lithosphere beneath the southern Lhasa continental margin (</w:t>
      </w:r>
      <w:r>
        <w:rPr>
          <w:color w:val="422874"/>
        </w:rPr>
        <w:t>Allegre et al., 1984 Tapponnier et al., 1981</w:t>
      </w:r>
      <w:r>
        <w:t>), but may at least in part be associated with early subduction of the Tethys Himalaya conti</w:t>
      </w:r>
      <w:r>
        <w:t>nental lithosphere beneath the southern margin of the Asia plate (</w:t>
      </w:r>
      <w:r>
        <w:rPr>
          <w:color w:val="422874"/>
        </w:rPr>
        <w:t>Mo et al., 2007</w:t>
      </w:r>
      <w:r>
        <w:t>). Moreover, recent work suggested that arc magmatism initiated as early as Jurassic time (</w:t>
      </w:r>
      <w:r>
        <w:rPr>
          <w:color w:val="422874"/>
        </w:rPr>
        <w:t>Chu et al., 2006</w:t>
      </w:r>
      <w:r>
        <w:t>). The Linzizong Group is weakly deformed and lies on strongly short</w:t>
      </w:r>
      <w:r>
        <w:t>ened (</w:t>
      </w:r>
      <w:r>
        <w:rPr>
          <w:rFonts w:ascii="Calibri" w:eastAsia="Calibri" w:hAnsi="Calibri" w:cs="Calibri"/>
        </w:rPr>
        <w:t>N</w:t>
      </w:r>
      <w:r>
        <w:t>50%) Cretaceous and older strata (</w:t>
      </w:r>
      <w:r>
        <w:rPr>
          <w:color w:val="422874"/>
        </w:rPr>
        <w:t>Allegre et al., 1984; Burg and Chen, 1984; Kapp et al., 2007; Murphy et al. 1997; Tapponnier et al., 1981</w:t>
      </w:r>
      <w:r>
        <w:t>). The Gangdese forearc basin exposed along the southern margin of the Lhasa terrane includes Albian</w:t>
      </w:r>
      <w:r>
        <w:rPr>
          <w:rFonts w:ascii="Calibri" w:eastAsia="Calibri" w:hAnsi="Calibri" w:cs="Calibri"/>
        </w:rPr>
        <w:t xml:space="preserve">– </w:t>
      </w:r>
      <w:r>
        <w:t>Ypresian</w:t>
      </w:r>
      <w:r>
        <w:t xml:space="preserve"> marine sediments (</w:t>
      </w:r>
      <w:r>
        <w:rPr>
          <w:color w:val="422874"/>
        </w:rPr>
        <w:t>Ding et al., 2005; Wan et al., 1997</w:t>
      </w:r>
      <w:r>
        <w:t>) that were mainly derived from the Gangdese arc (</w:t>
      </w:r>
      <w:r>
        <w:rPr>
          <w:color w:val="422874"/>
        </w:rPr>
        <w:t>Dürr, 1996; Wu et al., 2010</w:t>
      </w:r>
      <w:r>
        <w:t>).</w:t>
      </w:r>
    </w:p>
    <w:p w14:paraId="4A6EAF00" w14:textId="77777777" w:rsidR="00F64F7F" w:rsidRDefault="0056380C">
      <w:pPr>
        <w:ind w:left="-15" w:right="176"/>
      </w:pPr>
      <w:r>
        <w:t>The Yarlung Zangbo suture zone represents remnants of an oceanic basin between the India and Lhasa terranes that closed by</w:t>
      </w:r>
      <w:r>
        <w:t xml:space="preserve"> northward subduction beneath the Lhasa terrane and possibly one or more oceanic island arc terranes. It consists of late Jurassic to early Cretaceous opholitic rocks of back-arc and intra-oceanic arc af</w:t>
      </w:r>
      <w:r>
        <w:rPr>
          <w:rFonts w:ascii="Calibri" w:eastAsia="Calibri" w:hAnsi="Calibri" w:cs="Calibri"/>
        </w:rPr>
        <w:t>fi</w:t>
      </w:r>
      <w:r>
        <w:t>nities (</w:t>
      </w:r>
      <w:r>
        <w:rPr>
          <w:color w:val="422874"/>
        </w:rPr>
        <w:t>Bedard et al., 2009; Dubois-Côté et al., 2005; Gopel et al., 1984; Malpas et al., 2003; Miller et al., 2003</w:t>
      </w:r>
      <w:r>
        <w:t>), associated accretionary prism rocks (</w:t>
      </w:r>
      <w:r>
        <w:rPr>
          <w:color w:val="422874"/>
        </w:rPr>
        <w:t>Wang et al., 1999</w:t>
      </w:r>
      <w:r>
        <w:t>), late Jurassic to early Cretaceous island arc volcanic rocks (</w:t>
      </w:r>
      <w:r>
        <w:rPr>
          <w:color w:val="422874"/>
        </w:rPr>
        <w:t>Aitchison et al., 2007b; McD</w:t>
      </w:r>
      <w:r>
        <w:rPr>
          <w:color w:val="422874"/>
        </w:rPr>
        <w:t>ermid et al., 2002</w:t>
      </w:r>
      <w:r>
        <w:t>), and Paleogene molasse sediments (</w:t>
      </w:r>
      <w:r>
        <w:rPr>
          <w:color w:val="422874"/>
        </w:rPr>
        <w:t>Davis et al., 2002</w:t>
      </w:r>
      <w:r>
        <w:t>).</w:t>
      </w:r>
    </w:p>
    <w:p w14:paraId="133C620D" w14:textId="77777777" w:rsidR="00F64F7F" w:rsidRDefault="0056380C">
      <w:pPr>
        <w:spacing w:after="192"/>
        <w:ind w:left="-15" w:right="175"/>
      </w:pPr>
      <w:r>
        <w:t>The Tethys Himalaya can be split into southern and northern units based on the presence of major intervening structures and differences in lithology across the Lhagoi Kangri Anticli</w:t>
      </w:r>
      <w:r>
        <w:t>ne (</w:t>
      </w:r>
      <w:r>
        <w:rPr>
          <w:color w:val="422874"/>
        </w:rPr>
        <w:t>Burg et al., 1987</w:t>
      </w:r>
      <w:r>
        <w:t>). The southern unit is composed mainly of Proterozoic to Eocene carbonate and clastic sedimentary rocks (</w:t>
      </w:r>
      <w:r>
        <w:rPr>
          <w:color w:val="422874"/>
        </w:rPr>
        <w:t>Wang et al., 2002; Willems et al., 1996; Zhu et al., 2005a</w:t>
      </w:r>
      <w:r>
        <w:t>). The deformation and metamorphism of these strata are usually weak. T</w:t>
      </w:r>
      <w:r>
        <w:t xml:space="preserve">he northern unit consists of Proterozoic to Eocene sandstone, shale, chert and limestone that underwent major shortening and </w:t>
      </w:r>
      <w:proofErr w:type="gramStart"/>
      <w:r>
        <w:t>low grade</w:t>
      </w:r>
      <w:proofErr w:type="gramEnd"/>
      <w:r>
        <w:t xml:space="preserve"> metamorphism (</w:t>
      </w:r>
      <w:r>
        <w:rPr>
          <w:color w:val="422874"/>
        </w:rPr>
        <w:t>Burg et al., 1985; Chen et al., 2011; Ding et al., 2005; Li et al., 2005a, 2005b Liu and Einsele, 1994, 199</w:t>
      </w:r>
      <w:r>
        <w:rPr>
          <w:color w:val="422874"/>
        </w:rPr>
        <w:t>6, Wan et al., 2005</w:t>
      </w:r>
      <w:r>
        <w:t>). A belt of gneiss domes lies along the axis of the Lhagoi Kangri Anticline in the middle part of the Tethys Himalaya and consists of medium- to high-grade metamorphic rocks and Cambrian</w:t>
      </w:r>
      <w:r>
        <w:rPr>
          <w:rFonts w:ascii="Calibri" w:eastAsia="Calibri" w:hAnsi="Calibri" w:cs="Calibri"/>
        </w:rPr>
        <w:t>–</w:t>
      </w:r>
      <w:r>
        <w:t xml:space="preserve">Ordovician </w:t>
      </w:r>
      <w:proofErr w:type="gramStart"/>
      <w:r>
        <w:t>granites(</w:t>
      </w:r>
      <w:proofErr w:type="gramEnd"/>
      <w:r>
        <w:rPr>
          <w:color w:val="422874"/>
        </w:rPr>
        <w:t>Leeetal.,2000</w:t>
      </w:r>
      <w:r>
        <w:t>)and30</w:t>
      </w:r>
      <w:r>
        <w:rPr>
          <w:rFonts w:ascii="Calibri" w:eastAsia="Calibri" w:hAnsi="Calibri" w:cs="Calibri"/>
        </w:rPr>
        <w:t>–</w:t>
      </w:r>
      <w:r>
        <w:t>10 Maleuc</w:t>
      </w:r>
      <w:r>
        <w:t>ogranites(</w:t>
      </w:r>
      <w:r>
        <w:rPr>
          <w:color w:val="422874"/>
        </w:rPr>
        <w:t>Zhangetal.,2004</w:t>
      </w:r>
      <w:r>
        <w:t xml:space="preserve">). </w:t>
      </w:r>
      <w:r>
        <w:rPr>
          <w:rFonts w:ascii="Calibri" w:eastAsia="Calibri" w:hAnsi="Calibri" w:cs="Calibri"/>
        </w:rPr>
        <w:t>3. Stratigraphy</w:t>
      </w:r>
    </w:p>
    <w:p w14:paraId="0E8A5867" w14:textId="77777777" w:rsidR="00F64F7F" w:rsidRDefault="0056380C">
      <w:pPr>
        <w:ind w:left="-15" w:right="176"/>
      </w:pPr>
      <w:r>
        <w:t>The upper Cretaceous strata deposited on the Indian passive continental margin in the Gyangze area of south</w:t>
      </w:r>
      <w:r>
        <w:rPr>
          <w:rFonts w:ascii="Calibri" w:eastAsia="Calibri" w:hAnsi="Calibri" w:cs="Calibri"/>
        </w:rPr>
        <w:t>–</w:t>
      </w:r>
      <w:r>
        <w:t>central Tibet (</w:t>
      </w:r>
      <w:r>
        <w:rPr>
          <w:color w:val="422874"/>
        </w:rPr>
        <w:t>Fig. 2</w:t>
      </w:r>
      <w:r>
        <w:t xml:space="preserve">) are divided from older to younger into the Jiabula Formation, Chuangde Formation </w:t>
      </w:r>
      <w:r>
        <w:t>and Zongzhuo Formation (</w:t>
      </w:r>
      <w:r>
        <w:rPr>
          <w:color w:val="422874"/>
        </w:rPr>
        <w:t>Fig. 3</w:t>
      </w:r>
      <w:r>
        <w:t>).</w:t>
      </w:r>
    </w:p>
    <w:p w14:paraId="6C6E2C6D" w14:textId="77777777" w:rsidR="00F64F7F" w:rsidRDefault="0056380C">
      <w:pPr>
        <w:ind w:left="-15" w:right="176"/>
      </w:pPr>
      <w:r>
        <w:t>The Jiabula Formation is 150</w:t>
      </w:r>
      <w:r>
        <w:rPr>
          <w:rFonts w:ascii="Calibri" w:eastAsia="Calibri" w:hAnsi="Calibri" w:cs="Calibri"/>
        </w:rPr>
        <w:t>–</w:t>
      </w:r>
      <w:r>
        <w:t>1000 m thick and consists of mainly black shale, chert, and minor sandstone (</w:t>
      </w:r>
      <w:r>
        <w:rPr>
          <w:color w:val="422874"/>
        </w:rPr>
        <w:t>Liu and Einsele, 1994</w:t>
      </w:r>
      <w:r>
        <w:t>). Belemnite and radiolaria indicate an age of Cenomanian to Coniacian for this formation (</w:t>
      </w:r>
      <w:r>
        <w:rPr>
          <w:color w:val="422874"/>
        </w:rPr>
        <w:t>Li et</w:t>
      </w:r>
      <w:r>
        <w:rPr>
          <w:color w:val="422874"/>
        </w:rPr>
        <w:t xml:space="preserve"> al., 2005a, 2005b; Wang et al., 2005</w:t>
      </w:r>
      <w:r>
        <w:t>).</w:t>
      </w:r>
    </w:p>
    <w:p w14:paraId="59AB369A" w14:textId="77777777" w:rsidR="00F64F7F" w:rsidRDefault="00F64F7F">
      <w:pPr>
        <w:sectPr w:rsidR="00F64F7F">
          <w:type w:val="continuous"/>
          <w:pgSz w:w="11906" w:h="15874"/>
          <w:pgMar w:top="1147" w:right="673" w:bottom="975" w:left="675" w:header="720" w:footer="720" w:gutter="0"/>
          <w:cols w:num="2" w:space="344"/>
        </w:sectPr>
      </w:pPr>
    </w:p>
    <w:p w14:paraId="185A8618" w14:textId="77777777" w:rsidR="00F64F7F" w:rsidRDefault="0056380C">
      <w:pPr>
        <w:spacing w:after="212" w:line="259" w:lineRule="auto"/>
        <w:ind w:left="641" w:firstLine="0"/>
        <w:jc w:val="left"/>
      </w:pPr>
      <w:r>
        <w:rPr>
          <w:noProof/>
        </w:rPr>
        <w:lastRenderedPageBreak/>
        <w:drawing>
          <wp:inline distT="0" distB="0" distL="0" distR="0" wp14:anchorId="662FEB3F" wp14:editId="5760B304">
            <wp:extent cx="5778716" cy="2746794"/>
            <wp:effectExtent l="0" t="0" r="0" b="0"/>
            <wp:docPr id="461" name="Picture 461"/>
            <wp:cNvGraphicFramePr/>
            <a:graphic xmlns:a="http://schemas.openxmlformats.org/drawingml/2006/main">
              <a:graphicData uri="http://schemas.openxmlformats.org/drawingml/2006/picture">
                <pic:pic xmlns:pic="http://schemas.openxmlformats.org/drawingml/2006/picture">
                  <pic:nvPicPr>
                    <pic:cNvPr id="461" name="Picture 461"/>
                    <pic:cNvPicPr/>
                  </pic:nvPicPr>
                  <pic:blipFill>
                    <a:blip r:embed="rId19"/>
                    <a:stretch>
                      <a:fillRect/>
                    </a:stretch>
                  </pic:blipFill>
                  <pic:spPr>
                    <a:xfrm>
                      <a:off x="0" y="0"/>
                      <a:ext cx="5778716" cy="2746794"/>
                    </a:xfrm>
                    <a:prstGeom prst="rect">
                      <a:avLst/>
                    </a:prstGeom>
                  </pic:spPr>
                </pic:pic>
              </a:graphicData>
            </a:graphic>
          </wp:inline>
        </w:drawing>
      </w:r>
    </w:p>
    <w:p w14:paraId="63D6F985" w14:textId="77777777" w:rsidR="00F64F7F" w:rsidRDefault="0056380C">
      <w:pPr>
        <w:spacing w:line="256" w:lineRule="auto"/>
        <w:ind w:left="-15" w:right="176" w:firstLine="0"/>
      </w:pPr>
      <w:r>
        <w:rPr>
          <w:rFonts w:ascii="Calibri" w:eastAsia="Calibri" w:hAnsi="Calibri" w:cs="Calibri"/>
          <w:sz w:val="13"/>
        </w:rPr>
        <w:t xml:space="preserve">Fig. 1. </w:t>
      </w:r>
      <w:r>
        <w:rPr>
          <w:sz w:val="13"/>
        </w:rPr>
        <w:t>Simpli</w:t>
      </w:r>
      <w:r>
        <w:rPr>
          <w:rFonts w:ascii="Calibri" w:eastAsia="Calibri" w:hAnsi="Calibri" w:cs="Calibri"/>
          <w:sz w:val="13"/>
        </w:rPr>
        <w:t>fi</w:t>
      </w:r>
      <w:r>
        <w:rPr>
          <w:sz w:val="13"/>
        </w:rPr>
        <w:t>ed geological map of south</w:t>
      </w:r>
      <w:r>
        <w:rPr>
          <w:rFonts w:ascii="Calibri" w:eastAsia="Calibri" w:hAnsi="Calibri" w:cs="Calibri"/>
          <w:sz w:val="13"/>
        </w:rPr>
        <w:t>–</w:t>
      </w:r>
      <w:r>
        <w:rPr>
          <w:sz w:val="13"/>
        </w:rPr>
        <w:t>central Tibet. GCT = Great counter thrust, YZMT = Yarlung Zangbo mantle thrust, ZGT = Zhongba</w:t>
      </w:r>
      <w:r>
        <w:rPr>
          <w:rFonts w:ascii="Calibri" w:eastAsia="Calibri" w:hAnsi="Calibri" w:cs="Calibri"/>
          <w:sz w:val="13"/>
        </w:rPr>
        <w:t>–</w:t>
      </w:r>
      <w:r>
        <w:rPr>
          <w:sz w:val="13"/>
        </w:rPr>
        <w:t xml:space="preserve">Gyangze thrust, STDS = South Tibetan detachment system, THS = Tethys Himalaya sequence, GHS = Great Himalaya sequence. After </w:t>
      </w:r>
      <w:r>
        <w:rPr>
          <w:color w:val="422874"/>
          <w:sz w:val="13"/>
        </w:rPr>
        <w:t>Ding et al., 2005</w:t>
      </w:r>
      <w:r>
        <w:rPr>
          <w:sz w:val="13"/>
        </w:rPr>
        <w:t>.</w:t>
      </w:r>
    </w:p>
    <w:p w14:paraId="492F4300" w14:textId="77777777" w:rsidR="00F64F7F" w:rsidRDefault="0056380C">
      <w:pPr>
        <w:spacing w:after="213" w:line="259" w:lineRule="auto"/>
        <w:ind w:left="816" w:firstLine="0"/>
        <w:jc w:val="left"/>
      </w:pPr>
      <w:r>
        <w:rPr>
          <w:noProof/>
        </w:rPr>
        <w:drawing>
          <wp:inline distT="0" distB="0" distL="0" distR="0" wp14:anchorId="33C08635" wp14:editId="7BE96C5A">
            <wp:extent cx="5778716" cy="324360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20"/>
                    <a:stretch>
                      <a:fillRect/>
                    </a:stretch>
                  </pic:blipFill>
                  <pic:spPr>
                    <a:xfrm>
                      <a:off x="0" y="0"/>
                      <a:ext cx="5778716" cy="3243605"/>
                    </a:xfrm>
                    <a:prstGeom prst="rect">
                      <a:avLst/>
                    </a:prstGeom>
                  </pic:spPr>
                </pic:pic>
              </a:graphicData>
            </a:graphic>
          </wp:inline>
        </w:drawing>
      </w:r>
    </w:p>
    <w:p w14:paraId="352A2F1E" w14:textId="77777777" w:rsidR="00F64F7F" w:rsidRDefault="0056380C">
      <w:pPr>
        <w:spacing w:line="256" w:lineRule="auto"/>
        <w:ind w:firstLine="0"/>
      </w:pPr>
      <w:r>
        <w:rPr>
          <w:rFonts w:ascii="Calibri" w:eastAsia="Calibri" w:hAnsi="Calibri" w:cs="Calibri"/>
          <w:sz w:val="13"/>
        </w:rPr>
        <w:t xml:space="preserve">Fig. 2. </w:t>
      </w:r>
      <w:r>
        <w:rPr>
          <w:sz w:val="13"/>
        </w:rPr>
        <w:t>Simpli</w:t>
      </w:r>
      <w:r>
        <w:rPr>
          <w:rFonts w:ascii="Calibri" w:eastAsia="Calibri" w:hAnsi="Calibri" w:cs="Calibri"/>
          <w:sz w:val="13"/>
        </w:rPr>
        <w:t>fi</w:t>
      </w:r>
      <w:r>
        <w:rPr>
          <w:sz w:val="13"/>
        </w:rPr>
        <w:t>ed geologic map of south</w:t>
      </w:r>
      <w:r>
        <w:rPr>
          <w:rFonts w:ascii="Calibri" w:eastAsia="Calibri" w:hAnsi="Calibri" w:cs="Calibri"/>
          <w:sz w:val="13"/>
        </w:rPr>
        <w:t>–</w:t>
      </w:r>
      <w:r>
        <w:rPr>
          <w:sz w:val="13"/>
        </w:rPr>
        <w:t>central Tibet in the Xigaze area, modi</w:t>
      </w:r>
      <w:r>
        <w:rPr>
          <w:rFonts w:ascii="Calibri" w:eastAsia="Calibri" w:hAnsi="Calibri" w:cs="Calibri"/>
          <w:sz w:val="13"/>
        </w:rPr>
        <w:t>fi</w:t>
      </w:r>
      <w:r>
        <w:rPr>
          <w:sz w:val="13"/>
        </w:rPr>
        <w:t>ed after a 1:200,000 Gyangze geological map (</w:t>
      </w:r>
      <w:r>
        <w:rPr>
          <w:color w:val="422874"/>
          <w:sz w:val="13"/>
        </w:rPr>
        <w:t>Wan and Liu, 2005</w:t>
      </w:r>
      <w:r>
        <w:rPr>
          <w:sz w:val="13"/>
        </w:rPr>
        <w:t>) and 1:200,000 Xigaze geological map (</w:t>
      </w:r>
      <w:r>
        <w:rPr>
          <w:color w:val="422874"/>
          <w:sz w:val="13"/>
        </w:rPr>
        <w:t xml:space="preserve">Hu, 2003 </w:t>
      </w:r>
      <w:r>
        <w:rPr>
          <w:sz w:val="13"/>
        </w:rPr>
        <w:t>YZMT = Yarlung Zangbo mantle thrust, ZGT = Zhongba</w:t>
      </w:r>
      <w:r>
        <w:rPr>
          <w:rFonts w:ascii="Calibri" w:eastAsia="Calibri" w:hAnsi="Calibri" w:cs="Calibri"/>
          <w:sz w:val="13"/>
        </w:rPr>
        <w:t>–</w:t>
      </w:r>
      <w:r>
        <w:rPr>
          <w:sz w:val="13"/>
        </w:rPr>
        <w:t>Gyangze thrust. Star means sam</w:t>
      </w:r>
      <w:r>
        <w:rPr>
          <w:sz w:val="13"/>
        </w:rPr>
        <w:t>ple position, and T152 means sample number.</w:t>
      </w:r>
    </w:p>
    <w:p w14:paraId="2E5E5CC1" w14:textId="77777777" w:rsidR="00F64F7F" w:rsidRDefault="00F64F7F">
      <w:pPr>
        <w:sectPr w:rsidR="00F64F7F">
          <w:type w:val="continuous"/>
          <w:pgSz w:w="11906" w:h="15874"/>
          <w:pgMar w:top="1064" w:right="675" w:bottom="974" w:left="675" w:header="720" w:footer="720" w:gutter="0"/>
          <w:cols w:space="720"/>
        </w:sectPr>
      </w:pPr>
    </w:p>
    <w:p w14:paraId="75191D32" w14:textId="77777777" w:rsidR="00F64F7F" w:rsidRDefault="0056380C">
      <w:r>
        <w:t>The Chuangde Formation was deposited conformably on the Jiabula Formation and consists of 20</w:t>
      </w:r>
      <w:r>
        <w:rPr>
          <w:rFonts w:ascii="Calibri" w:eastAsia="Calibri" w:hAnsi="Calibri" w:cs="Calibri"/>
        </w:rPr>
        <w:t>–</w:t>
      </w:r>
      <w:r>
        <w:t>30 m of violet-red marine shale, thin-bedded pelagic marl, gravity transported limestone and radio-</w:t>
      </w:r>
    </w:p>
    <w:tbl>
      <w:tblPr>
        <w:tblStyle w:val="TableGrid"/>
        <w:tblpPr w:vertAnchor="text" w:horzAnchor="margin" w:tblpY="7250"/>
        <w:tblOverlap w:val="never"/>
        <w:tblW w:w="10382" w:type="dxa"/>
        <w:tblInd w:w="0" w:type="dxa"/>
        <w:tblCellMar>
          <w:top w:w="0" w:type="dxa"/>
          <w:left w:w="176" w:type="dxa"/>
          <w:bottom w:w="0" w:type="dxa"/>
          <w:right w:w="0" w:type="dxa"/>
        </w:tblCellMar>
        <w:tblLook w:val="04A0" w:firstRow="1" w:lastRow="0" w:firstColumn="1" w:lastColumn="0" w:noHBand="0" w:noVBand="1"/>
      </w:tblPr>
      <w:tblGrid>
        <w:gridCol w:w="10382"/>
      </w:tblGrid>
      <w:tr w:rsidR="00F64F7F" w14:paraId="593DED12" w14:textId="77777777">
        <w:trPr>
          <w:trHeight w:val="645"/>
        </w:trPr>
        <w:tc>
          <w:tcPr>
            <w:tcW w:w="10381" w:type="dxa"/>
            <w:tcBorders>
              <w:top w:val="nil"/>
              <w:left w:val="nil"/>
              <w:bottom w:val="nil"/>
              <w:right w:val="nil"/>
            </w:tcBorders>
            <w:vAlign w:val="bottom"/>
          </w:tcPr>
          <w:p w14:paraId="5F81F322" w14:textId="77777777" w:rsidR="00F64F7F" w:rsidRDefault="0056380C">
            <w:pPr>
              <w:spacing w:after="212" w:line="259" w:lineRule="auto"/>
              <w:ind w:left="1774" w:firstLine="0"/>
              <w:jc w:val="left"/>
            </w:pPr>
            <w:r>
              <w:rPr>
                <w:noProof/>
              </w:rPr>
              <w:lastRenderedPageBreak/>
              <w:drawing>
                <wp:inline distT="0" distB="0" distL="0" distR="0" wp14:anchorId="44EEB560" wp14:editId="14B1074F">
                  <wp:extent cx="4338193" cy="3888004"/>
                  <wp:effectExtent l="0" t="0" r="0" b="0"/>
                  <wp:docPr id="604" name="Picture 604"/>
                  <wp:cNvGraphicFramePr/>
                  <a:graphic xmlns:a="http://schemas.openxmlformats.org/drawingml/2006/main">
                    <a:graphicData uri="http://schemas.openxmlformats.org/drawingml/2006/picture">
                      <pic:pic xmlns:pic="http://schemas.openxmlformats.org/drawingml/2006/picture">
                        <pic:nvPicPr>
                          <pic:cNvPr id="604" name="Picture 604"/>
                          <pic:cNvPicPr/>
                        </pic:nvPicPr>
                        <pic:blipFill>
                          <a:blip r:embed="rId21"/>
                          <a:stretch>
                            <a:fillRect/>
                          </a:stretch>
                        </pic:blipFill>
                        <pic:spPr>
                          <a:xfrm>
                            <a:off x="0" y="0"/>
                            <a:ext cx="4338193" cy="3888004"/>
                          </a:xfrm>
                          <a:prstGeom prst="rect">
                            <a:avLst/>
                          </a:prstGeom>
                        </pic:spPr>
                      </pic:pic>
                    </a:graphicData>
                  </a:graphic>
                </wp:inline>
              </w:drawing>
            </w:r>
          </w:p>
          <w:p w14:paraId="175955D1" w14:textId="77777777" w:rsidR="00F64F7F" w:rsidRDefault="0056380C">
            <w:pPr>
              <w:spacing w:after="0" w:line="259" w:lineRule="auto"/>
              <w:ind w:left="0" w:right="-175" w:firstLine="0"/>
            </w:pPr>
            <w:r>
              <w:rPr>
                <w:rFonts w:ascii="Calibri" w:eastAsia="Calibri" w:hAnsi="Calibri" w:cs="Calibri"/>
                <w:sz w:val="13"/>
              </w:rPr>
              <w:t>F</w:t>
            </w:r>
            <w:r>
              <w:rPr>
                <w:rFonts w:ascii="Calibri" w:eastAsia="Calibri" w:hAnsi="Calibri" w:cs="Calibri"/>
                <w:sz w:val="13"/>
              </w:rPr>
              <w:t xml:space="preserve">ig. 3. </w:t>
            </w:r>
            <w:r>
              <w:rPr>
                <w:sz w:val="13"/>
              </w:rPr>
              <w:t>Measured stratigraphic column for upper Cretaceous sequences in the Gyangze area. The age peaks number in bold is the maximal deposition age of the sample. The age statistics are conducted by Age Pick Program of the University of Arizona (</w:t>
            </w:r>
            <w:hyperlink r:id="rId22">
              <w:r>
                <w:rPr>
                  <w:color w:val="422874"/>
                  <w:sz w:val="13"/>
                </w:rPr>
                <w:t>http://www.geo.arizona.edu/alc/Analysis%20Tools.htm</w:t>
              </w:r>
            </w:hyperlink>
            <w:r>
              <w:rPr>
                <w:sz w:val="13"/>
              </w:rPr>
              <w:t>.). Age sources are as follows: the Jiabula Formation (</w:t>
            </w:r>
            <w:r>
              <w:rPr>
                <w:color w:val="422874"/>
                <w:sz w:val="13"/>
              </w:rPr>
              <w:t>Li et al., 2005a, 2005b; Wang et al., 2005</w:t>
            </w:r>
            <w:r>
              <w:rPr>
                <w:sz w:val="13"/>
              </w:rPr>
              <w:t>), the Chuangde Formation (</w:t>
            </w:r>
            <w:r>
              <w:rPr>
                <w:color w:val="422874"/>
                <w:sz w:val="13"/>
              </w:rPr>
              <w:t>Li et al., 2</w:t>
            </w:r>
            <w:r>
              <w:rPr>
                <w:color w:val="422874"/>
                <w:sz w:val="13"/>
              </w:rPr>
              <w:t>011; Wan et al., 2005; Wang et al., 2005</w:t>
            </w:r>
            <w:r>
              <w:rPr>
                <w:sz w:val="13"/>
              </w:rPr>
              <w:t>), and the Zongzhuo Formation (</w:t>
            </w:r>
            <w:r>
              <w:rPr>
                <w:color w:val="422874"/>
                <w:sz w:val="13"/>
              </w:rPr>
              <w:t>Liu and Aitchison, 2002; Wang et al., 2005</w:t>
            </w:r>
            <w:r>
              <w:rPr>
                <w:sz w:val="13"/>
              </w:rPr>
              <w:t>).</w:t>
            </w:r>
          </w:p>
        </w:tc>
      </w:tr>
    </w:tbl>
    <w:p w14:paraId="37BCA395" w14:textId="77777777" w:rsidR="00F64F7F" w:rsidRDefault="0056380C">
      <w:pPr>
        <w:ind w:left="-15" w:firstLine="0"/>
      </w:pPr>
      <w:r>
        <w:t>larian chert (</w:t>
      </w:r>
      <w:r>
        <w:rPr>
          <w:color w:val="422874"/>
        </w:rPr>
        <w:t>Chen et al., 2011</w:t>
      </w:r>
      <w:r>
        <w:t>). Planktonic foraminifera and radiolaria indicate a Santonian to Masstrichtian age for the formation (</w:t>
      </w:r>
      <w:r>
        <w:rPr>
          <w:color w:val="422874"/>
        </w:rPr>
        <w:t>Li et</w:t>
      </w:r>
      <w:r>
        <w:rPr>
          <w:color w:val="422874"/>
        </w:rPr>
        <w:t xml:space="preserve"> al., 2011; Wan et al., 2005; Wang et al., 2005</w:t>
      </w:r>
      <w:r>
        <w:t>).</w:t>
      </w:r>
      <w:r>
        <w:br w:type="page"/>
      </w:r>
    </w:p>
    <w:p w14:paraId="5ADC4F03" w14:textId="77777777" w:rsidR="00F64F7F" w:rsidRDefault="0056380C">
      <w:pPr>
        <w:ind w:left="-15"/>
      </w:pPr>
      <w:r>
        <w:lastRenderedPageBreak/>
        <w:t>The Zongzhuo Formation sits conformably on the Chuangde Formation and is predominantly composed of 200</w:t>
      </w:r>
      <w:r>
        <w:rPr>
          <w:rFonts w:ascii="Calibri" w:eastAsia="Calibri" w:hAnsi="Calibri" w:cs="Calibri"/>
        </w:rPr>
        <w:t>–</w:t>
      </w:r>
      <w:r>
        <w:t xml:space="preserve">500 m of black shale and thin-bedded yellow-green sandstone enclosing various olistoliths of sandstone, </w:t>
      </w:r>
      <w:proofErr w:type="gramStart"/>
      <w:r>
        <w:t>limestone</w:t>
      </w:r>
      <w:proofErr w:type="gramEnd"/>
      <w:r>
        <w:t xml:space="preserve"> and chert (</w:t>
      </w:r>
      <w:r>
        <w:rPr>
          <w:color w:val="422874"/>
        </w:rPr>
        <w:t>Li et al., 2005a, 2005b; Wang et al., 2005</w:t>
      </w:r>
      <w:r>
        <w:t>). The age is Maastrichtian to late Paleocene (</w:t>
      </w:r>
      <w:r>
        <w:rPr>
          <w:color w:val="422874"/>
        </w:rPr>
        <w:t>Liu and</w:t>
      </w:r>
    </w:p>
    <w:p w14:paraId="50D015A8" w14:textId="77777777" w:rsidR="00F64F7F" w:rsidRDefault="0056380C">
      <w:pPr>
        <w:spacing w:after="196"/>
        <w:ind w:left="-15" w:firstLine="0"/>
      </w:pPr>
      <w:r>
        <w:rPr>
          <w:color w:val="422874"/>
        </w:rPr>
        <w:t>Aitchison, 2002; Wang et al., 2005</w:t>
      </w:r>
      <w:r>
        <w:t>). Detailed studies of the Zongzhuo Formation show that the sedimentary environment shifted from continental margin slope to a narrowing remnant and trench basin from south to north (</w:t>
      </w:r>
      <w:r>
        <w:rPr>
          <w:color w:val="422874"/>
        </w:rPr>
        <w:t>Liu and Einsele, 1996</w:t>
      </w:r>
      <w:r>
        <w:t>). We documented a succession of conglomerate that i</w:t>
      </w:r>
      <w:r>
        <w:t>s best exposed in a hundred-meterlong belt of outcrops along the south side of Zhongba</w:t>
      </w:r>
      <w:r>
        <w:rPr>
          <w:rFonts w:ascii="Calibri" w:eastAsia="Calibri" w:hAnsi="Calibri" w:cs="Calibri"/>
        </w:rPr>
        <w:t>–</w:t>
      </w:r>
      <w:r>
        <w:t>Gyangze thrust belt (</w:t>
      </w:r>
      <w:r>
        <w:rPr>
          <w:color w:val="422874"/>
        </w:rPr>
        <w:t>Fig. 2</w:t>
      </w:r>
      <w:r>
        <w:t>) and northeast of Rilang village in the form of a big lens (here referred to as the Rilang conglomerate). The Rilang conglomerate is 250 m th</w:t>
      </w:r>
      <w:r>
        <w:t xml:space="preserve">ick and consists of an upward-thinning and </w:t>
      </w:r>
      <w:r>
        <w:rPr>
          <w:rFonts w:ascii="Calibri" w:eastAsia="Calibri" w:hAnsi="Calibri" w:cs="Calibri"/>
        </w:rPr>
        <w:t>fi</w:t>
      </w:r>
      <w:r>
        <w:t xml:space="preserve">ning succession of matrix-supported cobble-boulder volcaniclastic conglomerate, medium to coarse sandstone, and black mudstone. The conglomerates are dominated compositionally by clasts of volcanic rocks (59%), </w:t>
      </w:r>
      <w:r>
        <w:t>limestone (19%), sandstone (9%), chert (9%) and diabase (4%). Sedimentary structures in the strata are characteristic of Bouma sequences with A</w:t>
      </w:r>
      <w:r>
        <w:rPr>
          <w:rFonts w:ascii="Calibri" w:eastAsia="Calibri" w:hAnsi="Calibri" w:cs="Calibri"/>
        </w:rPr>
        <w:t>–</w:t>
      </w:r>
      <w:r>
        <w:t>B</w:t>
      </w:r>
      <w:r>
        <w:rPr>
          <w:rFonts w:ascii="Calibri" w:eastAsia="Calibri" w:hAnsi="Calibri" w:cs="Calibri"/>
        </w:rPr>
        <w:t>–</w:t>
      </w:r>
      <w:r>
        <w:t>E divisions. The assemblage of lithofacies in this unit is interpreted to indicate the depositional environmen</w:t>
      </w:r>
      <w:r>
        <w:t>t of submarine fan (</w:t>
      </w:r>
      <w:r>
        <w:rPr>
          <w:color w:val="422874"/>
        </w:rPr>
        <w:t>Walker, 1978</w:t>
      </w:r>
      <w:r>
        <w:t>). The upper fan can be further divided into main culverts with coarse deposits and over</w:t>
      </w:r>
      <w:r>
        <w:rPr>
          <w:rFonts w:ascii="Calibri" w:eastAsia="Calibri" w:hAnsi="Calibri" w:cs="Calibri"/>
        </w:rPr>
        <w:t>fl</w:t>
      </w:r>
      <w:r>
        <w:t xml:space="preserve">ow between main culverts with </w:t>
      </w:r>
      <w:r>
        <w:rPr>
          <w:rFonts w:ascii="Calibri" w:eastAsia="Calibri" w:hAnsi="Calibri" w:cs="Calibri"/>
        </w:rPr>
        <w:t>fi</w:t>
      </w:r>
      <w:r>
        <w:t>ne sediments and mud. The middle and lower fans were missing. Measured paleocurrents from long-axis-tr</w:t>
      </w:r>
      <w:r>
        <w:t>ansverse imbrications of pebbles show a southwest paleo</w:t>
      </w:r>
      <w:r>
        <w:rPr>
          <w:rFonts w:ascii="Calibri" w:eastAsia="Calibri" w:hAnsi="Calibri" w:cs="Calibri"/>
        </w:rPr>
        <w:t>fl</w:t>
      </w:r>
      <w:r>
        <w:t>ow direction.</w:t>
      </w:r>
    </w:p>
    <w:p w14:paraId="59DBB9A1" w14:textId="77777777" w:rsidR="00F64F7F" w:rsidRDefault="0056380C">
      <w:pPr>
        <w:pStyle w:val="1"/>
        <w:ind w:left="-5"/>
      </w:pPr>
      <w:r>
        <w:t>4. Methods</w:t>
      </w:r>
    </w:p>
    <w:p w14:paraId="5D6D2908" w14:textId="77777777" w:rsidR="00F64F7F" w:rsidRDefault="0056380C">
      <w:pPr>
        <w:pStyle w:val="2"/>
        <w:ind w:left="-5"/>
      </w:pPr>
      <w:r>
        <w:t>4.1. U</w:t>
      </w:r>
      <w:r>
        <w:rPr>
          <w:rFonts w:ascii="Calibri" w:eastAsia="Calibri" w:hAnsi="Calibri" w:cs="Calibri"/>
        </w:rPr>
        <w:t>–</w:t>
      </w:r>
      <w:r>
        <w:t>Pb detrital zircon geochronology</w:t>
      </w:r>
    </w:p>
    <w:p w14:paraId="3FCC060D" w14:textId="77777777" w:rsidR="00F64F7F" w:rsidRDefault="0056380C">
      <w:pPr>
        <w:ind w:left="-15"/>
      </w:pPr>
      <w:r>
        <w:t>U</w:t>
      </w:r>
      <w:r>
        <w:rPr>
          <w:rFonts w:ascii="Calibri" w:eastAsia="Calibri" w:hAnsi="Calibri" w:cs="Calibri"/>
        </w:rPr>
        <w:t>–</w:t>
      </w:r>
      <w:r>
        <w:t>Pb detrital zircon geochronology was conducted by laser-ablationmulticollector inductively coupled-plasma-mass spectrometry at the N</w:t>
      </w:r>
      <w:r>
        <w:t>orthwest University in Xi'an, China (for samples T98 and T152) and Institute of Tibetan Plateau Research, Chinese Academy of Sciences (for samples T113, T04, and T07). More detailed analytical procedures and con</w:t>
      </w:r>
      <w:r>
        <w:rPr>
          <w:rFonts w:ascii="Calibri" w:eastAsia="Calibri" w:hAnsi="Calibri" w:cs="Calibri"/>
        </w:rPr>
        <w:t>fi</w:t>
      </w:r>
      <w:r>
        <w:t>guration of the LA-ICP-MS have been describ</w:t>
      </w:r>
      <w:r>
        <w:t xml:space="preserve">ed in </w:t>
      </w:r>
      <w:r>
        <w:rPr>
          <w:color w:val="422874"/>
        </w:rPr>
        <w:t>Wu et al. (2007)</w:t>
      </w:r>
      <w:r>
        <w:t>.</w:t>
      </w:r>
    </w:p>
    <w:p w14:paraId="1110FB04" w14:textId="77777777" w:rsidR="00F64F7F" w:rsidRDefault="0056380C">
      <w:pPr>
        <w:spacing w:after="204"/>
        <w:ind w:left="-15"/>
      </w:pPr>
      <w:r>
        <w:t>70</w:t>
      </w:r>
      <w:r>
        <w:rPr>
          <w:rFonts w:ascii="Calibri" w:eastAsia="Calibri" w:hAnsi="Calibri" w:cs="Calibri"/>
        </w:rPr>
        <w:t>–</w:t>
      </w:r>
      <w:r>
        <w:t xml:space="preserve">80 individual zircon grainswere randomly selected and analyzed from each sample. The ages reported in the text are </w:t>
      </w:r>
      <w:r>
        <w:rPr>
          <w:vertAlign w:val="superscript"/>
        </w:rPr>
        <w:t>206</w:t>
      </w:r>
      <w:r>
        <w:t>Pb/</w:t>
      </w:r>
      <w:r>
        <w:rPr>
          <w:vertAlign w:val="superscript"/>
        </w:rPr>
        <w:t>238</w:t>
      </w:r>
      <w:r>
        <w:t xml:space="preserve">U ages for grains less than ~1000 Ma and </w:t>
      </w:r>
      <w:r>
        <w:rPr>
          <w:vertAlign w:val="superscript"/>
        </w:rPr>
        <w:t>207</w:t>
      </w:r>
      <w:r>
        <w:t>Pb/</w:t>
      </w:r>
      <w:r>
        <w:rPr>
          <w:vertAlign w:val="superscript"/>
        </w:rPr>
        <w:t>206</w:t>
      </w:r>
      <w:r>
        <w:t xml:space="preserve">Pb ages for grains with ages </w:t>
      </w:r>
      <w:r>
        <w:rPr>
          <w:rFonts w:ascii="Calibri" w:eastAsia="Calibri" w:hAnsi="Calibri" w:cs="Calibri"/>
        </w:rPr>
        <w:t>N</w:t>
      </w:r>
      <w:r>
        <w:t xml:space="preserve">1000 Ma. Those ages with </w:t>
      </w:r>
      <w:r>
        <w:rPr>
          <w:rFonts w:ascii="Calibri" w:eastAsia="Calibri" w:hAnsi="Calibri" w:cs="Calibri"/>
        </w:rPr>
        <w:t>N</w:t>
      </w:r>
      <w:r>
        <w:t>10% uncertainly (</w:t>
      </w:r>
      <w:r>
        <w:rPr>
          <w:vertAlign w:val="superscript"/>
        </w:rPr>
        <w:t>206</w:t>
      </w:r>
      <w:r>
        <w:t>Pb/</w:t>
      </w:r>
      <w:r>
        <w:rPr>
          <w:vertAlign w:val="superscript"/>
        </w:rPr>
        <w:t>238</w:t>
      </w:r>
      <w:r>
        <w:t>U) or more than 20% discordance or 5% reverse discordance were discarded from interpretation. Concordia diagrams and age-probability plots are displayed using the programs of Ludwig (2003). All U</w:t>
      </w:r>
      <w:r>
        <w:rPr>
          <w:rFonts w:ascii="Calibri" w:eastAsia="Calibri" w:hAnsi="Calibri" w:cs="Calibri"/>
        </w:rPr>
        <w:t>–</w:t>
      </w:r>
      <w:r>
        <w:t>Pb</w:t>
      </w:r>
      <w:r>
        <w:rPr>
          <w:rFonts w:ascii="Calibri" w:eastAsia="Calibri" w:hAnsi="Calibri" w:cs="Calibri"/>
        </w:rPr>
        <w:t>–</w:t>
      </w:r>
      <w:r>
        <w:t>Hf data obtained in this study are listed in Table B in auxiliary material.</w:t>
      </w:r>
    </w:p>
    <w:p w14:paraId="537A7735" w14:textId="77777777" w:rsidR="00F64F7F" w:rsidRDefault="0056380C">
      <w:pPr>
        <w:pStyle w:val="2"/>
        <w:ind w:left="-5"/>
      </w:pPr>
      <w:r>
        <w:t>4.2. Detrital zircon Hf isotope analysis</w:t>
      </w:r>
    </w:p>
    <w:p w14:paraId="1C3C1348" w14:textId="77777777" w:rsidR="00F64F7F" w:rsidRDefault="0056380C">
      <w:pPr>
        <w:spacing w:after="283"/>
        <w:ind w:left="-15"/>
      </w:pPr>
      <w:r>
        <w:t>Zircon Hf isotopic measurements were obtained using a Neptune MC-LA-ICP-MS at the Institute of Geology and Geophysics, Chinese Academy of S</w:t>
      </w:r>
      <w:r>
        <w:t xml:space="preserve">ciences. This machine is a double focusing multicollector inductively coupled-plasma-mass spectrometry and has the capability of high mass resolution measurements in multiple collector modes. Zircon standard 91500 was used for </w:t>
      </w:r>
      <w:r>
        <w:t>external correction. More det</w:t>
      </w:r>
      <w:r>
        <w:t>ailed analytical procedures and con</w:t>
      </w:r>
      <w:r>
        <w:rPr>
          <w:rFonts w:ascii="Calibri" w:eastAsia="Calibri" w:hAnsi="Calibri" w:cs="Calibri"/>
        </w:rPr>
        <w:t>fi</w:t>
      </w:r>
      <w:r>
        <w:t xml:space="preserve">guration of the MC-LA-ICP-MS have been described in </w:t>
      </w:r>
      <w:r>
        <w:rPr>
          <w:color w:val="422874"/>
        </w:rPr>
        <w:t>Wu et al. (2007)</w:t>
      </w:r>
      <w:r>
        <w:t>.</w:t>
      </w:r>
    </w:p>
    <w:p w14:paraId="47BC81A1" w14:textId="77777777" w:rsidR="00F64F7F" w:rsidRDefault="0056380C">
      <w:pPr>
        <w:pStyle w:val="2"/>
        <w:ind w:left="-5"/>
      </w:pPr>
      <w:r>
        <w:t>4.3. Whole rock Nd isotope analyses</w:t>
      </w:r>
    </w:p>
    <w:p w14:paraId="25C5DA7A" w14:textId="77777777" w:rsidR="00F64F7F" w:rsidRDefault="0056380C">
      <w:pPr>
        <w:spacing w:after="274"/>
        <w:ind w:left="-15" w:right="176"/>
      </w:pPr>
      <w:r>
        <w:t>Rb</w:t>
      </w:r>
      <w:r>
        <w:rPr>
          <w:rFonts w:ascii="Calibri" w:eastAsia="Calibri" w:hAnsi="Calibri" w:cs="Calibri"/>
        </w:rPr>
        <w:t>–</w:t>
      </w:r>
      <w:r>
        <w:t>Sr andSm</w:t>
      </w:r>
      <w:r>
        <w:rPr>
          <w:rFonts w:ascii="Calibri" w:eastAsia="Calibri" w:hAnsi="Calibri" w:cs="Calibri"/>
        </w:rPr>
        <w:t>–</w:t>
      </w:r>
      <w:r>
        <w:t>Nd isotopic analyses wereconducted onaVG354 mass spectrometer at the Institute of Geology and Geophys</w:t>
      </w:r>
      <w:r>
        <w:t>ics, Chinese Academy of Sciences. Whole-rock powders were dissolved in a Te</w:t>
      </w:r>
      <w:r>
        <w:rPr>
          <w:rFonts w:ascii="Calibri" w:eastAsia="Calibri" w:hAnsi="Calibri" w:cs="Calibri"/>
        </w:rPr>
        <w:t>fl</w:t>
      </w:r>
      <w:r>
        <w:t xml:space="preserve">on beaker after being spiked with </w:t>
      </w:r>
      <w:r>
        <w:rPr>
          <w:vertAlign w:val="superscript"/>
        </w:rPr>
        <w:t>84</w:t>
      </w:r>
      <w:r>
        <w:t xml:space="preserve">Sr, </w:t>
      </w:r>
      <w:r>
        <w:rPr>
          <w:vertAlign w:val="superscript"/>
        </w:rPr>
        <w:t>87</w:t>
      </w:r>
      <w:r>
        <w:t xml:space="preserve">Rb, </w:t>
      </w:r>
      <w:r>
        <w:rPr>
          <w:vertAlign w:val="superscript"/>
        </w:rPr>
        <w:t>150</w:t>
      </w:r>
      <w:r>
        <w:t xml:space="preserve">Nd and </w:t>
      </w:r>
      <w:r>
        <w:rPr>
          <w:vertAlign w:val="superscript"/>
        </w:rPr>
        <w:t>147</w:t>
      </w:r>
      <w:r>
        <w:t>Sm tracers prior to HF+HNO</w:t>
      </w:r>
      <w:r>
        <w:rPr>
          <w:vertAlign w:val="subscript"/>
        </w:rPr>
        <w:t xml:space="preserve">3 </w:t>
      </w:r>
      <w:r>
        <w:t>(with a ratio of 2:1) dissolution. Rb, Sr, Sm and Nd were separated by AG50WX8 (H</w:t>
      </w:r>
      <w:r>
        <w:rPr>
          <w:vertAlign w:val="superscript"/>
        </w:rPr>
        <w:t>+</w:t>
      </w:r>
      <w:r>
        <w:t>) exchange</w:t>
      </w:r>
      <w:r>
        <w:t xml:space="preserve">able ion poles. Procedural blanks were </w:t>
      </w:r>
      <w:r>
        <w:rPr>
          <w:rFonts w:ascii="Calibri" w:eastAsia="Calibri" w:hAnsi="Calibri" w:cs="Calibri"/>
        </w:rPr>
        <w:t>b</w:t>
      </w:r>
      <w:r>
        <w:t xml:space="preserve">100 pg for Sm and Nd and </w:t>
      </w:r>
      <w:r>
        <w:rPr>
          <w:rFonts w:ascii="Calibri" w:eastAsia="Calibri" w:hAnsi="Calibri" w:cs="Calibri"/>
        </w:rPr>
        <w:t>b</w:t>
      </w:r>
      <w:r>
        <w:t xml:space="preserve">500 pg for Rb and Sr. Isotope fractionation was corrected by normalization to </w:t>
      </w:r>
      <w:r>
        <w:rPr>
          <w:vertAlign w:val="superscript"/>
        </w:rPr>
        <w:t>146</w:t>
      </w:r>
      <w:r>
        <w:t>Nd/</w:t>
      </w:r>
      <w:r>
        <w:rPr>
          <w:vertAlign w:val="superscript"/>
        </w:rPr>
        <w:t>144</w:t>
      </w:r>
      <w:r>
        <w:t xml:space="preserve">Nd=0.7219, and </w:t>
      </w:r>
      <w:r>
        <w:rPr>
          <w:vertAlign w:val="superscript"/>
        </w:rPr>
        <w:t>87</w:t>
      </w:r>
      <w:r>
        <w:t>Sr/</w:t>
      </w:r>
      <w:r>
        <w:rPr>
          <w:vertAlign w:val="superscript"/>
        </w:rPr>
        <w:t>86</w:t>
      </w:r>
      <w:r>
        <w:t xml:space="preserve">Sr ratios normalized to </w:t>
      </w:r>
      <w:r>
        <w:rPr>
          <w:vertAlign w:val="superscript"/>
        </w:rPr>
        <w:t>86</w:t>
      </w:r>
      <w:r>
        <w:t>Sr/</w:t>
      </w:r>
      <w:r>
        <w:rPr>
          <w:vertAlign w:val="superscript"/>
        </w:rPr>
        <w:t>88</w:t>
      </w:r>
      <w:r>
        <w:t xml:space="preserve">Sr=0.1194. Typical within-run precision (2 </w:t>
      </w:r>
      <w:r>
        <w:rPr>
          <w:rFonts w:ascii="Calibri" w:eastAsia="Calibri" w:hAnsi="Calibri" w:cs="Calibri"/>
        </w:rPr>
        <w:t>σ</w:t>
      </w:r>
      <w:r>
        <w:t xml:space="preserve">) for </w:t>
      </w:r>
      <w:r>
        <w:t xml:space="preserve">Sr and Nd was estimated to be ±0.00002 and ± 0.000015, respectively. Analytical details are described by </w:t>
      </w:r>
      <w:r>
        <w:rPr>
          <w:color w:val="422874"/>
        </w:rPr>
        <w:t>Ding et al. (2003)</w:t>
      </w:r>
      <w:r>
        <w:t>. Sr and Nd isotopic analyses are presented in Table C in the auxiliary material.</w:t>
      </w:r>
    </w:p>
    <w:p w14:paraId="325B3DC2" w14:textId="77777777" w:rsidR="00F64F7F" w:rsidRDefault="0056380C">
      <w:pPr>
        <w:pStyle w:val="2"/>
        <w:ind w:left="-5"/>
      </w:pPr>
      <w:r>
        <w:t>4.4. Electronic microprobe analyses</w:t>
      </w:r>
    </w:p>
    <w:p w14:paraId="715D013B" w14:textId="77777777" w:rsidR="00F64F7F" w:rsidRDefault="0056380C">
      <w:pPr>
        <w:spacing w:after="275"/>
        <w:ind w:left="-15" w:right="176"/>
      </w:pPr>
      <w:r>
        <w:t>Compositions of</w:t>
      </w:r>
      <w:r>
        <w:t xml:space="preserve"> spinels were determined using a CAMECA SX51 electron microprobe at the Institute of Geology and Geophysics, Chinese Academy of Sciences. The accelerating voltage was 21 kV, the sample current was 10 nA, and the beam diameter was 1 </w:t>
      </w:r>
      <w:r>
        <w:rPr>
          <w:rFonts w:ascii="Calibri" w:eastAsia="Calibri" w:hAnsi="Calibri" w:cs="Calibri"/>
        </w:rPr>
        <w:t>μ</w:t>
      </w:r>
      <w:r>
        <w:t>m. Spinels were separat</w:t>
      </w:r>
      <w:r>
        <w:t>ed from sandstones of the Zongzhuo Formation and the Rilang conglomerate.</w:t>
      </w:r>
    </w:p>
    <w:p w14:paraId="180538C2" w14:textId="77777777" w:rsidR="00F64F7F" w:rsidRDefault="0056380C">
      <w:pPr>
        <w:pStyle w:val="1"/>
        <w:ind w:left="-5"/>
      </w:pPr>
      <w:r>
        <w:t>5. Results</w:t>
      </w:r>
    </w:p>
    <w:p w14:paraId="1B5F3BED" w14:textId="77777777" w:rsidR="00F64F7F" w:rsidRDefault="0056380C">
      <w:pPr>
        <w:pStyle w:val="2"/>
        <w:ind w:left="-5"/>
      </w:pPr>
      <w:r>
        <w:t>5.1. Sandstone petrology</w:t>
      </w:r>
    </w:p>
    <w:p w14:paraId="2F8AB795" w14:textId="77777777" w:rsidR="00F64F7F" w:rsidRDefault="0056380C">
      <w:pPr>
        <w:ind w:left="-15" w:right="176"/>
      </w:pPr>
      <w:r>
        <w:t xml:space="preserve">The sandstone petrographic analyses are displayed as ternary plots in </w:t>
      </w:r>
      <w:r>
        <w:rPr>
          <w:color w:val="422874"/>
        </w:rPr>
        <w:t xml:space="preserve">Fig. 4 </w:t>
      </w:r>
      <w:r>
        <w:t>and presented in Table A in the auxiliary material. For consistency a</w:t>
      </w:r>
      <w:r>
        <w:t>nd accuracy, 300 points were counted for each sample using the Gazzi</w:t>
      </w:r>
      <w:r>
        <w:rPr>
          <w:rFonts w:ascii="Calibri" w:eastAsia="Calibri" w:hAnsi="Calibri" w:cs="Calibri"/>
        </w:rPr>
        <w:t>–</w:t>
      </w:r>
      <w:r>
        <w:t>Dickinson method (</w:t>
      </w:r>
      <w:r>
        <w:rPr>
          <w:color w:val="422874"/>
        </w:rPr>
        <w:t>Dickinson and Suczek, 1979; Ingersoll et al., 1984; Zuffa, 1980</w:t>
      </w:r>
      <w:r>
        <w:t>).</w:t>
      </w:r>
    </w:p>
    <w:tbl>
      <w:tblPr>
        <w:tblStyle w:val="TableGrid"/>
        <w:tblpPr w:vertAnchor="text" w:horzAnchor="margin" w:tblpY="4663"/>
        <w:tblOverlap w:val="never"/>
        <w:tblW w:w="10382" w:type="dxa"/>
        <w:tblInd w:w="0" w:type="dxa"/>
        <w:tblCellMar>
          <w:top w:w="0" w:type="dxa"/>
          <w:left w:w="0" w:type="dxa"/>
          <w:bottom w:w="0" w:type="dxa"/>
          <w:right w:w="174" w:type="dxa"/>
        </w:tblCellMar>
        <w:tblLook w:val="04A0" w:firstRow="1" w:lastRow="0" w:firstColumn="1" w:lastColumn="0" w:noHBand="0" w:noVBand="1"/>
      </w:tblPr>
      <w:tblGrid>
        <w:gridCol w:w="10382"/>
      </w:tblGrid>
      <w:tr w:rsidR="00F64F7F" w14:paraId="31D97280" w14:textId="77777777">
        <w:trPr>
          <w:trHeight w:val="302"/>
        </w:trPr>
        <w:tc>
          <w:tcPr>
            <w:tcW w:w="10383" w:type="dxa"/>
            <w:tcBorders>
              <w:top w:val="nil"/>
              <w:left w:val="nil"/>
              <w:bottom w:val="nil"/>
              <w:right w:val="nil"/>
            </w:tcBorders>
            <w:vAlign w:val="bottom"/>
          </w:tcPr>
          <w:p w14:paraId="77B1A9B7" w14:textId="77777777" w:rsidR="00F64F7F" w:rsidRDefault="0056380C">
            <w:pPr>
              <w:spacing w:after="212" w:line="259" w:lineRule="auto"/>
              <w:ind w:left="1740" w:firstLine="0"/>
              <w:jc w:val="left"/>
            </w:pPr>
            <w:r>
              <w:rPr>
                <w:noProof/>
              </w:rPr>
              <w:drawing>
                <wp:inline distT="0" distB="0" distL="0" distR="0" wp14:anchorId="66721699" wp14:editId="41D9CE90">
                  <wp:extent cx="4159822" cy="1596238"/>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23"/>
                          <a:stretch>
                            <a:fillRect/>
                          </a:stretch>
                        </pic:blipFill>
                        <pic:spPr>
                          <a:xfrm>
                            <a:off x="0" y="0"/>
                            <a:ext cx="4159822" cy="1596238"/>
                          </a:xfrm>
                          <a:prstGeom prst="rect">
                            <a:avLst/>
                          </a:prstGeom>
                        </pic:spPr>
                      </pic:pic>
                    </a:graphicData>
                  </a:graphic>
                </wp:inline>
              </w:drawing>
            </w:r>
          </w:p>
          <w:p w14:paraId="75C8C278" w14:textId="77777777" w:rsidR="00F64F7F" w:rsidRDefault="0056380C">
            <w:pPr>
              <w:spacing w:after="0" w:line="259" w:lineRule="auto"/>
              <w:ind w:left="-176" w:firstLine="0"/>
            </w:pPr>
            <w:r>
              <w:rPr>
                <w:rFonts w:ascii="Calibri" w:eastAsia="Calibri" w:hAnsi="Calibri" w:cs="Calibri"/>
                <w:sz w:val="13"/>
              </w:rPr>
              <w:t xml:space="preserve">Fig. 4. </w:t>
            </w:r>
            <w:r>
              <w:rPr>
                <w:sz w:val="13"/>
              </w:rPr>
              <w:t>Petrography of the Jiabula Formation, the Zongzhuo Formation and the Rilang conglomerate plotted on standard QpLvLs, QtFL, and QmFLt diagrams (</w:t>
            </w:r>
            <w:r>
              <w:rPr>
                <w:color w:val="422874"/>
                <w:sz w:val="13"/>
              </w:rPr>
              <w:t>Dickinson, 1985</w:t>
            </w:r>
            <w:r>
              <w:rPr>
                <w:sz w:val="13"/>
              </w:rPr>
              <w:t xml:space="preserve">). F = feldspar, L = lithic, Lt = total lithics, Ls = sedimentary lithics, Lv = volcanic lithics, </w:t>
            </w:r>
            <w:r>
              <w:rPr>
                <w:sz w:val="13"/>
              </w:rPr>
              <w:t>Qm = monocrystalline quartz, Qp = polycrystalline quartz, Qt = total quartz.</w:t>
            </w:r>
          </w:p>
        </w:tc>
      </w:tr>
    </w:tbl>
    <w:p w14:paraId="7E0A6A8B" w14:textId="77777777" w:rsidR="00F64F7F" w:rsidRDefault="0056380C">
      <w:pPr>
        <w:ind w:left="-15" w:right="177"/>
      </w:pPr>
      <w:r>
        <w:t>In sandstones of the Jiabula Formation, well-sorted, subrounded to subangular quartz (83%) dominates over lithic fragments (6%) and feldspar (11%). Quartz grains are mostly monoc</w:t>
      </w:r>
      <w:r>
        <w:t xml:space="preserve">rystalline and do not show considerable undulosity. Sedimentary lithic fragments (4%) include sandstone and shale. Volcanic lithic fragments (2%) are negligible in this formation. No metamorphic detritus was observed. Accessory minerals </w:t>
      </w:r>
      <w:proofErr w:type="gramStart"/>
      <w:r>
        <w:t>includezircon,pyrit</w:t>
      </w:r>
      <w:r>
        <w:t>e</w:t>
      </w:r>
      <w:proofErr w:type="gramEnd"/>
      <w:r>
        <w:t>,ilmeniteandrutile.NoCr</w:t>
      </w:r>
      <w:r>
        <w:rPr>
          <w:rFonts w:ascii="Calibri" w:eastAsia="Calibri" w:hAnsi="Calibri" w:cs="Calibri"/>
        </w:rPr>
        <w:t>–</w:t>
      </w:r>
      <w:r>
        <w:t>spinelwasfound.In</w:t>
      </w:r>
      <w:r>
        <w:rPr>
          <w:color w:val="422874"/>
        </w:rPr>
        <w:t>Fig.4</w:t>
      </w:r>
      <w:r>
        <w:t xml:space="preserve">, the quartz-rich, lithic-poor Jiabula sandstones plot at the boundary of the </w:t>
      </w:r>
      <w:r>
        <w:t>continental block and recycled orogen provinces on the QtFL diagram and in the continental block province on the QmFLt diagram.</w:t>
      </w:r>
    </w:p>
    <w:p w14:paraId="70A652B9" w14:textId="77777777" w:rsidR="00F64F7F" w:rsidRDefault="0056380C">
      <w:r>
        <w:t xml:space="preserve">Sandstones in the Zongzhuo Formation are dominated by quartz grains (monocrystalline and polycrystalline) and lithic fragments, </w:t>
      </w:r>
      <w:r>
        <w:t xml:space="preserve">often poorly sorted with angular to subangular shapes. Quartz is mainly monocrystalline (50%) and shows undulose extinction. Polycrystalline quartz is all chert (6%). </w:t>
      </w:r>
      <w:r>
        <w:lastRenderedPageBreak/>
        <w:t>Feldspar (9%) is a minor phase and shows twinning. Lithic fragments are abundant and cons</w:t>
      </w:r>
      <w:r>
        <w:t xml:space="preserve">titute approximately 35% of total framework grains which are mainly volcanic fragments (28% of total grains). Textures indicate that volcanic fragments are commonly intermediate in composition and consist of plagioclase phenocrysts in a </w:t>
      </w:r>
      <w:r>
        <w:rPr>
          <w:rFonts w:ascii="Calibri" w:eastAsia="Calibri" w:hAnsi="Calibri" w:cs="Calibri"/>
        </w:rPr>
        <w:t>fi</w:t>
      </w:r>
      <w:r>
        <w:t>ne-grained or aph</w:t>
      </w:r>
      <w:r>
        <w:t xml:space="preserve">anitic groundmass. Sedimentary lithics (3%) consist of sandstone and shale. Metamorphic lithics (4%) are schists. Accessory minerals include limonite, zircon, tourmaline, </w:t>
      </w:r>
      <w:proofErr w:type="gramStart"/>
      <w:r>
        <w:t>rutile</w:t>
      </w:r>
      <w:proofErr w:type="gramEnd"/>
      <w:r>
        <w:t xml:space="preserve"> and Cr</w:t>
      </w:r>
      <w:r>
        <w:rPr>
          <w:rFonts w:ascii="Calibri" w:eastAsia="Calibri" w:hAnsi="Calibri" w:cs="Calibri"/>
        </w:rPr>
        <w:t>–</w:t>
      </w:r>
      <w:r>
        <w:t xml:space="preserve">spinel. The relatively quartz-poor and lithic-rich Zongzhuo sandstones </w:t>
      </w:r>
      <w:r>
        <w:t xml:space="preserve">plot in the recycled orogenic provenance </w:t>
      </w:r>
      <w:r>
        <w:rPr>
          <w:rFonts w:ascii="Calibri" w:eastAsia="Calibri" w:hAnsi="Calibri" w:cs="Calibri"/>
        </w:rPr>
        <w:t>fi</w:t>
      </w:r>
      <w:r>
        <w:t>eld (</w:t>
      </w:r>
      <w:r>
        <w:rPr>
          <w:color w:val="422874"/>
        </w:rPr>
        <w:t>Fig. 4</w:t>
      </w:r>
      <w:r>
        <w:t>).</w:t>
      </w:r>
    </w:p>
    <w:p w14:paraId="37C089B4" w14:textId="77777777" w:rsidR="00F64F7F" w:rsidRDefault="0056380C">
      <w:pPr>
        <w:spacing w:after="202"/>
      </w:pPr>
      <w:r>
        <w:t xml:space="preserve">Sandstones in the Riling conglomerate are dominated by feldspar (41%) and lithic fragments (35%), often poorly sorted with angular to subangular shapes. Quartz mainly occurs as polycrystalline chert </w:t>
      </w:r>
      <w:r>
        <w:t>(6</w:t>
      </w:r>
      <w:r>
        <w:rPr>
          <w:rFonts w:ascii="Calibri" w:eastAsia="Calibri" w:hAnsi="Calibri" w:cs="Calibri"/>
        </w:rPr>
        <w:t xml:space="preserve">– </w:t>
      </w:r>
      <w:r>
        <w:t xml:space="preserve">21%). Monocrystalline quartz is minor, and shows uniform extinction, suggestive of a volcanic origin. Volcanic lithic fragments are abundant and consist of mainly intermediate volcanic rock fragments </w:t>
      </w:r>
      <w:proofErr w:type="gramStart"/>
      <w:r>
        <w:t>similar to</w:t>
      </w:r>
      <w:proofErr w:type="gramEnd"/>
      <w:r>
        <w:t xml:space="preserve"> those in the Zongzhuo Formation. Accessor</w:t>
      </w:r>
      <w:r>
        <w:t>y minerals include epidote, limonite, zircon, and Cr</w:t>
      </w:r>
      <w:r>
        <w:rPr>
          <w:rFonts w:ascii="Calibri" w:eastAsia="Calibri" w:hAnsi="Calibri" w:cs="Calibri"/>
        </w:rPr>
        <w:t>–</w:t>
      </w:r>
      <w:r>
        <w:t>spinel. The relatively quartz-poor, lithic-</w:t>
      </w:r>
      <w:proofErr w:type="gramStart"/>
      <w:r>
        <w:t>rich</w:t>
      </w:r>
      <w:proofErr w:type="gramEnd"/>
      <w:r>
        <w:t xml:space="preserve"> and feldspar-rich Rilang sandstones plot in the magmatic arc provenance </w:t>
      </w:r>
      <w:r>
        <w:rPr>
          <w:rFonts w:ascii="Calibri" w:eastAsia="Calibri" w:hAnsi="Calibri" w:cs="Calibri"/>
        </w:rPr>
        <w:t>fi</w:t>
      </w:r>
      <w:r>
        <w:t>led (</w:t>
      </w:r>
      <w:r>
        <w:rPr>
          <w:color w:val="422874"/>
        </w:rPr>
        <w:t>Fig. 4</w:t>
      </w:r>
      <w:r>
        <w:t>).</w:t>
      </w:r>
    </w:p>
    <w:p w14:paraId="706F9A06" w14:textId="77777777" w:rsidR="00F64F7F" w:rsidRDefault="0056380C">
      <w:pPr>
        <w:pStyle w:val="2"/>
        <w:ind w:left="186"/>
      </w:pPr>
      <w:r>
        <w:t>5.2. U</w:t>
      </w:r>
      <w:r>
        <w:rPr>
          <w:rFonts w:ascii="Calibri" w:eastAsia="Calibri" w:hAnsi="Calibri" w:cs="Calibri"/>
        </w:rPr>
        <w:t>–</w:t>
      </w:r>
      <w:r>
        <w:t>Pb</w:t>
      </w:r>
      <w:r>
        <w:rPr>
          <w:rFonts w:ascii="Calibri" w:eastAsia="Calibri" w:hAnsi="Calibri" w:cs="Calibri"/>
        </w:rPr>
        <w:t>–</w:t>
      </w:r>
      <w:r>
        <w:t>Hf detrital zircon results</w:t>
      </w:r>
    </w:p>
    <w:p w14:paraId="0474DE01" w14:textId="77777777" w:rsidR="00F64F7F" w:rsidRDefault="0056380C">
      <w:r>
        <w:t>Samples T113 and T04 were coll</w:t>
      </w:r>
      <w:r>
        <w:t>ected from the upper part of the Jiabula Formation (</w:t>
      </w:r>
      <w:r>
        <w:rPr>
          <w:color w:val="422874"/>
        </w:rPr>
        <w:t>Fig. 3</w:t>
      </w:r>
      <w:r>
        <w:t>). Zircon crystals are mainly rounded to subrounded and yielded Th/U ratios of 0.11</w:t>
      </w:r>
      <w:r>
        <w:rPr>
          <w:rFonts w:ascii="Calibri" w:eastAsia="Calibri" w:hAnsi="Calibri" w:cs="Calibri"/>
        </w:rPr>
        <w:t>–</w:t>
      </w:r>
      <w:r>
        <w:t>2.6. 140 analyses yield 132 usable ages (</w:t>
      </w:r>
      <w:r>
        <w:rPr>
          <w:color w:val="422874"/>
        </w:rPr>
        <w:t>Fig. 5</w:t>
      </w:r>
      <w:r>
        <w:t>). The age spectra of these two samples show a major peak at 500 Ma</w:t>
      </w:r>
      <w:r>
        <w:t>, a small population at 1000 Ma, and some ages scattered between 3257 Ma and 1290 Ma (</w:t>
      </w:r>
      <w:r>
        <w:rPr>
          <w:color w:val="422874"/>
        </w:rPr>
        <w:t>Figs. 5 and 6</w:t>
      </w:r>
      <w:r>
        <w:t>).</w:t>
      </w:r>
    </w:p>
    <w:p w14:paraId="12758FBA" w14:textId="77777777" w:rsidR="00F64F7F" w:rsidRDefault="0056380C">
      <w:r>
        <w:t>Sample 152 was collected from the lower part of the Zongzhuo Formation which is just 10 m above the red limestone of the Chuangde Formation (</w:t>
      </w:r>
      <w:r>
        <w:rPr>
          <w:color w:val="422874"/>
        </w:rPr>
        <w:t>Fig. 3</w:t>
      </w:r>
      <w:r>
        <w:t>). Zirc</w:t>
      </w:r>
      <w:r>
        <w:t>on crystals are euhedral and yielded Th/U ratios of 0.18</w:t>
      </w:r>
      <w:r>
        <w:rPr>
          <w:rFonts w:ascii="Calibri" w:eastAsia="Calibri" w:hAnsi="Calibri" w:cs="Calibri"/>
        </w:rPr>
        <w:t>–</w:t>
      </w:r>
      <w:r>
        <w:t>1.88. 80 and analyses yield 76 usable ages (</w:t>
      </w:r>
      <w:r>
        <w:rPr>
          <w:color w:val="422874"/>
        </w:rPr>
        <w:t>Fig. 5</w:t>
      </w:r>
      <w:r>
        <w:t>). The minimum zircon age is 90 Ma. The largest detrital zircon age population lies within the 169</w:t>
      </w:r>
      <w:r>
        <w:rPr>
          <w:rFonts w:ascii="Calibri" w:eastAsia="Calibri" w:hAnsi="Calibri" w:cs="Calibri"/>
        </w:rPr>
        <w:t>–</w:t>
      </w:r>
      <w:r>
        <w:t xml:space="preserve">73 Ma range. There are smaller populations in the </w:t>
      </w:r>
      <w:r>
        <w:t>ranges of 796</w:t>
      </w:r>
      <w:r>
        <w:rPr>
          <w:rFonts w:ascii="Calibri" w:eastAsia="Calibri" w:hAnsi="Calibri" w:cs="Calibri"/>
        </w:rPr>
        <w:t xml:space="preserve">– </w:t>
      </w:r>
      <w:r>
        <w:t>517 Ma, 1288</w:t>
      </w:r>
      <w:r>
        <w:rPr>
          <w:rFonts w:ascii="Calibri" w:eastAsia="Calibri" w:hAnsi="Calibri" w:cs="Calibri"/>
        </w:rPr>
        <w:t>–</w:t>
      </w:r>
      <w:r>
        <w:t>911 Ma, and 1836</w:t>
      </w:r>
      <w:r>
        <w:rPr>
          <w:rFonts w:ascii="Calibri" w:eastAsia="Calibri" w:hAnsi="Calibri" w:cs="Calibri"/>
        </w:rPr>
        <w:t>–</w:t>
      </w:r>
      <w:r>
        <w:t>1412 Ma, and some scattered ages between 2753 and 2537 Ma (</w:t>
      </w:r>
      <w:r>
        <w:rPr>
          <w:color w:val="422874"/>
        </w:rPr>
        <w:t>Fig. 6</w:t>
      </w:r>
      <w:r>
        <w:t>). 28 detrital zircons from this sample were also analyzed for Hf isotopic compositions (</w:t>
      </w:r>
      <w:r>
        <w:rPr>
          <w:color w:val="422874"/>
        </w:rPr>
        <w:t>Fig. 7</w:t>
      </w:r>
      <w:r>
        <w:t xml:space="preserve">). Most of the Mesozoic zircons display high </w:t>
      </w:r>
      <w:r>
        <w:rPr>
          <w:vertAlign w:val="superscript"/>
        </w:rPr>
        <w:t>176</w:t>
      </w:r>
      <w:r>
        <w:t>Hf/</w:t>
      </w:r>
      <w:r>
        <w:rPr>
          <w:vertAlign w:val="superscript"/>
        </w:rPr>
        <w:t>177</w:t>
      </w:r>
      <w:r>
        <w:t>Hf isotopic ratios of 0.282826</w:t>
      </w:r>
      <w:r>
        <w:rPr>
          <w:rFonts w:ascii="Calibri" w:eastAsia="Calibri" w:hAnsi="Calibri" w:cs="Calibri"/>
        </w:rPr>
        <w:t xml:space="preserve">– </w:t>
      </w:r>
      <w:r>
        <w:t xml:space="preserve">0.283072 that yield positive </w:t>
      </w:r>
      <w:r>
        <w:rPr>
          <w:rFonts w:ascii="Calibri" w:eastAsia="Calibri" w:hAnsi="Calibri" w:cs="Calibri"/>
        </w:rPr>
        <w:t>ε</w:t>
      </w:r>
      <w:r>
        <w:t>Hf</w:t>
      </w:r>
      <w:r>
        <w:rPr>
          <w:vertAlign w:val="subscript"/>
        </w:rPr>
        <w:t xml:space="preserve">(t) </w:t>
      </w:r>
      <w:r>
        <w:t>values of +5.0</w:t>
      </w:r>
      <w:r>
        <w:rPr>
          <w:rFonts w:ascii="Calibri" w:eastAsia="Calibri" w:hAnsi="Calibri" w:cs="Calibri"/>
        </w:rPr>
        <w:t>–</w:t>
      </w:r>
      <w:r>
        <w:t>+13.0 and two-stage Hf model ages of 695</w:t>
      </w:r>
      <w:r>
        <w:rPr>
          <w:rFonts w:ascii="Calibri" w:eastAsia="Calibri" w:hAnsi="Calibri" w:cs="Calibri"/>
        </w:rPr>
        <w:t>–</w:t>
      </w:r>
      <w:r>
        <w:t xml:space="preserve">437 Ma. Most pre-Mesozoic zircons have low </w:t>
      </w:r>
      <w:r>
        <w:rPr>
          <w:vertAlign w:val="superscript"/>
        </w:rPr>
        <w:t>176</w:t>
      </w:r>
      <w:r>
        <w:t xml:space="preserve">Hf/ </w:t>
      </w:r>
      <w:r>
        <w:rPr>
          <w:sz w:val="11"/>
        </w:rPr>
        <w:t>177</w:t>
      </w:r>
      <w:r>
        <w:t>Hf isotopic ratios of 0.281101</w:t>
      </w:r>
      <w:r>
        <w:rPr>
          <w:rFonts w:ascii="Calibri" w:eastAsia="Calibri" w:hAnsi="Calibri" w:cs="Calibri"/>
        </w:rPr>
        <w:t>–</w:t>
      </w:r>
      <w:r>
        <w:t xml:space="preserve">0.282364 that yield </w:t>
      </w:r>
      <w:r>
        <w:rPr>
          <w:rFonts w:ascii="Calibri" w:eastAsia="Calibri" w:hAnsi="Calibri" w:cs="Calibri"/>
        </w:rPr>
        <w:t>ε</w:t>
      </w:r>
      <w:r>
        <w:t>Hf</w:t>
      </w:r>
      <w:r>
        <w:rPr>
          <w:sz w:val="11"/>
        </w:rPr>
        <w:t xml:space="preserve">(t) </w:t>
      </w:r>
      <w:r>
        <w:t xml:space="preserve">values of </w:t>
      </w:r>
      <w:r>
        <w:rPr>
          <w:rFonts w:ascii="Calibri" w:eastAsia="Calibri" w:hAnsi="Calibri" w:cs="Calibri"/>
        </w:rPr>
        <w:t>−</w:t>
      </w:r>
      <w:r>
        <w:t>11.7~+8</w:t>
      </w:r>
      <w:r>
        <w:t>.4 and two-stage Hf model age of 3671</w:t>
      </w:r>
      <w:r>
        <w:rPr>
          <w:rFonts w:ascii="Calibri" w:eastAsia="Calibri" w:hAnsi="Calibri" w:cs="Calibri"/>
        </w:rPr>
        <w:t>–</w:t>
      </w:r>
      <w:r>
        <w:t>1671 Ma. Sample T07 was collected from the upper part of Zongzhuo Formation, just 5 m below the Rilang conglomerate (</w:t>
      </w:r>
      <w:r>
        <w:rPr>
          <w:color w:val="422874"/>
        </w:rPr>
        <w:t>Fig. 3</w:t>
      </w:r>
      <w:r>
        <w:t>). Zircon crystals are euhedral and yielded Th/U ratios of 0.28</w:t>
      </w:r>
      <w:r>
        <w:rPr>
          <w:rFonts w:ascii="Calibri" w:eastAsia="Calibri" w:hAnsi="Calibri" w:cs="Calibri"/>
        </w:rPr>
        <w:t>–</w:t>
      </w:r>
      <w:r>
        <w:t>2.35. 70 and analyses yield 64 usable ages (</w:t>
      </w:r>
      <w:r>
        <w:rPr>
          <w:color w:val="422874"/>
        </w:rPr>
        <w:t>Fig. 5</w:t>
      </w:r>
      <w:r>
        <w:t>). The minimum zircon age is ~93 Ma. The largest detrital zircon age population is at 100 Ma, there are some scattered ages at 1060 Ma, 1090 Ma, and 3044 Ma (</w:t>
      </w:r>
      <w:r>
        <w:rPr>
          <w:color w:val="422874"/>
        </w:rPr>
        <w:t>Fig. 6</w:t>
      </w:r>
      <w:r>
        <w:t>).</w:t>
      </w:r>
    </w:p>
    <w:p w14:paraId="4317915C" w14:textId="77777777" w:rsidR="00F64F7F" w:rsidRDefault="0056380C">
      <w:pPr>
        <w:spacing w:after="200"/>
        <w:ind w:left="-15"/>
      </w:pPr>
      <w:r>
        <w:t xml:space="preserve">Sample 98 was collected from the lower </w:t>
      </w:r>
      <w:r>
        <w:t>part of Rilang conglomerate (</w:t>
      </w:r>
      <w:r>
        <w:rPr>
          <w:color w:val="422874"/>
        </w:rPr>
        <w:t>Fig. 3</w:t>
      </w:r>
      <w:r>
        <w:t>). Zircon crystals are euhedral and yielded Th/U ratios of 0.15</w:t>
      </w:r>
      <w:r>
        <w:rPr>
          <w:rFonts w:ascii="Calibri" w:eastAsia="Calibri" w:hAnsi="Calibri" w:cs="Calibri"/>
        </w:rPr>
        <w:t>–</w:t>
      </w:r>
      <w:r>
        <w:t>1.49. 80 and analyses yield 62 usable ages (</w:t>
      </w:r>
      <w:r>
        <w:rPr>
          <w:color w:val="422874"/>
        </w:rPr>
        <w:t>Fig. 5</w:t>
      </w:r>
      <w:r>
        <w:t>). The youngest zircon age cluster is at 90 Ma. The largest detrital zircon age population is within the ra</w:t>
      </w:r>
      <w:r>
        <w:t>nge of 146</w:t>
      </w:r>
      <w:r>
        <w:rPr>
          <w:rFonts w:ascii="Calibri" w:eastAsia="Calibri" w:hAnsi="Calibri" w:cs="Calibri"/>
        </w:rPr>
        <w:t>–</w:t>
      </w:r>
      <w:r>
        <w:t>90 Ma. There are also some scattered ages at 172 Ma, 178 Ma and 1087 Ma (</w:t>
      </w:r>
      <w:r>
        <w:rPr>
          <w:color w:val="422874"/>
        </w:rPr>
        <w:t>Fig. 6</w:t>
      </w:r>
      <w:r>
        <w:t>). 17 detrital zircons from this sample were also analyzed for Hf isotopic compositions (</w:t>
      </w:r>
      <w:r>
        <w:rPr>
          <w:color w:val="422874"/>
        </w:rPr>
        <w:t>Fig. 7</w:t>
      </w:r>
      <w:r>
        <w:t xml:space="preserve">). All Mesozoic zircons display high </w:t>
      </w:r>
      <w:r>
        <w:rPr>
          <w:vertAlign w:val="superscript"/>
        </w:rPr>
        <w:t>176</w:t>
      </w:r>
      <w:r>
        <w:t>Hf/</w:t>
      </w:r>
      <w:r>
        <w:rPr>
          <w:vertAlign w:val="superscript"/>
        </w:rPr>
        <w:t>177</w:t>
      </w:r>
      <w:r>
        <w:t>Hf isotopic ratios of 0.2</w:t>
      </w:r>
      <w:r>
        <w:t>82929</w:t>
      </w:r>
      <w:r>
        <w:rPr>
          <w:rFonts w:ascii="Calibri" w:eastAsia="Calibri" w:hAnsi="Calibri" w:cs="Calibri"/>
        </w:rPr>
        <w:t>–</w:t>
      </w:r>
      <w:r>
        <w:t xml:space="preserve">0.283159 that yield positive </w:t>
      </w:r>
      <w:r>
        <w:rPr>
          <w:rFonts w:ascii="Calibri" w:eastAsia="Calibri" w:hAnsi="Calibri" w:cs="Calibri"/>
        </w:rPr>
        <w:t>ε</w:t>
      </w:r>
      <w:r>
        <w:t>Hf</w:t>
      </w:r>
      <w:r>
        <w:rPr>
          <w:vertAlign w:val="subscript"/>
        </w:rPr>
        <w:t xml:space="preserve">(t) </w:t>
      </w:r>
      <w:r>
        <w:t>values of +9.7</w:t>
      </w:r>
      <w:r>
        <w:rPr>
          <w:rFonts w:ascii="Calibri" w:eastAsia="Calibri" w:hAnsi="Calibri" w:cs="Calibri"/>
        </w:rPr>
        <w:t>–</w:t>
      </w:r>
      <w:r>
        <w:t>+16.7 and two-stage Hf model ages of 756</w:t>
      </w:r>
      <w:r>
        <w:rPr>
          <w:rFonts w:ascii="Calibri" w:eastAsia="Calibri" w:hAnsi="Calibri" w:cs="Calibri"/>
        </w:rPr>
        <w:t>–</w:t>
      </w:r>
      <w:r>
        <w:t>116 Ma.</w:t>
      </w:r>
    </w:p>
    <w:p w14:paraId="7A305880" w14:textId="77777777" w:rsidR="00F64F7F" w:rsidRDefault="0056380C">
      <w:pPr>
        <w:pStyle w:val="2"/>
        <w:ind w:left="-5"/>
      </w:pPr>
      <w:r>
        <w:t>5.3. Sm</w:t>
      </w:r>
      <w:r>
        <w:rPr>
          <w:rFonts w:ascii="Calibri" w:eastAsia="Calibri" w:hAnsi="Calibri" w:cs="Calibri"/>
        </w:rPr>
        <w:t>–</w:t>
      </w:r>
      <w:r>
        <w:t>Nd bulk rock data</w:t>
      </w:r>
    </w:p>
    <w:p w14:paraId="2BC01DCA" w14:textId="77777777" w:rsidR="00F64F7F" w:rsidRDefault="0056380C">
      <w:pPr>
        <w:spacing w:after="203"/>
        <w:ind w:left="-15"/>
      </w:pPr>
      <w:r>
        <w:t>Sr and Nd isotopic ratios were not age-corrected. Sandstone of the ZongzhuoFormationyield</w:t>
      </w:r>
      <w:r>
        <w:rPr>
          <w:vertAlign w:val="superscript"/>
        </w:rPr>
        <w:t>87</w:t>
      </w:r>
      <w:r>
        <w:t>Sr/</w:t>
      </w:r>
      <w:r>
        <w:rPr>
          <w:vertAlign w:val="superscript"/>
        </w:rPr>
        <w:t>86</w:t>
      </w:r>
      <w:r>
        <w:t>Sr=0.715098,</w:t>
      </w:r>
      <w:r>
        <w:rPr>
          <w:vertAlign w:val="superscript"/>
        </w:rPr>
        <w:t>143</w:t>
      </w:r>
      <w:r>
        <w:t>Nd/</w:t>
      </w:r>
      <w:r>
        <w:rPr>
          <w:vertAlign w:val="superscript"/>
        </w:rPr>
        <w:t>144</w:t>
      </w:r>
      <w:r>
        <w:t>Nd=0.51</w:t>
      </w:r>
      <w:r>
        <w:t xml:space="preserve">2111, </w:t>
      </w:r>
      <w:r>
        <w:rPr>
          <w:rFonts w:ascii="Calibri" w:eastAsia="Calibri" w:hAnsi="Calibri" w:cs="Calibri"/>
        </w:rPr>
        <w:t>ε</w:t>
      </w:r>
      <w:proofErr w:type="gramStart"/>
      <w:r>
        <w:t>Nd(</w:t>
      </w:r>
      <w:proofErr w:type="gramEnd"/>
      <w:r>
        <w:t>0)=</w:t>
      </w:r>
      <w:r>
        <w:rPr>
          <w:rFonts w:ascii="Calibri" w:eastAsia="Calibri" w:hAnsi="Calibri" w:cs="Calibri"/>
        </w:rPr>
        <w:t>−</w:t>
      </w:r>
      <w:r>
        <w:t>10.27, and T</w:t>
      </w:r>
      <w:r>
        <w:rPr>
          <w:vertAlign w:val="subscript"/>
        </w:rPr>
        <w:t>DM</w:t>
      </w:r>
      <w:r>
        <w:t xml:space="preserve">=1.59 Ga. Sandstone of the Rilang conglomerate has </w:t>
      </w:r>
      <w:r>
        <w:rPr>
          <w:vertAlign w:val="superscript"/>
        </w:rPr>
        <w:t>87</w:t>
      </w:r>
      <w:r>
        <w:t>Sr/</w:t>
      </w:r>
      <w:r>
        <w:rPr>
          <w:vertAlign w:val="superscript"/>
        </w:rPr>
        <w:t>86</w:t>
      </w:r>
      <w:r>
        <w:t xml:space="preserve">Sr=0.706065, </w:t>
      </w:r>
      <w:r>
        <w:rPr>
          <w:vertAlign w:val="superscript"/>
        </w:rPr>
        <w:t>143</w:t>
      </w:r>
      <w:r>
        <w:t>Nd/</w:t>
      </w:r>
      <w:r>
        <w:rPr>
          <w:vertAlign w:val="superscript"/>
        </w:rPr>
        <w:t>144</w:t>
      </w:r>
      <w:r>
        <w:t xml:space="preserve">Nd=0.512736, </w:t>
      </w:r>
      <w:r>
        <w:rPr>
          <w:rFonts w:ascii="Calibri" w:eastAsia="Calibri" w:hAnsi="Calibri" w:cs="Calibri"/>
        </w:rPr>
        <w:t>ε</w:t>
      </w:r>
      <w:r>
        <w:t>Nd</w:t>
      </w:r>
      <w:r>
        <w:rPr>
          <w:vertAlign w:val="subscript"/>
        </w:rPr>
        <w:t>(0)</w:t>
      </w:r>
      <w:r>
        <w:t>=1.92, and T</w:t>
      </w:r>
      <w:r>
        <w:rPr>
          <w:vertAlign w:val="subscript"/>
        </w:rPr>
        <w:t>DM</w:t>
      </w:r>
      <w:r>
        <w:t>=0.79 Ga. The isotopic character of Rilang conglomerate is more isotopically juvenile than that of the Zongzhuo For</w:t>
      </w:r>
      <w:r>
        <w:t>mation.</w:t>
      </w:r>
    </w:p>
    <w:p w14:paraId="04438875" w14:textId="77777777" w:rsidR="00F64F7F" w:rsidRDefault="0056380C">
      <w:pPr>
        <w:pStyle w:val="2"/>
        <w:ind w:left="-5"/>
      </w:pPr>
      <w:r>
        <w:t>5.4. Chromium</w:t>
      </w:r>
      <w:r>
        <w:rPr>
          <w:rFonts w:ascii="Calibri" w:eastAsia="Calibri" w:hAnsi="Calibri" w:cs="Calibri"/>
        </w:rPr>
        <w:t>–</w:t>
      </w:r>
      <w:r>
        <w:t>spinel compositions</w:t>
      </w:r>
    </w:p>
    <w:tbl>
      <w:tblPr>
        <w:tblStyle w:val="TableGrid"/>
        <w:tblpPr w:vertAnchor="text" w:horzAnchor="margin" w:tblpY="5879"/>
        <w:tblOverlap w:val="never"/>
        <w:tblW w:w="10382" w:type="dxa"/>
        <w:tblInd w:w="0" w:type="dxa"/>
        <w:tblCellMar>
          <w:top w:w="0" w:type="dxa"/>
          <w:left w:w="1094" w:type="dxa"/>
          <w:bottom w:w="4" w:type="dxa"/>
          <w:right w:w="743" w:type="dxa"/>
        </w:tblCellMar>
        <w:tblLook w:val="04A0" w:firstRow="1" w:lastRow="0" w:firstColumn="1" w:lastColumn="0" w:noHBand="0" w:noVBand="1"/>
      </w:tblPr>
      <w:tblGrid>
        <w:gridCol w:w="10382"/>
      </w:tblGrid>
      <w:tr w:rsidR="00F64F7F" w14:paraId="238236BE" w14:textId="77777777">
        <w:trPr>
          <w:trHeight w:val="135"/>
        </w:trPr>
        <w:tc>
          <w:tcPr>
            <w:tcW w:w="8545" w:type="dxa"/>
            <w:tcBorders>
              <w:top w:val="nil"/>
              <w:left w:val="nil"/>
              <w:bottom w:val="nil"/>
              <w:right w:val="nil"/>
            </w:tcBorders>
            <w:vAlign w:val="bottom"/>
          </w:tcPr>
          <w:p w14:paraId="2DD69B37" w14:textId="77777777" w:rsidR="00F64F7F" w:rsidRDefault="0056380C">
            <w:pPr>
              <w:spacing w:after="213" w:line="259" w:lineRule="auto"/>
              <w:ind w:left="1150" w:firstLine="0"/>
              <w:jc w:val="left"/>
            </w:pPr>
            <w:r>
              <w:rPr>
                <w:noProof/>
              </w:rPr>
              <w:drawing>
                <wp:inline distT="0" distB="0" distL="0" distR="0" wp14:anchorId="5BD64221" wp14:editId="45B3C155">
                  <wp:extent cx="3967976" cy="3084475"/>
                  <wp:effectExtent l="0" t="0" r="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24"/>
                          <a:stretch>
                            <a:fillRect/>
                          </a:stretch>
                        </pic:blipFill>
                        <pic:spPr>
                          <a:xfrm>
                            <a:off x="0" y="0"/>
                            <a:ext cx="3967976" cy="3084475"/>
                          </a:xfrm>
                          <a:prstGeom prst="rect">
                            <a:avLst/>
                          </a:prstGeom>
                        </pic:spPr>
                      </pic:pic>
                    </a:graphicData>
                  </a:graphic>
                </wp:inline>
              </w:drawing>
            </w:r>
          </w:p>
          <w:p w14:paraId="1D0D54FD" w14:textId="77777777" w:rsidR="00F64F7F" w:rsidRDefault="0056380C">
            <w:pPr>
              <w:spacing w:after="0" w:line="259" w:lineRule="auto"/>
              <w:ind w:left="0" w:firstLine="0"/>
            </w:pPr>
            <w:r>
              <w:rPr>
                <w:rFonts w:ascii="Calibri" w:eastAsia="Calibri" w:hAnsi="Calibri" w:cs="Calibri"/>
                <w:sz w:val="13"/>
              </w:rPr>
              <w:t xml:space="preserve">Fig. 5. </w:t>
            </w:r>
            <w:r>
              <w:rPr>
                <w:sz w:val="13"/>
              </w:rPr>
              <w:t>U</w:t>
            </w:r>
            <w:r>
              <w:rPr>
                <w:rFonts w:ascii="Calibri" w:eastAsia="Calibri" w:hAnsi="Calibri" w:cs="Calibri"/>
                <w:sz w:val="13"/>
              </w:rPr>
              <w:t>–</w:t>
            </w:r>
            <w:r>
              <w:rPr>
                <w:sz w:val="13"/>
              </w:rPr>
              <w:t>Pb concordia diagrams of zircon grains. Samples were collected from late Cretaceous strata of the Tethys Himalaya, in the Gyangze area.</w:t>
            </w:r>
          </w:p>
        </w:tc>
      </w:tr>
    </w:tbl>
    <w:p w14:paraId="557ADFC7" w14:textId="77777777" w:rsidR="00F64F7F" w:rsidRDefault="0056380C">
      <w:pPr>
        <w:spacing w:after="279"/>
        <w:ind w:left="-15"/>
      </w:pPr>
      <w:r>
        <w:t>Cr</w:t>
      </w:r>
      <w:r>
        <w:rPr>
          <w:rFonts w:ascii="Calibri" w:eastAsia="Calibri" w:hAnsi="Calibri" w:cs="Calibri"/>
        </w:rPr>
        <w:t>–</w:t>
      </w:r>
      <w:r>
        <w:t xml:space="preserve">spinel data were present in </w:t>
      </w:r>
      <w:r>
        <w:rPr>
          <w:color w:val="422874"/>
        </w:rPr>
        <w:t>Cai et al. 2008</w:t>
      </w:r>
      <w:r>
        <w:t>. We cited and made further discussion in this text. Chromium</w:t>
      </w:r>
      <w:r>
        <w:rPr>
          <w:rFonts w:ascii="Calibri" w:eastAsia="Calibri" w:hAnsi="Calibri" w:cs="Calibri"/>
        </w:rPr>
        <w:t>–</w:t>
      </w:r>
      <w:r>
        <w:t>spinel compositions of the Zongzhuo Formation are characterized by low TiO</w:t>
      </w:r>
      <w:r>
        <w:rPr>
          <w:vertAlign w:val="subscript"/>
        </w:rPr>
        <w:t xml:space="preserve">2 </w:t>
      </w:r>
      <w:r>
        <w:t xml:space="preserve">(generally </w:t>
      </w:r>
      <w:r>
        <w:rPr>
          <w:rFonts w:ascii="Calibri" w:eastAsia="Calibri" w:hAnsi="Calibri" w:cs="Calibri"/>
        </w:rPr>
        <w:t>b</w:t>
      </w:r>
      <w:r>
        <w:t>0.1%) and a Cr number mainly between 70 and 80. Detrital chromium</w:t>
      </w:r>
      <w:r>
        <w:rPr>
          <w:rFonts w:ascii="Calibri" w:eastAsia="Calibri" w:hAnsi="Calibri" w:cs="Calibri"/>
        </w:rPr>
        <w:t>–</w:t>
      </w:r>
      <w:r>
        <w:t>spinels from sample T98 of the Rilang co</w:t>
      </w:r>
      <w:r>
        <w:t>nglomerate have high TiO</w:t>
      </w:r>
      <w:r>
        <w:rPr>
          <w:vertAlign w:val="subscript"/>
        </w:rPr>
        <w:t xml:space="preserve">2 </w:t>
      </w:r>
      <w:r>
        <w:t xml:space="preserve">(generally </w:t>
      </w:r>
      <w:r>
        <w:rPr>
          <w:rFonts w:ascii="Calibri" w:eastAsia="Calibri" w:hAnsi="Calibri" w:cs="Calibri"/>
        </w:rPr>
        <w:t>N</w:t>
      </w:r>
      <w:r>
        <w:t>0.2%) and a Cr number mainly between 70 and 85; other spinels in the Rilang conglomerate sandstones are characterized by low TiO</w:t>
      </w:r>
      <w:r>
        <w:rPr>
          <w:vertAlign w:val="subscript"/>
        </w:rPr>
        <w:t xml:space="preserve">2 </w:t>
      </w:r>
      <w:r>
        <w:t xml:space="preserve">(generally </w:t>
      </w:r>
      <w:r>
        <w:rPr>
          <w:rFonts w:ascii="Calibri" w:eastAsia="Calibri" w:hAnsi="Calibri" w:cs="Calibri"/>
        </w:rPr>
        <w:t>b</w:t>
      </w:r>
      <w:r>
        <w:t xml:space="preserve">0.2%) and a Cr number mainly between 60 and 90 which are similar with those </w:t>
      </w:r>
      <w:r>
        <w:t>of the Zongzhuo Formation.</w:t>
      </w:r>
    </w:p>
    <w:p w14:paraId="65E7BD71" w14:textId="77777777" w:rsidR="00F64F7F" w:rsidRDefault="0056380C">
      <w:pPr>
        <w:pStyle w:val="1"/>
        <w:ind w:left="-5"/>
      </w:pPr>
      <w:r>
        <w:lastRenderedPageBreak/>
        <w:t>6. Discussion</w:t>
      </w:r>
    </w:p>
    <w:p w14:paraId="065B8453" w14:textId="77777777" w:rsidR="00F64F7F" w:rsidRDefault="0056380C">
      <w:pPr>
        <w:pStyle w:val="2"/>
        <w:ind w:left="-5"/>
      </w:pPr>
      <w:r>
        <w:t>6.1. Zircon provenance</w:t>
      </w:r>
    </w:p>
    <w:p w14:paraId="7FF029AF" w14:textId="77777777" w:rsidR="00F64F7F" w:rsidRDefault="0056380C">
      <w:pPr>
        <w:pStyle w:val="3"/>
        <w:spacing w:after="10"/>
        <w:ind w:left="-5"/>
      </w:pPr>
      <w:r>
        <w:t>6.1.1. Review of geochronological data from different terranes</w:t>
      </w:r>
    </w:p>
    <w:p w14:paraId="3B7C0DFE" w14:textId="77777777" w:rsidR="00F64F7F" w:rsidRDefault="0056380C">
      <w:pPr>
        <w:ind w:left="-15"/>
      </w:pPr>
      <w:r>
        <w:t>In order to discriminate provenances of the upper Cretaceous strata of the northern Tethys Himalaya in Gyangze, southern Tibet, w</w:t>
      </w:r>
      <w:r>
        <w:t>e review the published U</w:t>
      </w:r>
      <w:r>
        <w:rPr>
          <w:rFonts w:ascii="Calibri" w:eastAsia="Calibri" w:hAnsi="Calibri" w:cs="Calibri"/>
        </w:rPr>
        <w:t>–</w:t>
      </w:r>
      <w:r>
        <w:t>Pb geochronologic zircon data from the Indian craton, the Lesser Himalaya, the Higher Himalaya, the Tethys Himalaya, the Yarlung Zangbo suture zone and the Lhasa terrane (</w:t>
      </w:r>
      <w:r>
        <w:rPr>
          <w:color w:val="422874"/>
        </w:rPr>
        <w:t>Fig. 6</w:t>
      </w:r>
      <w:r>
        <w:t>).</w:t>
      </w:r>
    </w:p>
    <w:p w14:paraId="2131A703" w14:textId="77777777" w:rsidR="00F64F7F" w:rsidRDefault="0056380C">
      <w:pPr>
        <w:ind w:left="-15"/>
      </w:pPr>
      <w:r>
        <w:t>Indian craton detrital zircons are characteristic o</w:t>
      </w:r>
      <w:r>
        <w:t>f ages between Archean and Proterozoic (</w:t>
      </w:r>
      <w:r>
        <w:rPr>
          <w:color w:val="422874"/>
        </w:rPr>
        <w:t xml:space="preserve">DeCelles et al., 2004 </w:t>
      </w:r>
      <w:r>
        <w:t>and references therein). The Lesser Himalayan detrital zircons have age population peaks at 1850 Ma and 2500 Ma (</w:t>
      </w:r>
      <w:r>
        <w:rPr>
          <w:color w:val="422874"/>
        </w:rPr>
        <w:t>Richards et al., 2005</w:t>
      </w:r>
      <w:r>
        <w:t>). The Higher Himalayan detrital zircon ages are broadly clu</w:t>
      </w:r>
      <w:r>
        <w:t>stered about 1100 Ma, with lesser peaks at 500 Ma, 1700</w:t>
      </w:r>
      <w:r>
        <w:rPr>
          <w:rFonts w:ascii="Calibri" w:eastAsia="Calibri" w:hAnsi="Calibri" w:cs="Calibri"/>
        </w:rPr>
        <w:t>–</w:t>
      </w:r>
      <w:r>
        <w:t>1500 Ma, and 2500 Ma (</w:t>
      </w:r>
      <w:r>
        <w:rPr>
          <w:color w:val="422874"/>
        </w:rPr>
        <w:t>DeCelles et al., 2000; Gehrels et al., 2003, 2006; Martin et al., 2005; Parrish and Hodges, 1996; Richards et al., 2005</w:t>
      </w:r>
      <w:r>
        <w:t>).</w:t>
      </w:r>
    </w:p>
    <w:p w14:paraId="08E0DA7C" w14:textId="77777777" w:rsidR="00F64F7F" w:rsidRDefault="0056380C">
      <w:pPr>
        <w:ind w:left="-15"/>
      </w:pPr>
      <w:r>
        <w:t xml:space="preserve">The Tethys Himalaya has age patterns </w:t>
      </w:r>
      <w:proofErr w:type="gramStart"/>
      <w:r>
        <w:t>similar to</w:t>
      </w:r>
      <w:proofErr w:type="gramEnd"/>
      <w:r>
        <w:t xml:space="preserve"> those of</w:t>
      </w:r>
      <w:r>
        <w:t xml:space="preserve"> the Higher Himalayan detrital zircons (</w:t>
      </w:r>
      <w:r>
        <w:rPr>
          <w:color w:val="422874"/>
        </w:rPr>
        <w:t>Fig. 6</w:t>
      </w:r>
      <w:r>
        <w:t xml:space="preserve">). </w:t>
      </w:r>
      <w:proofErr w:type="gramStart"/>
      <w:r>
        <w:t>However</w:t>
      </w:r>
      <w:proofErr w:type="gramEnd"/>
      <w:r>
        <w:t xml:space="preserve"> the younger population of ~500 Ma is much more prominent than other peaks in the Tethys Himalaya (</w:t>
      </w:r>
      <w:r>
        <w:rPr>
          <w:color w:val="422874"/>
        </w:rPr>
        <w:t>Amos et al., 2008; DeCelles et al., 2000; Myrow et al., 2003</w:t>
      </w:r>
      <w:r>
        <w:t>). There are also small populations rangi</w:t>
      </w:r>
      <w:r>
        <w:t>ng from 140 to 110 Ma in Nepal, which were interpreted to have been derived from Indian volcanic rocks (</w:t>
      </w:r>
      <w:r>
        <w:rPr>
          <w:color w:val="422874"/>
        </w:rPr>
        <w:t>DeCelles et al., 2004</w:t>
      </w:r>
      <w:r>
        <w:t>). The Triassic strata near Zedong and Renbu in southern Tibet show age peaks between 400 Ma and 200 Ma (</w:t>
      </w:r>
      <w:r>
        <w:rPr>
          <w:color w:val="422874"/>
        </w:rPr>
        <w:t>Amos et al., 2008; Li et a</w:t>
      </w:r>
      <w:r>
        <w:rPr>
          <w:color w:val="422874"/>
        </w:rPr>
        <w:t>l., 2010</w:t>
      </w:r>
      <w:r>
        <w:t>). Volcanic rocks of the Sangxiu volcanic rocks yield U</w:t>
      </w:r>
      <w:r>
        <w:rPr>
          <w:rFonts w:ascii="Calibri" w:eastAsia="Calibri" w:hAnsi="Calibri" w:cs="Calibri"/>
        </w:rPr>
        <w:t>–</w:t>
      </w:r>
      <w:r>
        <w:t>Pb age of 133 Ma (</w:t>
      </w:r>
      <w:r>
        <w:rPr>
          <w:color w:val="422874"/>
        </w:rPr>
        <w:t>Zhu et al., 2007</w:t>
      </w:r>
      <w:r>
        <w:t>). Lower Cretaceous Wolong volcaniclastics yield U</w:t>
      </w:r>
      <w:r>
        <w:rPr>
          <w:rFonts w:ascii="Calibri" w:eastAsia="Calibri" w:hAnsi="Calibri" w:cs="Calibri"/>
        </w:rPr>
        <w:t>–</w:t>
      </w:r>
      <w:r>
        <w:t xml:space="preserve">Pb age from 140 Ma to 119 Ma, and </w:t>
      </w:r>
      <w:r>
        <w:rPr>
          <w:rFonts w:ascii="Calibri" w:eastAsia="Calibri" w:hAnsi="Calibri" w:cs="Calibri"/>
        </w:rPr>
        <w:t>ε</w:t>
      </w:r>
      <w:r>
        <w:t>Hf</w:t>
      </w:r>
      <w:r>
        <w:rPr>
          <w:vertAlign w:val="subscript"/>
        </w:rPr>
        <w:t xml:space="preserve">(t) </w:t>
      </w:r>
      <w:r>
        <w:t xml:space="preserve">values from </w:t>
      </w:r>
      <w:r>
        <w:rPr>
          <w:rFonts w:ascii="Calibri" w:eastAsia="Calibri" w:hAnsi="Calibri" w:cs="Calibri"/>
        </w:rPr>
        <w:t>−</w:t>
      </w:r>
      <w:r>
        <w:t xml:space="preserve">1.5 to </w:t>
      </w:r>
      <w:r>
        <w:rPr>
          <w:rFonts w:ascii="Calibri" w:eastAsia="Calibri" w:hAnsi="Calibri" w:cs="Calibri"/>
        </w:rPr>
        <w:t>−</w:t>
      </w:r>
      <w:r>
        <w:t>7.2 (</w:t>
      </w:r>
      <w:r>
        <w:rPr>
          <w:color w:val="422874"/>
        </w:rPr>
        <w:t>Hu et al., 2010</w:t>
      </w:r>
      <w:r>
        <w:t>).</w:t>
      </w:r>
    </w:p>
    <w:p w14:paraId="352A89F5" w14:textId="77777777" w:rsidR="00F64F7F" w:rsidRDefault="0056380C">
      <w:pPr>
        <w:ind w:left="-15"/>
      </w:pPr>
      <w:r>
        <w:t>The Yarlung Zangbo sut</w:t>
      </w:r>
      <w:r>
        <w:t>ure zone shows relatively simple age patterns. Suture-zone gabbros yield U</w:t>
      </w:r>
      <w:r>
        <w:rPr>
          <w:rFonts w:ascii="Calibri" w:eastAsia="Calibri" w:hAnsi="Calibri" w:cs="Calibri"/>
        </w:rPr>
        <w:t>–</w:t>
      </w:r>
      <w:r>
        <w:t>Pb zircon ages of 162 Ma and 126 Ma (</w:t>
      </w:r>
      <w:r>
        <w:rPr>
          <w:color w:val="422874"/>
        </w:rPr>
        <w:t>Malpas et al., 2003; Zhong et al., 2006</w:t>
      </w:r>
      <w:proofErr w:type="gramStart"/>
      <w:r>
        <w:t>).The</w:t>
      </w:r>
      <w:proofErr w:type="gramEnd"/>
      <w:r>
        <w:t xml:space="preserve"> Zedong island arc volcanic rocks within the suture zone yield U</w:t>
      </w:r>
      <w:r>
        <w:rPr>
          <w:rFonts w:ascii="Calibri" w:eastAsia="Calibri" w:hAnsi="Calibri" w:cs="Calibri"/>
        </w:rPr>
        <w:t>–</w:t>
      </w:r>
      <w:r>
        <w:t>Pb ages of 161</w:t>
      </w:r>
      <w:r>
        <w:rPr>
          <w:rFonts w:ascii="Calibri" w:eastAsia="Calibri" w:hAnsi="Calibri" w:cs="Calibri"/>
        </w:rPr>
        <w:t>–</w:t>
      </w:r>
      <w:r>
        <w:t>152 Ma (</w:t>
      </w:r>
      <w:r>
        <w:rPr>
          <w:color w:val="422874"/>
        </w:rPr>
        <w:t xml:space="preserve">McDermid et </w:t>
      </w:r>
      <w:r>
        <w:rPr>
          <w:color w:val="422874"/>
        </w:rPr>
        <w:t>al., 2002</w:t>
      </w:r>
      <w:r>
        <w:t>).</w:t>
      </w:r>
    </w:p>
    <w:p w14:paraId="3BFB5DB6" w14:textId="77777777" w:rsidR="00F64F7F" w:rsidRDefault="0056380C">
      <w:pPr>
        <w:spacing w:after="289"/>
        <w:ind w:left="-15"/>
      </w:pPr>
      <w:r>
        <w:t>The Lhasa terrane includes the Gangdese arc rocks in the south as well as plutons and volcanogenic strata in the north. Zircon U</w:t>
      </w:r>
      <w:r>
        <w:rPr>
          <w:rFonts w:ascii="Calibri" w:eastAsia="Calibri" w:hAnsi="Calibri" w:cs="Calibri"/>
        </w:rPr>
        <w:t>–</w:t>
      </w:r>
      <w:r>
        <w:t>Pb dating indicates that plutonic rocks within the Gangdese arc have ages ranging from 140 Ma to 8 Mawithpositive</w:t>
      </w:r>
      <w:r>
        <w:rPr>
          <w:rFonts w:ascii="Calibri" w:eastAsia="Calibri" w:hAnsi="Calibri" w:cs="Calibri"/>
        </w:rPr>
        <w:t>ε</w:t>
      </w:r>
      <w:r>
        <w:t>Hf(t) (</w:t>
      </w:r>
      <w:r>
        <w:rPr>
          <w:color w:val="422874"/>
        </w:rPr>
        <w:t>Chueta</w:t>
      </w:r>
      <w:r>
        <w:rPr>
          <w:color w:val="422874"/>
        </w:rPr>
        <w:t xml:space="preserve">l., </w:t>
      </w:r>
      <w:proofErr w:type="gramStart"/>
      <w:r>
        <w:rPr>
          <w:color w:val="422874"/>
        </w:rPr>
        <w:t>2006;Jietal</w:t>
      </w:r>
      <w:proofErr w:type="gramEnd"/>
      <w:r>
        <w:rPr>
          <w:color w:val="422874"/>
        </w:rPr>
        <w:t>., 2009; Wu et al., 2007; Zhu et al., 2008, 2009</w:t>
      </w:r>
      <w:r>
        <w:t>). The Linzizong volcanic rocks erupted during the 69</w:t>
      </w:r>
      <w:r>
        <w:rPr>
          <w:rFonts w:ascii="Calibri" w:eastAsia="Calibri" w:hAnsi="Calibri" w:cs="Calibri"/>
        </w:rPr>
        <w:t>–</w:t>
      </w:r>
      <w:r>
        <w:t>43 Ma time interval (</w:t>
      </w:r>
      <w:r>
        <w:rPr>
          <w:color w:val="422874"/>
        </w:rPr>
        <w:t>He et al., 2007</w:t>
      </w:r>
      <w:r>
        <w:t>). The Gangdese arc also includes older granites and volcanic rocks with crystallization ages in the 23</w:t>
      </w:r>
      <w:r>
        <w:t>7</w:t>
      </w:r>
      <w:r>
        <w:rPr>
          <w:rFonts w:ascii="Calibri" w:eastAsia="Calibri" w:hAnsi="Calibri" w:cs="Calibri"/>
        </w:rPr>
        <w:t>–</w:t>
      </w:r>
      <w:r>
        <w:t xml:space="preserve">163 Ma range and highly variable </w:t>
      </w:r>
      <w:r>
        <w:rPr>
          <w:rFonts w:ascii="Calibri" w:eastAsia="Calibri" w:hAnsi="Calibri" w:cs="Calibri"/>
        </w:rPr>
        <w:t>ε</w:t>
      </w:r>
      <w:r>
        <w:t>Hf</w:t>
      </w:r>
      <w:r>
        <w:rPr>
          <w:vertAlign w:val="subscript"/>
        </w:rPr>
        <w:t xml:space="preserve">(t) </w:t>
      </w:r>
      <w:r>
        <w:t xml:space="preserve">from </w:t>
      </w:r>
      <w:r>
        <w:rPr>
          <w:rFonts w:ascii="Calibri" w:eastAsia="Calibri" w:hAnsi="Calibri" w:cs="Calibri"/>
        </w:rPr>
        <w:t>−</w:t>
      </w:r>
      <w:r>
        <w:t>13.7 to +17.7 (</w:t>
      </w:r>
      <w:r>
        <w:rPr>
          <w:color w:val="422874"/>
        </w:rPr>
        <w:t>Chu et al., 2006; He et al., 2006; Li et al., 2003; Liu et al., 2006; Zhang et al., 2007; Zhu et al., 2008</w:t>
      </w:r>
      <w:r>
        <w:t xml:space="preserve">). By contrast, the ages of volcanic rocks in northern Lhasa terrane range from 139 to 102 Ma with negative </w:t>
      </w:r>
      <w:r>
        <w:rPr>
          <w:rFonts w:ascii="Calibri" w:eastAsia="Calibri" w:hAnsi="Calibri" w:cs="Calibri"/>
        </w:rPr>
        <w:t>ε</w:t>
      </w:r>
      <w:r>
        <w:t>Hf</w:t>
      </w:r>
      <w:r>
        <w:rPr>
          <w:vertAlign w:val="subscript"/>
        </w:rPr>
        <w:t xml:space="preserve">(t) </w:t>
      </w:r>
      <w:r>
        <w:t>(</w:t>
      </w:r>
      <w:r>
        <w:rPr>
          <w:color w:val="422874"/>
        </w:rPr>
        <w:t>Zhu et al., 2009</w:t>
      </w:r>
      <w:r>
        <w:t>). Zircons from th</w:t>
      </w:r>
      <w:r>
        <w:t>e sedimentary strata of the Lhasa terrane have age population peaks at 200</w:t>
      </w:r>
      <w:r>
        <w:rPr>
          <w:rFonts w:ascii="Calibri" w:eastAsia="Calibri" w:hAnsi="Calibri" w:cs="Calibri"/>
        </w:rPr>
        <w:t>–</w:t>
      </w:r>
      <w:r>
        <w:t>100 Ma, 500 Ma, and 1000 Ma (</w:t>
      </w:r>
      <w:r>
        <w:rPr>
          <w:color w:val="422874"/>
        </w:rPr>
        <w:t>DeCelles et al., 2007; Leier et al., 2007a, 2007b</w:t>
      </w:r>
      <w:r>
        <w:t>).</w:t>
      </w:r>
    </w:p>
    <w:p w14:paraId="3546E390" w14:textId="77777777" w:rsidR="00F64F7F" w:rsidRDefault="0056380C">
      <w:pPr>
        <w:pStyle w:val="3"/>
        <w:spacing w:after="10"/>
        <w:ind w:left="-5"/>
      </w:pPr>
      <w:r>
        <w:t>6.1.2. Interpretations of detrital zircons</w:t>
      </w:r>
    </w:p>
    <w:p w14:paraId="7B94D9FC" w14:textId="77777777" w:rsidR="00F64F7F" w:rsidRDefault="0056380C">
      <w:pPr>
        <w:ind w:left="-15"/>
      </w:pPr>
      <w:r>
        <w:t>Detrital zircons from the Jiabula Formation have age popu</w:t>
      </w:r>
      <w:r>
        <w:t xml:space="preserve">lation peaks at 500 Ma and 1000 Ma, which is similar to those of Cambrian and younger strata within the Tethys Himalaya and Lhasa </w:t>
      </w:r>
      <w:proofErr w:type="gramStart"/>
      <w:r>
        <w:t>terrane(</w:t>
      </w:r>
      <w:proofErr w:type="gramEnd"/>
      <w:r>
        <w:rPr>
          <w:color w:val="422874"/>
        </w:rPr>
        <w:t>Fig. 6</w:t>
      </w:r>
      <w:r>
        <w:t>). However, the Lhasa terrane source was impossible, because the old grains are not accompanied by abundant Cret</w:t>
      </w:r>
      <w:r>
        <w:t>aceous zircon grains. Scarcely Cretaceous zircon grains were consistent with those found in Nepal which were derived from volcanic provinces in India (</w:t>
      </w:r>
      <w:r>
        <w:rPr>
          <w:color w:val="422874"/>
        </w:rPr>
        <w:t>DeCelles et al., 2004</w:t>
      </w:r>
      <w:r>
        <w:t xml:space="preserve">). </w:t>
      </w:r>
      <w:proofErr w:type="gramStart"/>
      <w:r>
        <w:t>Thus</w:t>
      </w:r>
      <w:proofErr w:type="gramEnd"/>
      <w:r>
        <w:t xml:space="preserve"> the source is most likely to be Indian plate.</w:t>
      </w:r>
    </w:p>
    <w:p w14:paraId="187B8E1D" w14:textId="77777777" w:rsidR="00F64F7F" w:rsidRDefault="0056380C">
      <w:pPr>
        <w:ind w:left="-15" w:right="176"/>
      </w:pPr>
      <w:r>
        <w:t>Detrital zircons from the Zong</w:t>
      </w:r>
      <w:r>
        <w:t>zhuo Formation show a peak in the range of 169</w:t>
      </w:r>
      <w:r>
        <w:rPr>
          <w:rFonts w:ascii="Calibri" w:eastAsia="Calibri" w:hAnsi="Calibri" w:cs="Calibri"/>
        </w:rPr>
        <w:t>–</w:t>
      </w:r>
      <w:r>
        <w:t>73 Ma which indicates that they were derived from Jurassic to Cretaceous rocks. Zircon Hf compositions show that the source rocks are juvenile (</w:t>
      </w:r>
      <w:r>
        <w:rPr>
          <w:color w:val="422874"/>
        </w:rPr>
        <w:t>Fig. 7</w:t>
      </w:r>
      <w:r>
        <w:t>). A likely source for the Mesozoic zircons is the Gangdese</w:t>
      </w:r>
      <w:r>
        <w:t xml:space="preserve"> arc. The whole pattern of detrital zircons from this formation is also similar with that of Xigaze forearc basin strata which were derived from Gangdese arc and northern Lhasa terrane (</w:t>
      </w:r>
      <w:r>
        <w:rPr>
          <w:color w:val="422874"/>
        </w:rPr>
        <w:t>Wu et al., 2010</w:t>
      </w:r>
      <w:r>
        <w:t>).</w:t>
      </w:r>
    </w:p>
    <w:p w14:paraId="5707A1DC" w14:textId="77777777" w:rsidR="00F64F7F" w:rsidRDefault="0056380C">
      <w:pPr>
        <w:spacing w:after="285"/>
        <w:ind w:left="-15" w:right="175"/>
      </w:pPr>
      <w:r>
        <w:t>Most of zircons analyzed from the Rilang conglomerat</w:t>
      </w:r>
      <w:r>
        <w:t xml:space="preserve">e show Mesozoic ages. As shown in </w:t>
      </w:r>
      <w:r>
        <w:rPr>
          <w:color w:val="422874"/>
        </w:rPr>
        <w:t>Fig. 7</w:t>
      </w:r>
      <w:r>
        <w:t xml:space="preserve">, </w:t>
      </w:r>
      <w:proofErr w:type="gramStart"/>
      <w:r>
        <w:t>the majority of</w:t>
      </w:r>
      <w:proofErr w:type="gramEnd"/>
      <w:r>
        <w:t xml:space="preserve"> these Mesozoic zircons reveal positive </w:t>
      </w:r>
      <w:r>
        <w:rPr>
          <w:rFonts w:ascii="Calibri" w:eastAsia="Calibri" w:hAnsi="Calibri" w:cs="Calibri"/>
        </w:rPr>
        <w:t>ε</w:t>
      </w:r>
      <w:r>
        <w:t>Hf</w:t>
      </w:r>
      <w:r>
        <w:rPr>
          <w:vertAlign w:val="subscript"/>
        </w:rPr>
        <w:t xml:space="preserve">(t) </w:t>
      </w:r>
      <w:r>
        <w:t xml:space="preserve">values similar to those from the Zongzhuo Formation. The zircon data lead us to concur with the conclusion that the Gangdese arc may be the main source </w:t>
      </w:r>
      <w:r>
        <w:t>of detritus within the Rilang conglomerate.</w:t>
      </w:r>
    </w:p>
    <w:p w14:paraId="5AD95F05" w14:textId="77777777" w:rsidR="00F64F7F" w:rsidRDefault="0056380C">
      <w:pPr>
        <w:pStyle w:val="2"/>
        <w:ind w:left="-5"/>
      </w:pPr>
      <w:r>
        <w:t>6.2. Cr</w:t>
      </w:r>
      <w:r>
        <w:rPr>
          <w:rFonts w:ascii="Calibri" w:eastAsia="Calibri" w:hAnsi="Calibri" w:cs="Calibri"/>
        </w:rPr>
        <w:t>–</w:t>
      </w:r>
      <w:r>
        <w:t>spinel provenance</w:t>
      </w:r>
    </w:p>
    <w:p w14:paraId="601F2472" w14:textId="77777777" w:rsidR="00F64F7F" w:rsidRDefault="0056380C">
      <w:pPr>
        <w:ind w:left="-15" w:right="176"/>
      </w:pPr>
      <w:r>
        <w:rPr>
          <w:color w:val="422874"/>
        </w:rPr>
        <w:t xml:space="preserve">Lenaz et al. (2000) </w:t>
      </w:r>
      <w:r>
        <w:t>set a compositional boundary between peridotitic and volcanic spinels at TiO</w:t>
      </w:r>
      <w:r>
        <w:rPr>
          <w:vertAlign w:val="subscript"/>
        </w:rPr>
        <w:t>2</w:t>
      </w:r>
      <w:r>
        <w:t xml:space="preserve">=0.2 wt.%. Spinels from the Zongzhuo Formation and upper part of the Rilang conglomerate </w:t>
      </w:r>
      <w:r>
        <w:t>usually have TiO</w:t>
      </w:r>
      <w:r>
        <w:rPr>
          <w:vertAlign w:val="subscript"/>
        </w:rPr>
        <w:t xml:space="preserve">2 </w:t>
      </w:r>
      <w:r>
        <w:t xml:space="preserve">content </w:t>
      </w:r>
      <w:r>
        <w:rPr>
          <w:rFonts w:ascii="Calibri" w:eastAsia="Calibri" w:hAnsi="Calibri" w:cs="Calibri"/>
        </w:rPr>
        <w:t>b</w:t>
      </w:r>
      <w:r>
        <w:t>0.2%, and are therefore most likely derived from peridotites. However, most of spinels in sample T98 from the lower part of the Rilang conglomerate have TiO</w:t>
      </w:r>
      <w:r>
        <w:rPr>
          <w:vertAlign w:val="subscript"/>
        </w:rPr>
        <w:t xml:space="preserve">2 </w:t>
      </w:r>
      <w:r>
        <w:t xml:space="preserve">content </w:t>
      </w:r>
      <w:r>
        <w:rPr>
          <w:rFonts w:ascii="Calibri" w:eastAsia="Calibri" w:hAnsi="Calibri" w:cs="Calibri"/>
        </w:rPr>
        <w:t>N</w:t>
      </w:r>
      <w:r>
        <w:t>0.2%, and are thus interpreted to be volcanic spinels.</w:t>
      </w:r>
    </w:p>
    <w:p w14:paraId="25C61D41" w14:textId="77777777" w:rsidR="00F64F7F" w:rsidRDefault="0056380C">
      <w:pPr>
        <w:ind w:left="-15" w:right="177"/>
      </w:pPr>
      <w:r>
        <w:t xml:space="preserve">In the </w:t>
      </w:r>
      <w:r>
        <w:t>plot of TiO</w:t>
      </w:r>
      <w:r>
        <w:rPr>
          <w:vertAlign w:val="subscript"/>
        </w:rPr>
        <w:t xml:space="preserve">2 </w:t>
      </w:r>
      <w:r>
        <w:t>vs. Al</w:t>
      </w:r>
      <w:r>
        <w:rPr>
          <w:vertAlign w:val="subscript"/>
        </w:rPr>
        <w:t>2</w:t>
      </w:r>
      <w:r>
        <w:t>O</w:t>
      </w:r>
      <w:r>
        <w:rPr>
          <w:vertAlign w:val="subscript"/>
        </w:rPr>
        <w:t xml:space="preserve">3 </w:t>
      </w:r>
      <w:r>
        <w:t>(</w:t>
      </w:r>
      <w:r>
        <w:rPr>
          <w:color w:val="422874"/>
        </w:rPr>
        <w:t>Fig. 8</w:t>
      </w:r>
      <w:r>
        <w:t>a), spinels from sample T98 of the Rilang conglomerate fall in alkaline island arc area, whereas all the other spinels fall in suprasubduction zone area (SSZ).</w:t>
      </w:r>
    </w:p>
    <w:p w14:paraId="3C5D1969" w14:textId="77777777" w:rsidR="00F64F7F" w:rsidRDefault="0056380C">
      <w:pPr>
        <w:ind w:left="-15" w:right="177"/>
      </w:pPr>
      <w:r>
        <w:t>In the plot of Cr# vs. Mg# (</w:t>
      </w:r>
      <w:r>
        <w:rPr>
          <w:color w:val="422874"/>
        </w:rPr>
        <w:t>Fig. 8</w:t>
      </w:r>
      <w:r>
        <w:t>b), according to the classi</w:t>
      </w:r>
      <w:r>
        <w:rPr>
          <w:rFonts w:ascii="Calibri" w:eastAsia="Calibri" w:hAnsi="Calibri" w:cs="Calibri"/>
        </w:rPr>
        <w:t>fi</w:t>
      </w:r>
      <w:r>
        <w:t>cat</w:t>
      </w:r>
      <w:r>
        <w:t xml:space="preserve">ions of </w:t>
      </w:r>
      <w:r>
        <w:rPr>
          <w:color w:val="422874"/>
        </w:rPr>
        <w:t>Dick and Bullen (1984)</w:t>
      </w:r>
      <w:r>
        <w:t>, spinels from the Zongzhuo Formation and Rilang conglomerate correspond best with spinels in Type III peridotites which are generally associated with arc-related volcanic and intrusive rocks.</w:t>
      </w:r>
    </w:p>
    <w:p w14:paraId="5AA49FF8" w14:textId="77777777" w:rsidR="00F64F7F" w:rsidRDefault="0056380C">
      <w:pPr>
        <w:spacing w:after="286"/>
        <w:ind w:left="-15" w:right="176"/>
      </w:pPr>
      <w:r>
        <w:t>Considered together, the plots of</w:t>
      </w:r>
      <w:r>
        <w:t xml:space="preserve"> TiO</w:t>
      </w:r>
      <w:r>
        <w:rPr>
          <w:vertAlign w:val="subscript"/>
        </w:rPr>
        <w:t xml:space="preserve">2 </w:t>
      </w:r>
      <w:r>
        <w:t>vs. Al</w:t>
      </w:r>
      <w:r>
        <w:rPr>
          <w:vertAlign w:val="subscript"/>
        </w:rPr>
        <w:t>2</w:t>
      </w:r>
      <w:r>
        <w:t>O</w:t>
      </w:r>
      <w:r>
        <w:rPr>
          <w:vertAlign w:val="subscript"/>
        </w:rPr>
        <w:t xml:space="preserve">3 </w:t>
      </w:r>
      <w:r>
        <w:t>and Cr# vs. Mg# demonstrate that spinels of the Zongzhuo formation and the Rilang conglomerate are best assigned to bed rocks from suprasubduction zone mantle peridotites and arc volcanic rocks (</w:t>
      </w:r>
      <w:r>
        <w:rPr>
          <w:color w:val="422874"/>
        </w:rPr>
        <w:t>Kamenetsky et al., 2001</w:t>
      </w:r>
      <w:r>
        <w:t>). Spinels in this stu</w:t>
      </w:r>
      <w:r>
        <w:t>dy are different to the compositions of detrital spinels in Xigaze ophiolitic rocks (</w:t>
      </w:r>
      <w:r>
        <w:rPr>
          <w:color w:val="422874"/>
        </w:rPr>
        <w:t>Fig. 8</w:t>
      </w:r>
      <w:r>
        <w:t>) and closely match that of spinels from Luobusa ophiolites which formed above an intraoceanic subduction zone (</w:t>
      </w:r>
      <w:r>
        <w:rPr>
          <w:color w:val="422874"/>
        </w:rPr>
        <w:t>Zhou et al., 1996</w:t>
      </w:r>
      <w:r>
        <w:t>). Therefore, spinels of the Zongzhu</w:t>
      </w:r>
      <w:r>
        <w:t>o Formation and Rilang conglomerate were most likely derived from an intra-oceanic subduction system.</w:t>
      </w:r>
    </w:p>
    <w:p w14:paraId="7899CA3A" w14:textId="77777777" w:rsidR="00F64F7F" w:rsidRDefault="0056380C">
      <w:pPr>
        <w:pStyle w:val="2"/>
        <w:spacing w:after="255"/>
        <w:ind w:left="-5"/>
      </w:pPr>
      <w:r>
        <w:t>6.3. Nd-isotopic provenance</w:t>
      </w:r>
    </w:p>
    <w:p w14:paraId="3EF00ACE" w14:textId="77777777" w:rsidR="00F64F7F" w:rsidRDefault="0056380C">
      <w:pPr>
        <w:spacing w:line="326" w:lineRule="auto"/>
        <w:ind w:left="-15" w:right="175"/>
      </w:pPr>
      <w:r>
        <w:t xml:space="preserve">Whole rocks from the Indian craton have very low </w:t>
      </w:r>
      <w:r>
        <w:rPr>
          <w:rFonts w:ascii="Calibri" w:eastAsia="Calibri" w:hAnsi="Calibri" w:cs="Calibri"/>
        </w:rPr>
        <w:t>ε</w:t>
      </w:r>
      <w:proofErr w:type="gramStart"/>
      <w:r>
        <w:t>Nd</w:t>
      </w:r>
      <w:r>
        <w:rPr>
          <w:vertAlign w:val="subscript"/>
        </w:rPr>
        <w:t>(</w:t>
      </w:r>
      <w:proofErr w:type="gramEnd"/>
      <w:r>
        <w:rPr>
          <w:vertAlign w:val="subscript"/>
        </w:rPr>
        <w:t xml:space="preserve">0) </w:t>
      </w:r>
      <w:r>
        <w:t xml:space="preserve">values, usually more negative than </w:t>
      </w:r>
      <w:r>
        <w:rPr>
          <w:rFonts w:ascii="Calibri" w:eastAsia="Calibri" w:hAnsi="Calibri" w:cs="Calibri"/>
        </w:rPr>
        <w:t>−</w:t>
      </w:r>
      <w:r>
        <w:t>30 (</w:t>
      </w:r>
      <w:r>
        <w:rPr>
          <w:color w:val="422874"/>
        </w:rPr>
        <w:t>Saha et al., 2004</w:t>
      </w:r>
      <w:r>
        <w:t xml:space="preserve">). Whole rocks from the Lesser Himalaya have </w:t>
      </w:r>
      <w:r>
        <w:rPr>
          <w:rFonts w:ascii="Calibri" w:eastAsia="Calibri" w:hAnsi="Calibri" w:cs="Calibri"/>
        </w:rPr>
        <w:t>ε</w:t>
      </w:r>
      <w:proofErr w:type="gramStart"/>
      <w:r>
        <w:t>Nd</w:t>
      </w:r>
      <w:r>
        <w:rPr>
          <w:vertAlign w:val="subscript"/>
        </w:rPr>
        <w:t>(</w:t>
      </w:r>
      <w:proofErr w:type="gramEnd"/>
      <w:r>
        <w:rPr>
          <w:vertAlign w:val="subscript"/>
        </w:rPr>
        <w:t xml:space="preserve">0) </w:t>
      </w:r>
      <w:r>
        <w:t xml:space="preserve">values between </w:t>
      </w:r>
      <w:r>
        <w:rPr>
          <w:rFonts w:ascii="Calibri" w:eastAsia="Calibri" w:hAnsi="Calibri" w:cs="Calibri"/>
        </w:rPr>
        <w:t>−</w:t>
      </w:r>
      <w:r>
        <w:t xml:space="preserve">25 and </w:t>
      </w:r>
      <w:r>
        <w:rPr>
          <w:rFonts w:ascii="Calibri" w:eastAsia="Calibri" w:hAnsi="Calibri" w:cs="Calibri"/>
        </w:rPr>
        <w:t>−</w:t>
      </w:r>
      <w:r>
        <w:t>20 (</w:t>
      </w:r>
      <w:r>
        <w:rPr>
          <w:color w:val="422874"/>
        </w:rPr>
        <w:t>Ahmad et al., 2000; Martin et al., 2005; Parrish and Hodges, 1996; Robinson et al., 2001</w:t>
      </w:r>
      <w:r>
        <w:t xml:space="preserve">). Whole rocks from the Higher Himalaya have </w:t>
      </w:r>
      <w:r>
        <w:rPr>
          <w:rFonts w:ascii="Calibri" w:eastAsia="Calibri" w:hAnsi="Calibri" w:cs="Calibri"/>
        </w:rPr>
        <w:t>ε</w:t>
      </w:r>
      <w:proofErr w:type="gramStart"/>
      <w:r>
        <w:t>Nd</w:t>
      </w:r>
      <w:r>
        <w:rPr>
          <w:vertAlign w:val="subscript"/>
        </w:rPr>
        <w:t>(</w:t>
      </w:r>
      <w:proofErr w:type="gramEnd"/>
      <w:r>
        <w:rPr>
          <w:vertAlign w:val="subscript"/>
        </w:rPr>
        <w:t xml:space="preserve">0) </w:t>
      </w:r>
      <w:r>
        <w:t xml:space="preserve">between </w:t>
      </w:r>
      <w:r>
        <w:rPr>
          <w:rFonts w:ascii="Calibri" w:eastAsia="Calibri" w:hAnsi="Calibri" w:cs="Calibri"/>
        </w:rPr>
        <w:t>−</w:t>
      </w:r>
      <w:r>
        <w:t xml:space="preserve">18 and </w:t>
      </w:r>
      <w:r>
        <w:rPr>
          <w:rFonts w:ascii="Calibri" w:eastAsia="Calibri" w:hAnsi="Calibri" w:cs="Calibri"/>
        </w:rPr>
        <w:t>−</w:t>
      </w:r>
      <w:r>
        <w:t>13</w:t>
      </w:r>
      <w:r>
        <w:t xml:space="preserve"> (</w:t>
      </w:r>
      <w:r>
        <w:rPr>
          <w:color w:val="422874"/>
        </w:rPr>
        <w:t>Ahmad et al., 2000; Martin et al., 2005; Parrish and Hodges, 1996; Richards et al., 2005; Robinson et al., 2001; Takeshi and Kazunori, 2008</w:t>
      </w:r>
      <w:r>
        <w:t xml:space="preserve">). Whole rocks from the southern Tethys Himalayan have </w:t>
      </w:r>
      <w:r>
        <w:rPr>
          <w:rFonts w:ascii="Calibri" w:eastAsia="Calibri" w:hAnsi="Calibri" w:cs="Calibri"/>
        </w:rPr>
        <w:t>ε</w:t>
      </w:r>
      <w:proofErr w:type="gramStart"/>
      <w:r>
        <w:t>Nd</w:t>
      </w:r>
      <w:r>
        <w:rPr>
          <w:vertAlign w:val="subscript"/>
        </w:rPr>
        <w:t>(</w:t>
      </w:r>
      <w:proofErr w:type="gramEnd"/>
      <w:r>
        <w:rPr>
          <w:vertAlign w:val="subscript"/>
        </w:rPr>
        <w:t xml:space="preserve">0) </w:t>
      </w:r>
      <w:r>
        <w:t xml:space="preserve">between </w:t>
      </w:r>
      <w:r>
        <w:rPr>
          <w:rFonts w:ascii="Calibri" w:eastAsia="Calibri" w:hAnsi="Calibri" w:cs="Calibri"/>
        </w:rPr>
        <w:t>−</w:t>
      </w:r>
      <w:r>
        <w:t xml:space="preserve">19 and </w:t>
      </w:r>
      <w:r>
        <w:rPr>
          <w:rFonts w:ascii="Calibri" w:eastAsia="Calibri" w:hAnsi="Calibri" w:cs="Calibri"/>
        </w:rPr>
        <w:t>−</w:t>
      </w:r>
      <w:r>
        <w:t>11(</w:t>
      </w:r>
      <w:r>
        <w:rPr>
          <w:color w:val="422874"/>
        </w:rPr>
        <w:t>Ahmad et al., 2000; Dai et al., 2</w:t>
      </w:r>
      <w:r>
        <w:rPr>
          <w:color w:val="422874"/>
        </w:rPr>
        <w:t>008; Richards et al., 2005; Robinson et al., 2001</w:t>
      </w:r>
      <w:r>
        <w:t>). In contrast to published data, the</w:t>
      </w:r>
    </w:p>
    <w:p w14:paraId="19DB64DE" w14:textId="77777777" w:rsidR="00F64F7F" w:rsidRDefault="00F64F7F">
      <w:pPr>
        <w:sectPr w:rsidR="00F64F7F">
          <w:type w:val="continuous"/>
          <w:pgSz w:w="11906" w:h="15874"/>
          <w:pgMar w:top="1147" w:right="674" w:bottom="970" w:left="675" w:header="720" w:footer="720" w:gutter="0"/>
          <w:cols w:num="2" w:space="343"/>
        </w:sectPr>
      </w:pPr>
    </w:p>
    <w:p w14:paraId="10B95EEF" w14:textId="77777777" w:rsidR="00F64F7F" w:rsidRDefault="0056380C">
      <w:pPr>
        <w:spacing w:after="60" w:line="259" w:lineRule="auto"/>
        <w:ind w:left="0" w:firstLine="0"/>
        <w:jc w:val="left"/>
      </w:pPr>
      <w:r>
        <w:rPr>
          <w:rFonts w:ascii="Calibri" w:eastAsia="Calibri" w:hAnsi="Calibri" w:cs="Calibri"/>
          <w:noProof/>
          <w:color w:val="000000"/>
          <w:sz w:val="22"/>
        </w:rPr>
        <mc:AlternateContent>
          <mc:Choice Requires="wpg">
            <w:drawing>
              <wp:inline distT="0" distB="0" distL="0" distR="0" wp14:anchorId="1C0CAF73" wp14:editId="2DB392E3">
                <wp:extent cx="6592316" cy="6480"/>
                <wp:effectExtent l="0" t="0" r="0" b="0"/>
                <wp:docPr id="28200" name="Group 28200"/>
                <wp:cNvGraphicFramePr/>
                <a:graphic xmlns:a="http://schemas.openxmlformats.org/drawingml/2006/main">
                  <a:graphicData uri="http://schemas.microsoft.com/office/word/2010/wordprocessingGroup">
                    <wpg:wgp>
                      <wpg:cNvGrpSpPr/>
                      <wpg:grpSpPr>
                        <a:xfrm>
                          <a:off x="0" y="0"/>
                          <a:ext cx="6592316" cy="6480"/>
                          <a:chOff x="0" y="0"/>
                          <a:chExt cx="6592316" cy="6480"/>
                        </a:xfrm>
                      </wpg:grpSpPr>
                      <wps:wsp>
                        <wps:cNvPr id="29339" name="Shape 29339"/>
                        <wps:cNvSpPr/>
                        <wps:spPr>
                          <a:xfrm>
                            <a:off x="0" y="0"/>
                            <a:ext cx="6592316" cy="9144"/>
                          </a:xfrm>
                          <a:custGeom>
                            <a:avLst/>
                            <a:gdLst/>
                            <a:ahLst/>
                            <a:cxnLst/>
                            <a:rect l="0" t="0" r="0" b="0"/>
                            <a:pathLst>
                              <a:path w="6592316" h="9144">
                                <a:moveTo>
                                  <a:pt x="0" y="0"/>
                                </a:moveTo>
                                <a:lnTo>
                                  <a:pt x="6592316" y="0"/>
                                </a:lnTo>
                                <a:lnTo>
                                  <a:pt x="65923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200" style="width:519.08pt;height:0.510254pt;mso-position-horizontal-relative:char;mso-position-vertical-relative:line" coordsize="65923,64">
                <v:shape id="Shape 29340" style="position:absolute;width:65923;height:91;left:0;top:0;" coordsize="6592316,9144" path="m0,0l6592316,0l6592316,9144l0,9144l0,0">
                  <v:stroke weight="0pt" endcap="flat" joinstyle="miter" miterlimit="10" on="false" color="#000000" opacity="0"/>
                  <v:fill on="true" color="#000000"/>
                </v:shape>
              </v:group>
            </w:pict>
          </mc:Fallback>
        </mc:AlternateContent>
      </w:r>
    </w:p>
    <w:p w14:paraId="327BB8D6" w14:textId="77777777" w:rsidR="00F64F7F" w:rsidRDefault="0056380C">
      <w:pPr>
        <w:spacing w:after="0" w:line="287" w:lineRule="auto"/>
        <w:ind w:left="0" w:firstLine="0"/>
      </w:pPr>
      <w:r>
        <w:rPr>
          <w:rFonts w:ascii="Calibri" w:eastAsia="Calibri" w:hAnsi="Calibri" w:cs="Calibri"/>
          <w:sz w:val="13"/>
        </w:rPr>
        <w:t xml:space="preserve">Fig. 6. </w:t>
      </w:r>
      <w:r>
        <w:rPr>
          <w:sz w:val="13"/>
        </w:rPr>
        <w:t>Relative age probability curves of detrital zircons from upper Cretaceous strata of the Tethys Himalaya, in the Gyangze area. Gray rectangles highlight age peaks in the range of 200</w:t>
      </w:r>
      <w:r>
        <w:rPr>
          <w:rFonts w:ascii="Calibri" w:eastAsia="Calibri" w:hAnsi="Calibri" w:cs="Calibri"/>
          <w:sz w:val="13"/>
        </w:rPr>
        <w:t>–</w:t>
      </w:r>
      <w:r>
        <w:rPr>
          <w:sz w:val="13"/>
        </w:rPr>
        <w:t>70 Ma, 700</w:t>
      </w:r>
      <w:r>
        <w:rPr>
          <w:rFonts w:ascii="Calibri" w:eastAsia="Calibri" w:hAnsi="Calibri" w:cs="Calibri"/>
          <w:sz w:val="13"/>
        </w:rPr>
        <w:t>–</w:t>
      </w:r>
      <w:r>
        <w:rPr>
          <w:sz w:val="13"/>
        </w:rPr>
        <w:t>500 Ma and 1200</w:t>
      </w:r>
      <w:r>
        <w:rPr>
          <w:rFonts w:ascii="Calibri" w:eastAsia="Calibri" w:hAnsi="Calibri" w:cs="Calibri"/>
          <w:sz w:val="13"/>
        </w:rPr>
        <w:t>–</w:t>
      </w:r>
      <w:r>
        <w:rPr>
          <w:sz w:val="13"/>
        </w:rPr>
        <w:t>1000 Ma. Data sources are as follows: the Lesse</w:t>
      </w:r>
      <w:r>
        <w:rPr>
          <w:sz w:val="13"/>
        </w:rPr>
        <w:t>r Himalaya (</w:t>
      </w:r>
      <w:r>
        <w:rPr>
          <w:color w:val="422874"/>
          <w:sz w:val="13"/>
        </w:rPr>
        <w:t>Richards et al., 2005</w:t>
      </w:r>
      <w:r>
        <w:rPr>
          <w:sz w:val="13"/>
        </w:rPr>
        <w:t>); the Higher Himalaya (</w:t>
      </w:r>
      <w:r>
        <w:rPr>
          <w:color w:val="422874"/>
          <w:sz w:val="13"/>
        </w:rPr>
        <w:t>DeCelles et al., 2000; Gehrels et al., 2003, 2006; Martin et al., 2005; Parrish and Hodges, 1996; Richards et al., 2005</w:t>
      </w:r>
      <w:r>
        <w:rPr>
          <w:sz w:val="13"/>
        </w:rPr>
        <w:t>); the Tethys Himalaya (</w:t>
      </w:r>
      <w:r>
        <w:rPr>
          <w:color w:val="422874"/>
          <w:sz w:val="13"/>
        </w:rPr>
        <w:t>Myrow et al., 2003; DeCelles et al., 2000, 2004; Amos et</w:t>
      </w:r>
      <w:r>
        <w:rPr>
          <w:color w:val="422874"/>
          <w:sz w:val="13"/>
        </w:rPr>
        <w:t xml:space="preserve"> al., 2008;Li et al., 2010</w:t>
      </w:r>
      <w:r>
        <w:rPr>
          <w:sz w:val="13"/>
        </w:rPr>
        <w:t>); and Lhasa terrane (</w:t>
      </w:r>
      <w:r>
        <w:rPr>
          <w:color w:val="422874"/>
          <w:sz w:val="13"/>
        </w:rPr>
        <w:t xml:space="preserve">Li et al., 2003; Kapp et al., 2005; Chu et al., 2006; Liu et al., 2006; He et al., 2006; DeCelles et al., 2007; He et al., 2007; Leier et al., 2007a, 2007b; Wu et al., 2007 </w:t>
      </w:r>
      <w:r>
        <w:rPr>
          <w:sz w:val="13"/>
        </w:rPr>
        <w:t xml:space="preserve">and references therein; </w:t>
      </w:r>
      <w:r>
        <w:rPr>
          <w:color w:val="422874"/>
          <w:sz w:val="13"/>
        </w:rPr>
        <w:t>Zhang et al</w:t>
      </w:r>
      <w:r>
        <w:rPr>
          <w:color w:val="422874"/>
          <w:sz w:val="13"/>
        </w:rPr>
        <w:t>., 2007; Zhu et al., 2008, 2009; Ji et al., 2009; Wu et al., 2010</w:t>
      </w:r>
      <w:r>
        <w:rPr>
          <w:sz w:val="13"/>
        </w:rPr>
        <w:t>).</w:t>
      </w:r>
    </w:p>
    <w:p w14:paraId="4F6EC48E" w14:textId="77777777" w:rsidR="00F64F7F" w:rsidRDefault="0056380C">
      <w:pPr>
        <w:spacing w:after="0" w:line="259" w:lineRule="auto"/>
        <w:ind w:left="1981" w:firstLine="0"/>
        <w:jc w:val="left"/>
      </w:pPr>
      <w:r>
        <w:rPr>
          <w:noProof/>
        </w:rPr>
        <w:lastRenderedPageBreak/>
        <w:drawing>
          <wp:inline distT="0" distB="0" distL="0" distR="0" wp14:anchorId="5D16EC93" wp14:editId="537EA2A3">
            <wp:extent cx="4301859" cy="8644319"/>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25"/>
                    <a:stretch>
                      <a:fillRect/>
                    </a:stretch>
                  </pic:blipFill>
                  <pic:spPr>
                    <a:xfrm>
                      <a:off x="0" y="0"/>
                      <a:ext cx="4301859" cy="8644319"/>
                    </a:xfrm>
                    <a:prstGeom prst="rect">
                      <a:avLst/>
                    </a:prstGeom>
                  </pic:spPr>
                </pic:pic>
              </a:graphicData>
            </a:graphic>
          </wp:inline>
        </w:drawing>
      </w:r>
    </w:p>
    <w:p w14:paraId="67775B1E" w14:textId="77777777" w:rsidR="00F64F7F" w:rsidRDefault="0056380C">
      <w:pPr>
        <w:spacing w:after="213" w:line="259" w:lineRule="auto"/>
        <w:ind w:left="1544" w:firstLine="0"/>
        <w:jc w:val="left"/>
      </w:pPr>
      <w:r>
        <w:rPr>
          <w:noProof/>
        </w:rPr>
        <w:lastRenderedPageBreak/>
        <w:drawing>
          <wp:inline distT="0" distB="0" distL="0" distR="0" wp14:anchorId="3C321BE2" wp14:editId="696490AE">
            <wp:extent cx="4631233" cy="1826641"/>
            <wp:effectExtent l="0" t="0" r="0" b="0"/>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26"/>
                    <a:stretch>
                      <a:fillRect/>
                    </a:stretch>
                  </pic:blipFill>
                  <pic:spPr>
                    <a:xfrm>
                      <a:off x="0" y="0"/>
                      <a:ext cx="4631233" cy="1826641"/>
                    </a:xfrm>
                    <a:prstGeom prst="rect">
                      <a:avLst/>
                    </a:prstGeom>
                  </pic:spPr>
                </pic:pic>
              </a:graphicData>
            </a:graphic>
          </wp:inline>
        </w:drawing>
      </w:r>
    </w:p>
    <w:p w14:paraId="68EF7E70" w14:textId="77777777" w:rsidR="00F64F7F" w:rsidRDefault="0056380C">
      <w:pPr>
        <w:spacing w:line="256" w:lineRule="auto"/>
        <w:ind w:left="-15" w:firstLine="0"/>
      </w:pPr>
      <w:r>
        <w:rPr>
          <w:rFonts w:ascii="Calibri" w:eastAsia="Calibri" w:hAnsi="Calibri" w:cs="Calibri"/>
          <w:sz w:val="13"/>
        </w:rPr>
        <w:t xml:space="preserve">Fig. 7. </w:t>
      </w:r>
      <w:r>
        <w:rPr>
          <w:sz w:val="13"/>
        </w:rPr>
        <w:t xml:space="preserve">Hf isotopic features of detrital zircons from the upper Cretaceous strata of the Tethys Himalaya in the Gyangze area. The compositional areas shown in (B) are from </w:t>
      </w:r>
      <w:r>
        <w:rPr>
          <w:color w:val="422874"/>
          <w:sz w:val="13"/>
        </w:rPr>
        <w:t>Liang et al.</w:t>
      </w:r>
      <w:r>
        <w:rPr>
          <w:color w:val="422874"/>
          <w:sz w:val="13"/>
        </w:rPr>
        <w:t>,</w:t>
      </w:r>
    </w:p>
    <w:p w14:paraId="46D28825" w14:textId="77777777" w:rsidR="00F64F7F" w:rsidRDefault="00F64F7F">
      <w:pPr>
        <w:sectPr w:rsidR="00F64F7F">
          <w:type w:val="continuous"/>
          <w:pgSz w:w="11906" w:h="15874"/>
          <w:pgMar w:top="1064" w:right="850" w:bottom="974" w:left="675" w:header="720" w:footer="720" w:gutter="0"/>
          <w:cols w:space="720"/>
        </w:sectPr>
      </w:pPr>
    </w:p>
    <w:p w14:paraId="15BDDE24" w14:textId="77777777" w:rsidR="00F64F7F" w:rsidRDefault="0056380C">
      <w:pPr>
        <w:spacing w:after="502" w:line="256" w:lineRule="auto"/>
        <w:ind w:left="-15" w:firstLine="0"/>
      </w:pPr>
      <w:r>
        <w:rPr>
          <w:color w:val="422874"/>
          <w:sz w:val="13"/>
        </w:rPr>
        <w:t>2008</w:t>
      </w:r>
      <w:r>
        <w:rPr>
          <w:sz w:val="13"/>
        </w:rPr>
        <w:t>. Depleted Mantle (DM), Chondritic Uniform Reservoir (CHUR).</w:t>
      </w:r>
    </w:p>
    <w:p w14:paraId="2FFFD7BB" w14:textId="77777777" w:rsidR="00F64F7F" w:rsidRDefault="0056380C">
      <w:pPr>
        <w:spacing w:after="194"/>
        <w:ind w:left="-15" w:firstLine="0"/>
      </w:pPr>
      <w:r>
        <w:t xml:space="preserve">sample from the Zongzhuo Formation has </w:t>
      </w:r>
      <w:r>
        <w:rPr>
          <w:rFonts w:ascii="Calibri" w:eastAsia="Calibri" w:hAnsi="Calibri" w:cs="Calibri"/>
        </w:rPr>
        <w:t>ε</w:t>
      </w:r>
      <w:proofErr w:type="gramStart"/>
      <w:r>
        <w:t>Nd</w:t>
      </w:r>
      <w:r>
        <w:rPr>
          <w:vertAlign w:val="subscript"/>
        </w:rPr>
        <w:t>(</w:t>
      </w:r>
      <w:proofErr w:type="gramEnd"/>
      <w:r>
        <w:rPr>
          <w:vertAlign w:val="subscript"/>
        </w:rPr>
        <w:t>0)</w:t>
      </w:r>
      <w:r>
        <w:t>=</w:t>
      </w:r>
      <w:r>
        <w:rPr>
          <w:rFonts w:ascii="Calibri" w:eastAsia="Calibri" w:hAnsi="Calibri" w:cs="Calibri"/>
        </w:rPr>
        <w:t>−</w:t>
      </w:r>
      <w:r>
        <w:t xml:space="preserve">10.27 which is higher than that of the Tethys Himalaya rocks and indicates input of juvenile detritus. The sample from the Rilang conglomerate has positive </w:t>
      </w:r>
      <w:r>
        <w:rPr>
          <w:rFonts w:ascii="Calibri" w:eastAsia="Calibri" w:hAnsi="Calibri" w:cs="Calibri"/>
        </w:rPr>
        <w:t>ε</w:t>
      </w:r>
      <w:proofErr w:type="gramStart"/>
      <w:r>
        <w:t>Nd</w:t>
      </w:r>
      <w:r>
        <w:rPr>
          <w:vertAlign w:val="subscript"/>
        </w:rPr>
        <w:t>(</w:t>
      </w:r>
      <w:proofErr w:type="gramEnd"/>
      <w:r>
        <w:rPr>
          <w:vertAlign w:val="subscript"/>
        </w:rPr>
        <w:t>0)</w:t>
      </w:r>
      <w:r>
        <w:t>=1.92 and low Sr and therefore was derived mainly from a juvenile source. The Nd isotopic data</w:t>
      </w:r>
      <w:r>
        <w:t xml:space="preserve"> indicate that both samples in this study aremore isotopicallyjuvenilethantheTethys </w:t>
      </w:r>
      <w:proofErr w:type="gramStart"/>
      <w:r>
        <w:t>Himalaya,theHigher</w:t>
      </w:r>
      <w:proofErr w:type="gramEnd"/>
      <w:r>
        <w:t xml:space="preserve"> Himalaya, and the Lesser Himalaya. Input of arc material as shown by </w:t>
      </w:r>
      <w:r>
        <w:rPr>
          <w:rFonts w:ascii="Calibri" w:eastAsia="Calibri" w:hAnsi="Calibri" w:cs="Calibri"/>
        </w:rPr>
        <w:t>ε</w:t>
      </w:r>
      <w:proofErr w:type="gramStart"/>
      <w:r>
        <w:t>Nd</w:t>
      </w:r>
      <w:r>
        <w:rPr>
          <w:vertAlign w:val="subscript"/>
        </w:rPr>
        <w:t>(</w:t>
      </w:r>
      <w:proofErr w:type="gramEnd"/>
      <w:r>
        <w:rPr>
          <w:vertAlign w:val="subscript"/>
        </w:rPr>
        <w:t xml:space="preserve">0) </w:t>
      </w:r>
      <w:r>
        <w:t>is consistent with the results of petrology, the presence of arcrelated spine</w:t>
      </w:r>
      <w:r>
        <w:t>l, and the detrital zircon U</w:t>
      </w:r>
      <w:r>
        <w:rPr>
          <w:rFonts w:ascii="Calibri" w:eastAsia="Calibri" w:hAnsi="Calibri" w:cs="Calibri"/>
        </w:rPr>
        <w:t>–</w:t>
      </w:r>
      <w:r>
        <w:t>Pb</w:t>
      </w:r>
      <w:r>
        <w:rPr>
          <w:rFonts w:ascii="Calibri" w:eastAsia="Calibri" w:hAnsi="Calibri" w:cs="Calibri"/>
        </w:rPr>
        <w:t>–</w:t>
      </w:r>
      <w:r>
        <w:t>Hf data.</w:t>
      </w:r>
    </w:p>
    <w:p w14:paraId="0503F3CF" w14:textId="77777777" w:rsidR="00F64F7F" w:rsidRDefault="0056380C">
      <w:pPr>
        <w:pStyle w:val="2"/>
        <w:ind w:left="-5"/>
      </w:pPr>
      <w:r>
        <w:t>6.4. Cretaceous strata provenances</w:t>
      </w:r>
    </w:p>
    <w:p w14:paraId="03ACFBA2" w14:textId="77777777" w:rsidR="00F64F7F" w:rsidRDefault="0056380C">
      <w:pPr>
        <w:ind w:left="-15"/>
      </w:pPr>
      <w:r>
        <w:t xml:space="preserve">Combining </w:t>
      </w:r>
      <w:r>
        <w:rPr>
          <w:rFonts w:ascii="Calibri" w:eastAsia="Calibri" w:hAnsi="Calibri" w:cs="Calibri"/>
        </w:rPr>
        <w:t>fi</w:t>
      </w:r>
      <w:r>
        <w:t>eld observations, together with petrologic, detrital zircon U</w:t>
      </w:r>
      <w:r>
        <w:rPr>
          <w:rFonts w:ascii="Calibri" w:eastAsia="Calibri" w:hAnsi="Calibri" w:cs="Calibri"/>
        </w:rPr>
        <w:t>–</w:t>
      </w:r>
      <w:r>
        <w:t>Pb</w:t>
      </w:r>
      <w:r>
        <w:rPr>
          <w:rFonts w:ascii="Calibri" w:eastAsia="Calibri" w:hAnsi="Calibri" w:cs="Calibri"/>
        </w:rPr>
        <w:t>–</w:t>
      </w:r>
      <w:r>
        <w:t>Hf, Cr</w:t>
      </w:r>
      <w:r>
        <w:rPr>
          <w:rFonts w:ascii="Calibri" w:eastAsia="Calibri" w:hAnsi="Calibri" w:cs="Calibri"/>
        </w:rPr>
        <w:t>–</w:t>
      </w:r>
      <w:r>
        <w:t>spinel composition and bulk rock Nd-isotopic data, the simplest explanation of provenances of th</w:t>
      </w:r>
      <w:r>
        <w:t>e late Cretaceous strata is as follows:</w:t>
      </w:r>
    </w:p>
    <w:p w14:paraId="1E3E2881" w14:textId="77777777" w:rsidR="00F64F7F" w:rsidRDefault="0056380C">
      <w:pPr>
        <w:ind w:left="-15"/>
      </w:pPr>
      <w:r>
        <w:t>Samples from the Jiabula Formation are quartz-rich and lithicpoor, showing signatures of a continental block provenance. Detrital zircons show an Indian provenance and are consistent with conclusions from petrology a</w:t>
      </w:r>
      <w:r>
        <w:t>nd Cr</w:t>
      </w:r>
      <w:r>
        <w:rPr>
          <w:rFonts w:ascii="Calibri" w:eastAsia="Calibri" w:hAnsi="Calibri" w:cs="Calibri"/>
        </w:rPr>
        <w:t>–</w:t>
      </w:r>
      <w:r>
        <w:t xml:space="preserve">spinels geochemistry of the Tianba </w:t>
      </w:r>
      <w:r>
        <w:rPr>
          <w:rFonts w:ascii="Calibri" w:eastAsia="Calibri" w:hAnsi="Calibri" w:cs="Calibri"/>
        </w:rPr>
        <w:t>fl</w:t>
      </w:r>
      <w:r>
        <w:t>ysh which also indicated an Indian continent provenance (</w:t>
      </w:r>
      <w:r>
        <w:rPr>
          <w:color w:val="422874"/>
        </w:rPr>
        <w:t>Zhu et al., 2005b</w:t>
      </w:r>
      <w:r>
        <w:t>). The fact that no Cr-spinels from the Yarlung Zangbo suture zone and Cretaceous zircons from the Gangdese arc are present in this formati</w:t>
      </w:r>
      <w:r>
        <w:t>on indicates that the Gangdese arc-trench system did not supply sediments to the Jiabula Formation.</w:t>
      </w:r>
    </w:p>
    <w:p w14:paraId="51A4AE9C" w14:textId="77777777" w:rsidR="00F64F7F" w:rsidRDefault="0056380C">
      <w:pPr>
        <w:ind w:left="-15"/>
      </w:pPr>
      <w:r>
        <w:t xml:space="preserve">Samples from the Zongzhuo Formation are lithic-rich and relatively quartz-poor and show signatures of a recycled orogenic provenance. Besides the </w:t>
      </w:r>
      <w:r>
        <w:rPr>
          <w:rFonts w:ascii="Calibri" w:eastAsia="Calibri" w:hAnsi="Calibri" w:cs="Calibri"/>
        </w:rPr>
        <w:t>N</w:t>
      </w:r>
      <w:r>
        <w:t>500 Ma zi</w:t>
      </w:r>
      <w:r>
        <w:t>rcons derived from the Tethys Himalaya or Lhasa terrane, a sudden in</w:t>
      </w:r>
      <w:r>
        <w:rPr>
          <w:rFonts w:ascii="Calibri" w:eastAsia="Calibri" w:hAnsi="Calibri" w:cs="Calibri"/>
        </w:rPr>
        <w:t>fl</w:t>
      </w:r>
      <w:r>
        <w:t xml:space="preserve">ux of Cretaceous-age zircons with positive </w:t>
      </w:r>
      <w:r>
        <w:rPr>
          <w:rFonts w:ascii="Calibri" w:eastAsia="Calibri" w:hAnsi="Calibri" w:cs="Calibri"/>
        </w:rPr>
        <w:t>ε</w:t>
      </w:r>
      <w:r>
        <w:t>Hf</w:t>
      </w:r>
      <w:r>
        <w:rPr>
          <w:vertAlign w:val="subscript"/>
        </w:rPr>
        <w:t xml:space="preserve">(t) </w:t>
      </w:r>
      <w:r>
        <w:t>and intermediate volcanic fragments indicates a source of sediment from a juvenile arc. The Nd isotopic data support the above zircon da</w:t>
      </w:r>
      <w:r>
        <w:t xml:space="preserve">ta and indicated that the Zongzhuo Formation is </w:t>
      </w:r>
      <w:r>
        <w:t>more isotopically juvenile than that of the Tethys Himalaya. The presence of Cr</w:t>
      </w:r>
      <w:r>
        <w:rPr>
          <w:rFonts w:ascii="Calibri" w:eastAsia="Calibri" w:hAnsi="Calibri" w:cs="Calibri"/>
        </w:rPr>
        <w:t>–</w:t>
      </w:r>
      <w:r>
        <w:t>spinels with SSZ af</w:t>
      </w:r>
      <w:r>
        <w:rPr>
          <w:rFonts w:ascii="Calibri" w:eastAsia="Calibri" w:hAnsi="Calibri" w:cs="Calibri"/>
        </w:rPr>
        <w:t>fi</w:t>
      </w:r>
      <w:r>
        <w:t>nity indicates that Neo-Tethys oceanic crust was also a source area. Therefore, the Zongzhuo Formation is i</w:t>
      </w:r>
      <w:r>
        <w:t>nterpreted to have mainly been shed from northern suture zone and Gangdese arc. While the provenance of old detrital zircons (</w:t>
      </w:r>
      <w:r>
        <w:rPr>
          <w:rFonts w:ascii="Calibri" w:eastAsia="Calibri" w:hAnsi="Calibri" w:cs="Calibri"/>
        </w:rPr>
        <w:t>N</w:t>
      </w:r>
      <w:r>
        <w:t>500 Ma) is not clear.</w:t>
      </w:r>
    </w:p>
    <w:p w14:paraId="35CB7708" w14:textId="77777777" w:rsidR="00F64F7F" w:rsidRDefault="0056380C">
      <w:pPr>
        <w:spacing w:after="206"/>
        <w:ind w:left="-15" w:right="176"/>
      </w:pPr>
      <w:r>
        <w:t xml:space="preserve">The Rilang conglomerate is characteristic of gravity </w:t>
      </w:r>
      <w:r>
        <w:rPr>
          <w:rFonts w:ascii="Calibri" w:eastAsia="Calibri" w:hAnsi="Calibri" w:cs="Calibri"/>
        </w:rPr>
        <w:t>fl</w:t>
      </w:r>
      <w:r>
        <w:t>ows. Samples are feldspar- and lithic-rich and monoc</w:t>
      </w:r>
      <w:r>
        <w:t xml:space="preserve">rystalline quartz-poor, showing signatures of arc provenance and trench facies. Detrital zircons are almost all Mesozoic in age and show positive </w:t>
      </w:r>
      <w:r>
        <w:rPr>
          <w:rFonts w:ascii="Calibri" w:eastAsia="Calibri" w:hAnsi="Calibri" w:cs="Calibri"/>
        </w:rPr>
        <w:t>ε</w:t>
      </w:r>
      <w:r>
        <w:t>Hf</w:t>
      </w:r>
      <w:r>
        <w:rPr>
          <w:vertAlign w:val="subscript"/>
        </w:rPr>
        <w:t xml:space="preserve">(t) </w:t>
      </w:r>
      <w:r>
        <w:t xml:space="preserve">values. Combined with positive </w:t>
      </w:r>
      <w:r>
        <w:rPr>
          <w:rFonts w:ascii="Calibri" w:eastAsia="Calibri" w:hAnsi="Calibri" w:cs="Calibri"/>
        </w:rPr>
        <w:t>ε</w:t>
      </w:r>
      <w:proofErr w:type="gramStart"/>
      <w:r>
        <w:t>Nd</w:t>
      </w:r>
      <w:r>
        <w:rPr>
          <w:vertAlign w:val="subscript"/>
        </w:rPr>
        <w:t>(</w:t>
      </w:r>
      <w:proofErr w:type="gramEnd"/>
      <w:r>
        <w:rPr>
          <w:vertAlign w:val="subscript"/>
        </w:rPr>
        <w:t xml:space="preserve">0) </w:t>
      </w:r>
      <w:r>
        <w:t>and Cr</w:t>
      </w:r>
      <w:r>
        <w:rPr>
          <w:rFonts w:ascii="Calibri" w:eastAsia="Calibri" w:hAnsi="Calibri" w:cs="Calibri"/>
        </w:rPr>
        <w:t>–</w:t>
      </w:r>
      <w:r>
        <w:t>spinels with arc af</w:t>
      </w:r>
      <w:r>
        <w:rPr>
          <w:rFonts w:ascii="Calibri" w:eastAsia="Calibri" w:hAnsi="Calibri" w:cs="Calibri"/>
        </w:rPr>
        <w:t>fi</w:t>
      </w:r>
      <w:r>
        <w:t>nity, detritus of the Rilang conglome</w:t>
      </w:r>
      <w:r>
        <w:t xml:space="preserve">rate were mainly derived from a juvenile arc and suture zone. Paleocurrent data indicate that the source was located to the north of the location where the conglomerate was deposited. The values of </w:t>
      </w:r>
      <w:r>
        <w:rPr>
          <w:rFonts w:ascii="Calibri" w:eastAsia="Calibri" w:hAnsi="Calibri" w:cs="Calibri"/>
        </w:rPr>
        <w:t>ε</w:t>
      </w:r>
      <w:proofErr w:type="gramStart"/>
      <w:r>
        <w:t>Nd</w:t>
      </w:r>
      <w:r>
        <w:rPr>
          <w:vertAlign w:val="subscript"/>
        </w:rPr>
        <w:t>(</w:t>
      </w:r>
      <w:proofErr w:type="gramEnd"/>
      <w:r>
        <w:rPr>
          <w:vertAlign w:val="subscript"/>
        </w:rPr>
        <w:t xml:space="preserve">0) </w:t>
      </w:r>
      <w:r>
        <w:t>shifted from negative for the Zongzhuo Formation to</w:t>
      </w:r>
      <w:r>
        <w:t xml:space="preserve"> positive for the Rilang conglomerate and the decrease of number of old zircon (</w:t>
      </w:r>
      <w:r>
        <w:rPr>
          <w:rFonts w:ascii="Calibri" w:eastAsia="Calibri" w:hAnsi="Calibri" w:cs="Calibri"/>
        </w:rPr>
        <w:t>N</w:t>
      </w:r>
      <w:r>
        <w:t>500 Ma) grains indicates increasing contributions from the arc and suture zone. Therefore, Rilang conglomerate is interpreted to have totally been shed from northern suture zo</w:t>
      </w:r>
      <w:r>
        <w:t>ne and Gangdese arc.</w:t>
      </w:r>
    </w:p>
    <w:p w14:paraId="59A23802" w14:textId="77777777" w:rsidR="00F64F7F" w:rsidRDefault="0056380C">
      <w:pPr>
        <w:pStyle w:val="2"/>
        <w:ind w:left="-5"/>
      </w:pPr>
      <w:r>
        <w:t>6.5. Tectonic evolution</w:t>
      </w:r>
    </w:p>
    <w:tbl>
      <w:tblPr>
        <w:tblStyle w:val="TableGrid"/>
        <w:tblpPr w:vertAnchor="text" w:horzAnchor="margin" w:tblpY="4091"/>
        <w:tblOverlap w:val="never"/>
        <w:tblW w:w="10382" w:type="dxa"/>
        <w:tblInd w:w="0" w:type="dxa"/>
        <w:tblCellMar>
          <w:top w:w="0" w:type="dxa"/>
          <w:left w:w="0" w:type="dxa"/>
          <w:bottom w:w="0" w:type="dxa"/>
          <w:right w:w="177" w:type="dxa"/>
        </w:tblCellMar>
        <w:tblLook w:val="04A0" w:firstRow="1" w:lastRow="0" w:firstColumn="1" w:lastColumn="0" w:noHBand="0" w:noVBand="1"/>
      </w:tblPr>
      <w:tblGrid>
        <w:gridCol w:w="10382"/>
      </w:tblGrid>
      <w:tr w:rsidR="00F64F7F" w14:paraId="40390FC0" w14:textId="77777777">
        <w:trPr>
          <w:trHeight w:val="664"/>
        </w:trPr>
        <w:tc>
          <w:tcPr>
            <w:tcW w:w="10381" w:type="dxa"/>
            <w:tcBorders>
              <w:top w:val="nil"/>
              <w:left w:val="nil"/>
              <w:bottom w:val="nil"/>
              <w:right w:val="nil"/>
            </w:tcBorders>
            <w:vAlign w:val="bottom"/>
          </w:tcPr>
          <w:p w14:paraId="3F4B9738" w14:textId="77777777" w:rsidR="00F64F7F" w:rsidRDefault="0056380C">
            <w:pPr>
              <w:spacing w:after="213" w:line="259" w:lineRule="auto"/>
              <w:ind w:left="1526" w:firstLine="0"/>
              <w:jc w:val="left"/>
            </w:pPr>
            <w:r>
              <w:rPr>
                <w:noProof/>
              </w:rPr>
              <w:drawing>
                <wp:inline distT="0" distB="0" distL="0" distR="0" wp14:anchorId="520F4C69" wp14:editId="2FF332E2">
                  <wp:extent cx="4434535" cy="1697038"/>
                  <wp:effectExtent l="0" t="0" r="0" b="0"/>
                  <wp:docPr id="1938" name="Picture 1938"/>
                  <wp:cNvGraphicFramePr/>
                  <a:graphic xmlns:a="http://schemas.openxmlformats.org/drawingml/2006/main">
                    <a:graphicData uri="http://schemas.openxmlformats.org/drawingml/2006/picture">
                      <pic:pic xmlns:pic="http://schemas.openxmlformats.org/drawingml/2006/picture">
                        <pic:nvPicPr>
                          <pic:cNvPr id="1938" name="Picture 1938"/>
                          <pic:cNvPicPr/>
                        </pic:nvPicPr>
                        <pic:blipFill>
                          <a:blip r:embed="rId27"/>
                          <a:stretch>
                            <a:fillRect/>
                          </a:stretch>
                        </pic:blipFill>
                        <pic:spPr>
                          <a:xfrm>
                            <a:off x="0" y="0"/>
                            <a:ext cx="4434535" cy="1697038"/>
                          </a:xfrm>
                          <a:prstGeom prst="rect">
                            <a:avLst/>
                          </a:prstGeom>
                        </pic:spPr>
                      </pic:pic>
                    </a:graphicData>
                  </a:graphic>
                </wp:inline>
              </w:drawing>
            </w:r>
          </w:p>
          <w:p w14:paraId="51F507CC" w14:textId="77777777" w:rsidR="00F64F7F" w:rsidRDefault="0056380C">
            <w:pPr>
              <w:spacing w:after="0" w:line="259" w:lineRule="auto"/>
              <w:ind w:left="-176" w:firstLine="0"/>
            </w:pPr>
            <w:r>
              <w:rPr>
                <w:rFonts w:ascii="Calibri" w:eastAsia="Calibri" w:hAnsi="Calibri" w:cs="Calibri"/>
                <w:sz w:val="13"/>
              </w:rPr>
              <w:t xml:space="preserve">Fig. 8. </w:t>
            </w:r>
            <w:r>
              <w:rPr>
                <w:sz w:val="13"/>
              </w:rPr>
              <w:t>(A) TiO</w:t>
            </w:r>
            <w:r>
              <w:rPr>
                <w:sz w:val="13"/>
                <w:vertAlign w:val="subscript"/>
              </w:rPr>
              <w:t xml:space="preserve">2 </w:t>
            </w:r>
            <w:r>
              <w:rPr>
                <w:sz w:val="13"/>
              </w:rPr>
              <w:t>vs. Al</w:t>
            </w:r>
            <w:r>
              <w:rPr>
                <w:sz w:val="13"/>
                <w:vertAlign w:val="subscript"/>
              </w:rPr>
              <w:t>2</w:t>
            </w:r>
            <w:r>
              <w:rPr>
                <w:sz w:val="13"/>
              </w:rPr>
              <w:t>O</w:t>
            </w:r>
            <w:r>
              <w:rPr>
                <w:sz w:val="13"/>
                <w:vertAlign w:val="subscript"/>
              </w:rPr>
              <w:t xml:space="preserve">3 </w:t>
            </w:r>
            <w:r>
              <w:rPr>
                <w:sz w:val="13"/>
              </w:rPr>
              <w:t>and (B) Cr# [Cr/(Cr+Mg)] vs. Mg# [Mg/(Mg+Fe</w:t>
            </w:r>
            <w:r>
              <w:rPr>
                <w:sz w:val="13"/>
                <w:vertAlign w:val="superscript"/>
              </w:rPr>
              <w:t>2+</w:t>
            </w:r>
            <w:r>
              <w:rPr>
                <w:sz w:val="13"/>
              </w:rPr>
              <w:t>)] diagrams for detrital chromium</w:t>
            </w:r>
            <w:r>
              <w:rPr>
                <w:rFonts w:ascii="Calibri" w:eastAsia="Calibri" w:hAnsi="Calibri" w:cs="Calibri"/>
                <w:sz w:val="13"/>
              </w:rPr>
              <w:t>–</w:t>
            </w:r>
            <w:r>
              <w:rPr>
                <w:sz w:val="13"/>
              </w:rPr>
              <w:t xml:space="preserve">spinels from the Zongzhuo Formation and the Rilang conglomerate. Fields in </w:t>
            </w:r>
            <w:r>
              <w:rPr>
                <w:color w:val="422874"/>
                <w:sz w:val="13"/>
              </w:rPr>
              <w:t xml:space="preserve">Fig. 8 </w:t>
            </w:r>
            <w:r>
              <w:rPr>
                <w:sz w:val="13"/>
              </w:rPr>
              <w:t xml:space="preserve">(A) are based on the study of </w:t>
            </w:r>
            <w:r>
              <w:rPr>
                <w:color w:val="422874"/>
                <w:sz w:val="13"/>
              </w:rPr>
              <w:t>Kamenetsky et al. (2001)</w:t>
            </w:r>
            <w:r>
              <w:rPr>
                <w:sz w:val="13"/>
              </w:rPr>
              <w:t xml:space="preserve">. Fields in Fig. 8 (B) are based on the study of </w:t>
            </w:r>
            <w:r>
              <w:rPr>
                <w:color w:val="422874"/>
                <w:sz w:val="13"/>
              </w:rPr>
              <w:t>Dick and Bullen (1984)</w:t>
            </w:r>
            <w:r>
              <w:rPr>
                <w:sz w:val="13"/>
              </w:rPr>
              <w:t xml:space="preserve">). The Xigaze ophiolite </w:t>
            </w:r>
            <w:r>
              <w:rPr>
                <w:rFonts w:ascii="Calibri" w:eastAsia="Calibri" w:hAnsi="Calibri" w:cs="Calibri"/>
                <w:sz w:val="13"/>
              </w:rPr>
              <w:t>fi</w:t>
            </w:r>
            <w:r>
              <w:rPr>
                <w:sz w:val="13"/>
              </w:rPr>
              <w:t>eld is based on the ana</w:t>
            </w:r>
            <w:r>
              <w:rPr>
                <w:sz w:val="13"/>
              </w:rPr>
              <w:t xml:space="preserve">lysis of </w:t>
            </w:r>
            <w:r>
              <w:rPr>
                <w:color w:val="422874"/>
                <w:sz w:val="13"/>
              </w:rPr>
              <w:t>Wang et al. (1999)</w:t>
            </w:r>
            <w:r>
              <w:rPr>
                <w:sz w:val="13"/>
              </w:rPr>
              <w:t xml:space="preserve">. The Luobusa ophiolite </w:t>
            </w:r>
            <w:r>
              <w:rPr>
                <w:rFonts w:ascii="Calibri" w:eastAsia="Calibri" w:hAnsi="Calibri" w:cs="Calibri"/>
                <w:sz w:val="13"/>
              </w:rPr>
              <w:t>fi</w:t>
            </w:r>
            <w:r>
              <w:rPr>
                <w:sz w:val="13"/>
              </w:rPr>
              <w:t xml:space="preserve">eld is based on the analysis of </w:t>
            </w:r>
            <w:r>
              <w:rPr>
                <w:color w:val="422874"/>
                <w:sz w:val="13"/>
              </w:rPr>
              <w:t>Zhou et al. (1996)</w:t>
            </w:r>
            <w:r>
              <w:rPr>
                <w:sz w:val="13"/>
              </w:rPr>
              <w:t>. Continental Flood Basalts (CFB), Ocean Island Basalts (OIB), Mid-Ocean Ridge Basalts (MORB), Supra-subduction zone (SSZ).</w:t>
            </w:r>
          </w:p>
        </w:tc>
      </w:tr>
    </w:tbl>
    <w:p w14:paraId="681E0F24" w14:textId="77777777" w:rsidR="00F64F7F" w:rsidRDefault="0056380C">
      <w:pPr>
        <w:ind w:left="-15" w:right="177"/>
      </w:pPr>
      <w:r>
        <w:t>We present two contrasting m</w:t>
      </w:r>
      <w:r>
        <w:t>odels for the evolution history of the Neo-Tethys Ocean in south</w:t>
      </w:r>
      <w:r>
        <w:rPr>
          <w:rFonts w:ascii="Calibri" w:eastAsia="Calibri" w:hAnsi="Calibri" w:cs="Calibri"/>
        </w:rPr>
        <w:t>–</w:t>
      </w:r>
      <w:r>
        <w:t>central Tibet which both can explain the transition from southern Indian provenance of the Jiabula Formation to a northern arc and suture zone provenance of the Zongzhuo Formation and the Ril</w:t>
      </w:r>
      <w:r>
        <w:t>ang conglomerate (</w:t>
      </w:r>
      <w:r>
        <w:rPr>
          <w:color w:val="422874"/>
        </w:rPr>
        <w:t>Fig. 9</w:t>
      </w:r>
      <w:r>
        <w:t>).</w:t>
      </w:r>
    </w:p>
    <w:p w14:paraId="6437C279" w14:textId="77777777" w:rsidR="00F64F7F" w:rsidRDefault="0056380C">
      <w:pPr>
        <w:ind w:left="415" w:firstLine="0"/>
      </w:pPr>
      <w:r>
        <w:t>Model 1: Juvenile arc material represents Gangdese arc.</w:t>
      </w:r>
    </w:p>
    <w:p w14:paraId="4A2C9976" w14:textId="77777777" w:rsidR="00F64F7F" w:rsidRDefault="0056380C">
      <w:r>
        <w:t>The Gangdese arc consists of Mesozoic and Cenozoic magmatic rocks derived from a juvenile mantle source (</w:t>
      </w:r>
      <w:r>
        <w:rPr>
          <w:color w:val="422874"/>
        </w:rPr>
        <w:t>Chu et al., 2006; Ji et al., 2009; Mo et al., 2007; Wen et al., 2008</w:t>
      </w:r>
      <w:r>
        <w:rPr>
          <w:color w:val="422874"/>
        </w:rPr>
        <w:t>; Zhu et al., 2008;</w:t>
      </w:r>
      <w:r>
        <w:t>), which could have supplied detrital materials for the Zongzhuo Formation and the Rilang conglomerate (</w:t>
      </w:r>
      <w:r>
        <w:rPr>
          <w:color w:val="422874"/>
        </w:rPr>
        <w:t>Fig. 9</w:t>
      </w:r>
      <w:r>
        <w:t>A).</w:t>
      </w:r>
    </w:p>
    <w:p w14:paraId="2C082739" w14:textId="77777777" w:rsidR="00F64F7F" w:rsidRDefault="0056380C">
      <w:r>
        <w:lastRenderedPageBreak/>
        <w:t>During the latest Cretaceous, it has been proposed that the Gangdese arc had already been uplifted to signi</w:t>
      </w:r>
      <w:r>
        <w:rPr>
          <w:rFonts w:ascii="Calibri" w:eastAsia="Calibri" w:hAnsi="Calibri" w:cs="Calibri"/>
        </w:rPr>
        <w:t>fi</w:t>
      </w:r>
      <w:r>
        <w:t>cant elevation</w:t>
      </w:r>
      <w:r>
        <w:t xml:space="preserve"> and could have shed sediments to basins to both the north and south (</w:t>
      </w:r>
      <w:r>
        <w:rPr>
          <w:color w:val="422874"/>
        </w:rPr>
        <w:t>DeCelles et al., 2007; Ding and Lai, 2003; Kapp et al., 2005; Kapp et al., 2007; Leier et al., 2007b; Murphy et al., 1997; Wu et al., 2010</w:t>
      </w:r>
      <w:r>
        <w:t>). Although the fore-arc basin includes Paleocen</w:t>
      </w:r>
      <w:r>
        <w:t>e</w:t>
      </w:r>
      <w:r>
        <w:rPr>
          <w:rFonts w:ascii="Calibri" w:eastAsia="Calibri" w:hAnsi="Calibri" w:cs="Calibri"/>
        </w:rPr>
        <w:t>–</w:t>
      </w:r>
      <w:r>
        <w:t>Eocene marine strata in the Tso-jiangding area to the west of our study area (</w:t>
      </w:r>
      <w:r>
        <w:rPr>
          <w:color w:val="422874"/>
        </w:rPr>
        <w:t>Ding et al., 2005</w:t>
      </w:r>
      <w:r>
        <w:t>), it could have been over</w:t>
      </w:r>
      <w:r>
        <w:rPr>
          <w:rFonts w:ascii="Calibri" w:eastAsia="Calibri" w:hAnsi="Calibri" w:cs="Calibri"/>
        </w:rPr>
        <w:t>fi</w:t>
      </w:r>
      <w:r>
        <w:t>lled in the Xigaze area (</w:t>
      </w:r>
      <w:r>
        <w:rPr>
          <w:color w:val="422874"/>
        </w:rPr>
        <w:t>Dürr, 1996; Einsele et al., 1994</w:t>
      </w:r>
      <w:r>
        <w:t>) with sediments shed from the Gangdese arc (</w:t>
      </w:r>
      <w:r>
        <w:rPr>
          <w:color w:val="422874"/>
        </w:rPr>
        <w:t>Dürr, 1996; Wu et al., 2010</w:t>
      </w:r>
      <w:r>
        <w:t>),</w:t>
      </w:r>
      <w:r>
        <w:t xml:space="preserve"> and became a shallow platform setting marking the end of the forearc basin (</w:t>
      </w:r>
      <w:r>
        <w:rPr>
          <w:color w:val="422874"/>
        </w:rPr>
        <w:t>Wan et al., 1997</w:t>
      </w:r>
      <w:r>
        <w:t>). Therefore, detrital sediments could deposit further south to the Indian passive margin across the Xigaze forearc basin which is con</w:t>
      </w:r>
      <w:r>
        <w:rPr>
          <w:rFonts w:ascii="Calibri" w:eastAsia="Calibri" w:hAnsi="Calibri" w:cs="Calibri"/>
        </w:rPr>
        <w:t>fi</w:t>
      </w:r>
      <w:r>
        <w:t>rmed by the similarity of d</w:t>
      </w:r>
      <w:r>
        <w:t>etrital zircon patterns between the Zongzhuo Formation and the strata of Xigaze forearc basin (</w:t>
      </w:r>
      <w:r>
        <w:rPr>
          <w:color w:val="422874"/>
        </w:rPr>
        <w:t>Wu et al., 2010</w:t>
      </w:r>
      <w:r>
        <w:t>). Meanwhile, the Zongzhuo Formation and the Rilang conglomerate included detrital sediments from the accretionary prism (</w:t>
      </w:r>
      <w:r>
        <w:rPr>
          <w:color w:val="422874"/>
        </w:rPr>
        <w:t>Liu and Einsele, 1996</w:t>
      </w:r>
      <w:r>
        <w:t>) a</w:t>
      </w:r>
      <w:r>
        <w:t>nd the Gangdese arc, which indicates initial contact between the Indian plate and Lhasa terrane at that time.</w:t>
      </w:r>
    </w:p>
    <w:p w14:paraId="4FD58A00" w14:textId="77777777" w:rsidR="00F64F7F" w:rsidRDefault="0056380C">
      <w:r>
        <w:t>Provenance of the upper Cretaceous strata changed during the deposition of Chuangde Formation in Gyangze area. This similar change is also observe</w:t>
      </w:r>
      <w:r>
        <w:t>d in Saga area (Ding, 2011, unpublished data). Therefore, the transition from the southern Indian provenance of the Jiabula Formation to the northern Gangdese arc source of the Zongzhuo Formation and Rilang conglomerate indicates that the initial collision</w:t>
      </w:r>
      <w:r>
        <w:t xml:space="preserve"> between the India and Asia plates occurred during Maastrichtian (~70</w:t>
      </w:r>
      <w:r>
        <w:rPr>
          <w:rFonts w:ascii="Calibri" w:eastAsia="Calibri" w:hAnsi="Calibri" w:cs="Calibri"/>
        </w:rPr>
        <w:t>–</w:t>
      </w:r>
      <w:r>
        <w:t xml:space="preserve">65 Ma).The initial collision caused </w:t>
      </w:r>
      <w:r>
        <w:rPr>
          <w:rFonts w:ascii="Calibri" w:eastAsia="Calibri" w:hAnsi="Calibri" w:cs="Calibri"/>
        </w:rPr>
        <w:t>fl</w:t>
      </w:r>
      <w:r>
        <w:t>exure of the downgoing Indian plate, and may be responsible for the drastic sedimentary pattern changes from continental shelf to slope (</w:t>
      </w:r>
      <w:r>
        <w:rPr>
          <w:color w:val="422874"/>
        </w:rPr>
        <w:t xml:space="preserve">Willems et </w:t>
      </w:r>
      <w:r>
        <w:rPr>
          <w:color w:val="422874"/>
        </w:rPr>
        <w:t>al., 1996</w:t>
      </w:r>
      <w:r>
        <w:t>) and the sharp increase in the rate of tectonic subsidence curve (</w:t>
      </w:r>
      <w:r>
        <w:rPr>
          <w:color w:val="422874"/>
        </w:rPr>
        <w:t>Rowley, 1998</w:t>
      </w:r>
      <w:r>
        <w:t>), which were observed near Tingri at about 68 Ma in the southern Tethys Himalaya. The initial collision also caused the deformation of the overriding Lhasa terrane, as</w:t>
      </w:r>
      <w:r>
        <w:t xml:space="preserve"> recorded by major shortening of the late Cretaceous Takena Formation prior to early Tertiary Linzizong Group volcanism.</w:t>
      </w:r>
    </w:p>
    <w:p w14:paraId="4E1C091A" w14:textId="77777777" w:rsidR="00F64F7F" w:rsidRDefault="0056380C">
      <w:r>
        <w:t>Paleomagnetism is an effective approach for quantifying paleogeography and constraining plate paleopositions. Paleomagnetic studies sho</w:t>
      </w:r>
      <w:r>
        <w:t>w that the southern margin of Lhasa terrane was located at 11.5°N±6.2° during the deposition of the late Cretaceous Takena Formation (</w:t>
      </w:r>
      <w:r>
        <w:rPr>
          <w:color w:val="422874"/>
        </w:rPr>
        <w:t>Achache et al., 1984</w:t>
      </w:r>
      <w:r>
        <w:t>). In contrast, the northern margin of the Indian continent was located at ~5°S±5° during 71</w:t>
      </w:r>
      <w:r>
        <w:rPr>
          <w:rFonts w:ascii="Calibri" w:eastAsia="Calibri" w:hAnsi="Calibri" w:cs="Calibri"/>
        </w:rPr>
        <w:t>–</w:t>
      </w:r>
      <w:r>
        <w:t>65 Ma (</w:t>
      </w:r>
      <w:r>
        <w:rPr>
          <w:color w:val="422874"/>
        </w:rPr>
        <w:t>Ch</w:t>
      </w:r>
      <w:r>
        <w:rPr>
          <w:color w:val="422874"/>
        </w:rPr>
        <w:t>en et al., 2010; Dupont-Nivet et al., 2010; Patzelt et al., 1996</w:t>
      </w:r>
      <w:r>
        <w:t>). Though detailed problems such as the shape and extent of greater India (</w:t>
      </w:r>
      <w:r>
        <w:rPr>
          <w:color w:val="422874"/>
        </w:rPr>
        <w:t>Ali and Aitchison, 2005</w:t>
      </w:r>
      <w:r>
        <w:t>), secondary remagnetization (</w:t>
      </w:r>
      <w:r>
        <w:rPr>
          <w:color w:val="422874"/>
        </w:rPr>
        <w:t>Patzelt et al., 1996</w:t>
      </w:r>
      <w:r>
        <w:t>), and inclination shallowing (</w:t>
      </w:r>
      <w:r>
        <w:rPr>
          <w:color w:val="422874"/>
        </w:rPr>
        <w:t>Tan et al., 2010</w:t>
      </w:r>
      <w:r>
        <w:t xml:space="preserve">) are still debated, there is an agreement that there was still a huge gap between the Greater Indian continental margin and the Lhasa </w:t>
      </w:r>
      <w:proofErr w:type="gramStart"/>
      <w:r>
        <w:t>terraneduringthelatestCretaceous(</w:t>
      </w:r>
      <w:proofErr w:type="gramEnd"/>
      <w:r>
        <w:rPr>
          <w:color w:val="422874"/>
        </w:rPr>
        <w:t>Chenetal.,2010;Dupont-Nivetetal., 2010; L</w:t>
      </w:r>
      <w:r>
        <w:rPr>
          <w:color w:val="422874"/>
        </w:rPr>
        <w:t>iebke et al., 2010</w:t>
      </w:r>
      <w:r>
        <w:t>). Therefore, detrital sediments from the Lhasa terrane were impossible to deposit onto the Indian passive continental margin during late Cretaceous. This makes the early collision unreasonable. However, large uncertainties and low qualit</w:t>
      </w:r>
      <w:r>
        <w:t>y remain in existing paleomagnetic data, and paleomagnetic studies just provide a minimum age of initiation of India</w:t>
      </w:r>
      <w:r>
        <w:rPr>
          <w:rFonts w:ascii="Calibri" w:eastAsia="Calibri" w:hAnsi="Calibri" w:cs="Calibri"/>
        </w:rPr>
        <w:t>–</w:t>
      </w:r>
      <w:r>
        <w:t>Asia collision. Future study will help estimate the paleolatitude of the southern margin of Asia and northern margin of Tethys Himalaya and</w:t>
      </w:r>
      <w:r>
        <w:t xml:space="preserve"> thus constrain the precise paleo-position.</w:t>
      </w:r>
    </w:p>
    <w:p w14:paraId="249601E3" w14:textId="77777777" w:rsidR="00F64F7F" w:rsidRDefault="0056380C">
      <w:r>
        <w:t>Initial collision between the India plate and Lhasa terrane during Maastrichtian (~70</w:t>
      </w:r>
      <w:r>
        <w:rPr>
          <w:rFonts w:ascii="Calibri" w:eastAsia="Calibri" w:hAnsi="Calibri" w:cs="Calibri"/>
        </w:rPr>
        <w:t>–</w:t>
      </w:r>
      <w:r>
        <w:t>65 Ma) is challenged by the enormous amount of subsequent intracontinental shortening required. Early India</w:t>
      </w:r>
      <w:r>
        <w:rPr>
          <w:rFonts w:ascii="Calibri" w:eastAsia="Calibri" w:hAnsi="Calibri" w:cs="Calibri"/>
        </w:rPr>
        <w:t>–</w:t>
      </w:r>
      <w:r>
        <w:t>Asia collision pre</w:t>
      </w:r>
      <w:r>
        <w:t>dicts at least 2000 km of intercontinental shortening between 70 Ma and 55 Ma based on the relative convergence rate between India and Asia (</w:t>
      </w:r>
      <w:r>
        <w:rPr>
          <w:color w:val="422874"/>
        </w:rPr>
        <w:t>Copley et al., 2010</w:t>
      </w:r>
      <w:r>
        <w:t>). No Paleocene shortening in the Tethys Himalaya and minimal Paleocene shortening in southern L</w:t>
      </w:r>
      <w:r>
        <w:t>hasa terrane make this impossible (</w:t>
      </w:r>
      <w:r>
        <w:rPr>
          <w:color w:val="422874"/>
        </w:rPr>
        <w:t>Ding et al., 2005</w:t>
      </w:r>
      <w:r>
        <w:t xml:space="preserve">). </w:t>
      </w:r>
      <w:proofErr w:type="gramStart"/>
      <w:r>
        <w:t>However</w:t>
      </w:r>
      <w:proofErr w:type="gramEnd"/>
      <w:r>
        <w:t xml:space="preserve"> this record could have been totally subducted beneath the Lhasa block along the YZSZ or occurred further to the north within the entire Tibetan plateau (</w:t>
      </w:r>
      <w:r>
        <w:rPr>
          <w:color w:val="422874"/>
        </w:rPr>
        <w:t>Yin and Harrison, 2000</w:t>
      </w:r>
      <w:r>
        <w:t xml:space="preserve">). Alternatively, </w:t>
      </w:r>
      <w:r>
        <w:t>the convergence rate is based on the hypothesis that the motion of Indian is relative to the stable Eurasia (</w:t>
      </w:r>
      <w:r>
        <w:rPr>
          <w:color w:val="422874"/>
        </w:rPr>
        <w:t>Patriat and Achache, 1984</w:t>
      </w:r>
      <w:r>
        <w:t xml:space="preserve">). Considering the Eurasia was unstable </w:t>
      </w:r>
      <w:r>
        <w:t>and moving toward north, the real intracontinental shortening would be smaller tha</w:t>
      </w:r>
      <w:r>
        <w:t>n 2000 km.</w:t>
      </w:r>
    </w:p>
    <w:p w14:paraId="29D33A55" w14:textId="77777777" w:rsidR="00F64F7F" w:rsidRDefault="0056380C">
      <w:pPr>
        <w:ind w:left="-15"/>
      </w:pPr>
      <w:r>
        <w:t>Model 2: Juvenile arc material represents a disappeared intra-oceanic arc.</w:t>
      </w:r>
    </w:p>
    <w:p w14:paraId="277192B1" w14:textId="77777777" w:rsidR="00F64F7F" w:rsidRDefault="0056380C">
      <w:pPr>
        <w:ind w:left="-15"/>
      </w:pPr>
      <w:r>
        <w:t>An intra-oceanic oceanic arc could be active during 140</w:t>
      </w:r>
      <w:r>
        <w:rPr>
          <w:rFonts w:ascii="Calibri" w:eastAsia="Calibri" w:hAnsi="Calibri" w:cs="Calibri"/>
        </w:rPr>
        <w:t>–</w:t>
      </w:r>
      <w:r>
        <w:t>80 Ma within the Tethys Ocean based on our detrital zircon data from the Zongzhuo Formation and the Rilang conglom</w:t>
      </w:r>
      <w:r>
        <w:t xml:space="preserve">erate. Therefore, the </w:t>
      </w:r>
      <w:r>
        <w:rPr>
          <w:rFonts w:ascii="Calibri" w:eastAsia="Calibri" w:hAnsi="Calibri" w:cs="Calibri"/>
        </w:rPr>
        <w:t>fi</w:t>
      </w:r>
      <w:r>
        <w:t xml:space="preserve">rst appearance of Cretaceous zircons with positive </w:t>
      </w:r>
      <w:r>
        <w:rPr>
          <w:rFonts w:ascii="Calibri" w:eastAsia="Calibri" w:hAnsi="Calibri" w:cs="Calibri"/>
        </w:rPr>
        <w:t>ε</w:t>
      </w:r>
      <w:r>
        <w:t>Hf</w:t>
      </w:r>
      <w:r>
        <w:rPr>
          <w:vertAlign w:val="subscript"/>
        </w:rPr>
        <w:t xml:space="preserve">(t) </w:t>
      </w:r>
      <w:r>
        <w:t>and intraoceanic arc-related spinels record the obduction of an intra-oceanic subduction system onto the Indian passive continental margin during Maastrichtian (~70</w:t>
      </w:r>
      <w:r>
        <w:rPr>
          <w:rFonts w:ascii="Calibri" w:eastAsia="Calibri" w:hAnsi="Calibri" w:cs="Calibri"/>
        </w:rPr>
        <w:t>–</w:t>
      </w:r>
      <w:r>
        <w:t>65 Ma) (</w:t>
      </w:r>
      <w:r>
        <w:rPr>
          <w:color w:val="422874"/>
        </w:rPr>
        <w:t>F</w:t>
      </w:r>
      <w:r>
        <w:rPr>
          <w:color w:val="422874"/>
        </w:rPr>
        <w:t>ig. 9</w:t>
      </w:r>
      <w:r>
        <w:t>C).</w:t>
      </w:r>
    </w:p>
    <w:p w14:paraId="4B155289" w14:textId="77777777" w:rsidR="00F64F7F" w:rsidRDefault="0056380C">
      <w:pPr>
        <w:ind w:left="-15"/>
      </w:pPr>
      <w:r>
        <w:t>The continental Gangdese arc may have transitioned northwestward into the intra-oceanic Kohistan arc in northern Pakistan and northwestern India which was active during Aptian</w:t>
      </w:r>
      <w:r>
        <w:rPr>
          <w:rFonts w:ascii="Calibri" w:eastAsia="Calibri" w:hAnsi="Calibri" w:cs="Calibri"/>
        </w:rPr>
        <w:t>–</w:t>
      </w:r>
      <w:r>
        <w:t>Cenomanian (</w:t>
      </w:r>
      <w:r>
        <w:rPr>
          <w:color w:val="422874"/>
        </w:rPr>
        <w:t>Rolland et al., 2002</w:t>
      </w:r>
      <w:r>
        <w:t>), and collided with the Karakorum bloc</w:t>
      </w:r>
      <w:r>
        <w:t>k at 85</w:t>
      </w:r>
      <w:r>
        <w:rPr>
          <w:rFonts w:ascii="Calibri" w:eastAsia="Calibri" w:hAnsi="Calibri" w:cs="Calibri"/>
        </w:rPr>
        <w:t xml:space="preserve">– </w:t>
      </w:r>
      <w:r>
        <w:t>80 Ma (</w:t>
      </w:r>
      <w:r>
        <w:rPr>
          <w:color w:val="422874"/>
        </w:rPr>
        <w:t>Searle et al., 1999</w:t>
      </w:r>
      <w:r>
        <w:t>). In Zedong to the east of our study area, geochemical studies indentify a suite of intra-oceanic arc volcanic rocks (</w:t>
      </w:r>
      <w:r>
        <w:rPr>
          <w:color w:val="422874"/>
        </w:rPr>
        <w:t>Aitchison et al., 2007b</w:t>
      </w:r>
      <w:r>
        <w:t xml:space="preserve">). These </w:t>
      </w:r>
      <w:r>
        <w:rPr>
          <w:rFonts w:ascii="Calibri" w:eastAsia="Calibri" w:hAnsi="Calibri" w:cs="Calibri"/>
        </w:rPr>
        <w:t>fi</w:t>
      </w:r>
      <w:r>
        <w:t>ndings con</w:t>
      </w:r>
      <w:r>
        <w:rPr>
          <w:rFonts w:ascii="Calibri" w:eastAsia="Calibri" w:hAnsi="Calibri" w:cs="Calibri"/>
        </w:rPr>
        <w:t>fi</w:t>
      </w:r>
      <w:r>
        <w:t>rm that the interior framework of the Neo-Tethys Ocean w</w:t>
      </w:r>
      <w:r>
        <w:t>as complex and contained one or more intro-oceanic subduction systems. The intro-oceanic arc in south</w:t>
      </w:r>
      <w:r>
        <w:rPr>
          <w:rFonts w:ascii="Calibri" w:eastAsia="Calibri" w:hAnsi="Calibri" w:cs="Calibri"/>
        </w:rPr>
        <w:t>–</w:t>
      </w:r>
      <w:r>
        <w:t xml:space="preserve">central Tibet </w:t>
      </w:r>
      <w:r>
        <w:rPr>
          <w:rFonts w:ascii="Calibri" w:eastAsia="Calibri" w:hAnsi="Calibri" w:cs="Calibri"/>
        </w:rPr>
        <w:t>fi</w:t>
      </w:r>
      <w:r>
        <w:t>rst collided with the Indian passive continent margin (</w:t>
      </w:r>
      <w:r>
        <w:rPr>
          <w:color w:val="422874"/>
        </w:rPr>
        <w:t>Fig. 9</w:t>
      </w:r>
      <w:r>
        <w:t>B), that is different to the Kohistan arc. The relationship between the intra</w:t>
      </w:r>
      <w:r>
        <w:t>-oceanic arc in this study and the Kohistan arc in north Pakistan is not clear.</w:t>
      </w:r>
    </w:p>
    <w:p w14:paraId="0C0C417E" w14:textId="77777777" w:rsidR="00F64F7F" w:rsidRDefault="0056380C">
      <w:pPr>
        <w:ind w:left="-15"/>
      </w:pPr>
      <w:r>
        <w:t>The intra-oceanic subduction system in south</w:t>
      </w:r>
      <w:r>
        <w:rPr>
          <w:rFonts w:ascii="Calibri" w:eastAsia="Calibri" w:hAnsi="Calibri" w:cs="Calibri"/>
        </w:rPr>
        <w:t>–</w:t>
      </w:r>
      <w:r>
        <w:t>central Tethys ocean generated ophiolites showing intra-oceanic arc and back-arc basin signatures (</w:t>
      </w:r>
      <w:r>
        <w:rPr>
          <w:color w:val="422874"/>
        </w:rPr>
        <w:t>Bedard et al., 2009; Dubois-Côté et al., 2005</w:t>
      </w:r>
      <w:r>
        <w:t>) and Beimarang mélange which was interpreted as an obduction mélange formed near a spreading ridge (</w:t>
      </w:r>
      <w:r>
        <w:rPr>
          <w:color w:val="422874"/>
        </w:rPr>
        <w:t>Huot et al.</w:t>
      </w:r>
      <w:r>
        <w:rPr>
          <w:color w:val="422874"/>
        </w:rPr>
        <w:t>, 2002</w:t>
      </w:r>
      <w:r>
        <w:t>). The remnants of subducted slab along the intra-oceanic subduction zone were preserved in mantle which should be responsible for the deeper-mantle anomaly zone (</w:t>
      </w:r>
      <w:r>
        <w:rPr>
          <w:color w:val="422874"/>
        </w:rPr>
        <w:t>Van der Voo et al., 1999</w:t>
      </w:r>
      <w:r>
        <w:t>). The obduction of oceanic crust along an intra-oceanic subduc</w:t>
      </w:r>
      <w:r>
        <w:t xml:space="preserve">tion zone can also explain the drastic sedimentary pattern changes from continentalshelf </w:t>
      </w:r>
      <w:proofErr w:type="gramStart"/>
      <w:r>
        <w:t>toslope(</w:t>
      </w:r>
      <w:proofErr w:type="gramEnd"/>
      <w:r>
        <w:rPr>
          <w:color w:val="422874"/>
        </w:rPr>
        <w:t>Willems et al., 1996</w:t>
      </w:r>
      <w:r>
        <w:t>), thesharp increase in the rate of tectonic subsidence near Tingri (</w:t>
      </w:r>
      <w:r>
        <w:rPr>
          <w:color w:val="422874"/>
        </w:rPr>
        <w:t>Rowley, 1998</w:t>
      </w:r>
      <w:r>
        <w:t>), and the in</w:t>
      </w:r>
      <w:r>
        <w:rPr>
          <w:rFonts w:ascii="Calibri" w:eastAsia="Calibri" w:hAnsi="Calibri" w:cs="Calibri"/>
        </w:rPr>
        <w:t>fl</w:t>
      </w:r>
      <w:r>
        <w:t>ux of accretionary prism materials (</w:t>
      </w:r>
      <w:r>
        <w:rPr>
          <w:color w:val="422874"/>
        </w:rPr>
        <w:t>Liu and</w:t>
      </w:r>
      <w:r>
        <w:rPr>
          <w:color w:val="422874"/>
        </w:rPr>
        <w:t xml:space="preserve"> Einsele, 1996</w:t>
      </w:r>
      <w:r>
        <w:t>).</w:t>
      </w:r>
    </w:p>
    <w:p w14:paraId="4D392B95" w14:textId="77777777" w:rsidR="00F64F7F" w:rsidRDefault="0056380C">
      <w:pPr>
        <w:ind w:left="-15"/>
      </w:pPr>
      <w:r>
        <w:t>The scarcity of Cretaceous arc fragments in southern Tibet may be explained by complete northward underthrusting beneath the southern Asian margin (</w:t>
      </w:r>
      <w:r>
        <w:rPr>
          <w:color w:val="422874"/>
        </w:rPr>
        <w:t>Makovsky et al., 1999</w:t>
      </w:r>
      <w:r>
        <w:t>).</w:t>
      </w:r>
    </w:p>
    <w:p w14:paraId="2549BE6F" w14:textId="77777777" w:rsidR="00F64F7F" w:rsidRDefault="0056380C">
      <w:pPr>
        <w:spacing w:after="195"/>
        <w:ind w:left="-15"/>
      </w:pPr>
      <w:r>
        <w:t>However, considering no accepted intro-oceanic arc was found and th</w:t>
      </w:r>
      <w:r>
        <w:t>e possibility that the very southern edge of the Gangdese arc was built on oceanic crust and thus it also exhibits characteristics of an oceanic arc, we tentatively prefer option (1). Future studies of precise chronostratigraphy of the late Cretaceous stra</w:t>
      </w:r>
      <w:r>
        <w:t>ta in northern Tethys Himalaya and post-collision shortening through the Tibetan plateau and high quality Paleomagnetic data have potential to reveal the initial process of the India</w:t>
      </w:r>
      <w:r>
        <w:rPr>
          <w:rFonts w:ascii="Calibri" w:eastAsia="Calibri" w:hAnsi="Calibri" w:cs="Calibri"/>
        </w:rPr>
        <w:t>–</w:t>
      </w:r>
      <w:r>
        <w:t>Asia collision.</w:t>
      </w:r>
    </w:p>
    <w:p w14:paraId="191B70DC" w14:textId="77777777" w:rsidR="00F64F7F" w:rsidRDefault="0056380C">
      <w:pPr>
        <w:pStyle w:val="1"/>
        <w:ind w:left="-5"/>
      </w:pPr>
      <w:r>
        <w:t>7. Conclusions</w:t>
      </w:r>
    </w:p>
    <w:p w14:paraId="4CC554CE" w14:textId="77777777" w:rsidR="00F64F7F" w:rsidRDefault="0056380C">
      <w:pPr>
        <w:spacing w:after="206"/>
        <w:ind w:left="-15"/>
      </w:pPr>
      <w:r>
        <w:t>In-situ U</w:t>
      </w:r>
      <w:r>
        <w:rPr>
          <w:rFonts w:ascii="Calibri" w:eastAsia="Calibri" w:hAnsi="Calibri" w:cs="Calibri"/>
        </w:rPr>
        <w:t>–</w:t>
      </w:r>
      <w:r>
        <w:t>Pb</w:t>
      </w:r>
      <w:r>
        <w:rPr>
          <w:rFonts w:ascii="Calibri" w:eastAsia="Calibri" w:hAnsi="Calibri" w:cs="Calibri"/>
        </w:rPr>
        <w:t>–</w:t>
      </w:r>
      <w:r>
        <w:t>Hf isotopic from detrital zircons, bulk rock Nd isotopic and Cr</w:t>
      </w:r>
      <w:r>
        <w:rPr>
          <w:rFonts w:ascii="Calibri" w:eastAsia="Calibri" w:hAnsi="Calibri" w:cs="Calibri"/>
        </w:rPr>
        <w:t>–</w:t>
      </w:r>
      <w:r>
        <w:t xml:space="preserve">spinel analysis and petrographic data from the upper Cretaceous clastic sedimentary rocks of the northern Tethys Himalaya near Gyangze, southern Tibet have </w:t>
      </w:r>
      <w:proofErr w:type="gramStart"/>
      <w:r>
        <w:t>lead</w:t>
      </w:r>
      <w:proofErr w:type="gramEnd"/>
      <w:r>
        <w:t xml:space="preserve"> to the following major conclusi</w:t>
      </w:r>
      <w:r>
        <w:t>ons:</w:t>
      </w:r>
    </w:p>
    <w:p w14:paraId="4953351B" w14:textId="77777777" w:rsidR="00F64F7F" w:rsidRDefault="0056380C">
      <w:pPr>
        <w:numPr>
          <w:ilvl w:val="0"/>
          <w:numId w:val="1"/>
        </w:numPr>
        <w:ind w:hanging="207"/>
      </w:pPr>
      <w:r>
        <w:t>The Jiabula Formation was derived from the Indian continent.</w:t>
      </w:r>
    </w:p>
    <w:p w14:paraId="18293796" w14:textId="77777777" w:rsidR="00F64F7F" w:rsidRDefault="0056380C">
      <w:pPr>
        <w:numPr>
          <w:ilvl w:val="0"/>
          <w:numId w:val="1"/>
        </w:numPr>
        <w:ind w:hanging="207"/>
      </w:pPr>
      <w:r>
        <w:t xml:space="preserve">The Zongzhuo Formation and Rilang conglomerate contain abundantCretaceous zircon grains with positive </w:t>
      </w:r>
      <w:r>
        <w:rPr>
          <w:rFonts w:ascii="Calibri" w:eastAsia="Calibri" w:hAnsi="Calibri" w:cs="Calibri"/>
        </w:rPr>
        <w:t>ε</w:t>
      </w:r>
      <w:r>
        <w:t>Hf</w:t>
      </w:r>
      <w:r>
        <w:rPr>
          <w:vertAlign w:val="subscript"/>
        </w:rPr>
        <w:t xml:space="preserve">(t) </w:t>
      </w:r>
      <w:r>
        <w:t>and arc-related Cr</w:t>
      </w:r>
      <w:r>
        <w:rPr>
          <w:rFonts w:ascii="Calibri" w:eastAsia="Calibri" w:hAnsi="Calibri" w:cs="Calibri"/>
        </w:rPr>
        <w:t>–</w:t>
      </w:r>
      <w:r>
        <w:t>spinels</w:t>
      </w:r>
    </w:p>
    <w:tbl>
      <w:tblPr>
        <w:tblStyle w:val="TableGrid"/>
        <w:tblpPr w:vertAnchor="text" w:horzAnchor="margin"/>
        <w:tblOverlap w:val="never"/>
        <w:tblW w:w="10382" w:type="dxa"/>
        <w:tblInd w:w="0" w:type="dxa"/>
        <w:tblCellMar>
          <w:top w:w="0" w:type="dxa"/>
          <w:left w:w="0" w:type="dxa"/>
          <w:bottom w:w="4" w:type="dxa"/>
          <w:right w:w="1" w:type="dxa"/>
        </w:tblCellMar>
        <w:tblLook w:val="04A0" w:firstRow="1" w:lastRow="0" w:firstColumn="1" w:lastColumn="0" w:noHBand="0" w:noVBand="1"/>
      </w:tblPr>
      <w:tblGrid>
        <w:gridCol w:w="10382"/>
      </w:tblGrid>
      <w:tr w:rsidR="00F64F7F" w14:paraId="015D7AAC" w14:textId="77777777">
        <w:trPr>
          <w:trHeight w:val="820"/>
        </w:trPr>
        <w:tc>
          <w:tcPr>
            <w:tcW w:w="10381" w:type="dxa"/>
            <w:tcBorders>
              <w:top w:val="nil"/>
              <w:left w:val="nil"/>
              <w:bottom w:val="nil"/>
              <w:right w:val="nil"/>
            </w:tcBorders>
            <w:vAlign w:val="bottom"/>
          </w:tcPr>
          <w:p w14:paraId="004622C1" w14:textId="77777777" w:rsidR="00F64F7F" w:rsidRDefault="0056380C">
            <w:pPr>
              <w:spacing w:after="213" w:line="259" w:lineRule="auto"/>
              <w:ind w:left="1208" w:firstLine="0"/>
              <w:jc w:val="left"/>
            </w:pPr>
            <w:r>
              <w:rPr>
                <w:noProof/>
              </w:rPr>
              <w:lastRenderedPageBreak/>
              <w:drawing>
                <wp:inline distT="0" distB="0" distL="0" distR="0" wp14:anchorId="1FF3E0AB" wp14:editId="69FECE6B">
                  <wp:extent cx="5060747" cy="2931122"/>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28"/>
                          <a:stretch>
                            <a:fillRect/>
                          </a:stretch>
                        </pic:blipFill>
                        <pic:spPr>
                          <a:xfrm>
                            <a:off x="0" y="0"/>
                            <a:ext cx="5060747" cy="2931122"/>
                          </a:xfrm>
                          <a:prstGeom prst="rect">
                            <a:avLst/>
                          </a:prstGeom>
                        </pic:spPr>
                      </pic:pic>
                    </a:graphicData>
                  </a:graphic>
                </wp:inline>
              </w:drawing>
            </w:r>
          </w:p>
          <w:p w14:paraId="1DAFEE81" w14:textId="77777777" w:rsidR="00F64F7F" w:rsidRDefault="0056380C">
            <w:pPr>
              <w:spacing w:after="0" w:line="259" w:lineRule="auto"/>
              <w:ind w:left="0" w:firstLine="0"/>
            </w:pPr>
            <w:r>
              <w:rPr>
                <w:rFonts w:ascii="Calibri" w:eastAsia="Calibri" w:hAnsi="Calibri" w:cs="Calibri"/>
                <w:sz w:val="13"/>
              </w:rPr>
              <w:t xml:space="preserve">Fig. 9. </w:t>
            </w:r>
            <w:r>
              <w:rPr>
                <w:sz w:val="13"/>
              </w:rPr>
              <w:t>(A) The juvenile arc source of sediment to t</w:t>
            </w:r>
            <w:r>
              <w:rPr>
                <w:sz w:val="13"/>
              </w:rPr>
              <w:t>he upper Cretaceous Zongzhuo Formation and Rilang conglomerate represents the Gangdese arc. In this scenario, initial collision between India and Asia occurred during Maastrichtian (~70</w:t>
            </w:r>
            <w:r>
              <w:rPr>
                <w:rFonts w:ascii="Calibri" w:eastAsia="Calibri" w:hAnsi="Calibri" w:cs="Calibri"/>
                <w:sz w:val="13"/>
              </w:rPr>
              <w:t>–</w:t>
            </w:r>
            <w:r>
              <w:rPr>
                <w:sz w:val="13"/>
              </w:rPr>
              <w:t xml:space="preserve">65 Ma). (B) An alternative model in map view of the double subduction </w:t>
            </w:r>
            <w:r>
              <w:rPr>
                <w:sz w:val="13"/>
              </w:rPr>
              <w:t>systems, in which the northern subduction system is responsible for the formation of Gangdese arc and Kohistan</w:t>
            </w:r>
            <w:r>
              <w:rPr>
                <w:rFonts w:ascii="Calibri" w:eastAsia="Calibri" w:hAnsi="Calibri" w:cs="Calibri"/>
                <w:sz w:val="13"/>
              </w:rPr>
              <w:t>–</w:t>
            </w:r>
            <w:r>
              <w:rPr>
                <w:sz w:val="13"/>
              </w:rPr>
              <w:t>Ldakh arc, whereas the southern subduction system is responsible for the formation of an intra-oceanic island arc. (C) The alternative model in c</w:t>
            </w:r>
            <w:r>
              <w:rPr>
                <w:sz w:val="13"/>
              </w:rPr>
              <w:t xml:space="preserve">ross-section view showing the juvenile arc to represent a disappeared intra-oceanic arc. The appearance of Cretaceous zircons with positive </w:t>
            </w:r>
            <w:r>
              <w:rPr>
                <w:rFonts w:ascii="Calibri" w:eastAsia="Calibri" w:hAnsi="Calibri" w:cs="Calibri"/>
                <w:sz w:val="13"/>
              </w:rPr>
              <w:t>ε</w:t>
            </w:r>
            <w:r>
              <w:rPr>
                <w:sz w:val="13"/>
              </w:rPr>
              <w:t>Hf</w:t>
            </w:r>
            <w:r>
              <w:rPr>
                <w:sz w:val="13"/>
                <w:vertAlign w:val="subscript"/>
              </w:rPr>
              <w:t xml:space="preserve">(t) </w:t>
            </w:r>
            <w:r>
              <w:rPr>
                <w:sz w:val="13"/>
              </w:rPr>
              <w:t xml:space="preserve">and arc-related spinels indicate the obduction of an intra-oceanic subduction system onto the Indian passive </w:t>
            </w:r>
            <w:r>
              <w:rPr>
                <w:sz w:val="13"/>
              </w:rPr>
              <w:t>continental margin during Maastrichtian (~70</w:t>
            </w:r>
            <w:r>
              <w:rPr>
                <w:rFonts w:ascii="Calibri" w:eastAsia="Calibri" w:hAnsi="Calibri" w:cs="Calibri"/>
                <w:sz w:val="13"/>
              </w:rPr>
              <w:t>–</w:t>
            </w:r>
            <w:r>
              <w:rPr>
                <w:sz w:val="13"/>
              </w:rPr>
              <w:t>65 Ma).</w:t>
            </w:r>
          </w:p>
        </w:tc>
      </w:tr>
    </w:tbl>
    <w:p w14:paraId="7A37D5FF" w14:textId="77777777" w:rsidR="00F64F7F" w:rsidRDefault="0056380C">
      <w:pPr>
        <w:spacing w:after="32"/>
        <w:ind w:left="208" w:firstLine="0"/>
      </w:pPr>
      <w:r>
        <w:t>indicating a juvenile arc source. The maximal deposition age provided by detrital zircon ages is 90 Ma. U</w:t>
      </w:r>
      <w:r>
        <w:rPr>
          <w:rFonts w:ascii="Calibri" w:eastAsia="Calibri" w:hAnsi="Calibri" w:cs="Calibri"/>
        </w:rPr>
        <w:t>–</w:t>
      </w:r>
      <w:r>
        <w:t>Pb isotopic data indicate that the juvenile arc was active during the 146</w:t>
      </w:r>
      <w:r>
        <w:rPr>
          <w:rFonts w:ascii="Calibri" w:eastAsia="Calibri" w:hAnsi="Calibri" w:cs="Calibri"/>
        </w:rPr>
        <w:t>–</w:t>
      </w:r>
      <w:r>
        <w:t>80 Ma time interval.</w:t>
      </w:r>
    </w:p>
    <w:p w14:paraId="4B199CB6" w14:textId="77777777" w:rsidR="00F64F7F" w:rsidRDefault="0056380C">
      <w:pPr>
        <w:numPr>
          <w:ilvl w:val="0"/>
          <w:numId w:val="1"/>
        </w:numPr>
        <w:spacing w:after="126"/>
        <w:ind w:hanging="207"/>
      </w:pPr>
      <w:r>
        <w:t>The sudden appearanceof Cretaceouszirconswith positive</w:t>
      </w:r>
      <w:r>
        <w:rPr>
          <w:rFonts w:ascii="Calibri" w:eastAsia="Calibri" w:hAnsi="Calibri" w:cs="Calibri"/>
        </w:rPr>
        <w:t>ε</w:t>
      </w:r>
      <w:r>
        <w:t>Hf</w:t>
      </w:r>
      <w:r>
        <w:rPr>
          <w:vertAlign w:val="subscript"/>
        </w:rPr>
        <w:t xml:space="preserve">(t) </w:t>
      </w:r>
      <w:r>
        <w:t>and arc-related Cr</w:t>
      </w:r>
      <w:r>
        <w:rPr>
          <w:rFonts w:ascii="Calibri" w:eastAsia="Calibri" w:hAnsi="Calibri" w:cs="Calibri"/>
        </w:rPr>
        <w:t>–</w:t>
      </w:r>
      <w:r>
        <w:t>spinels can be interpreted as initial collision between the Indian and Asian plates during Maastrichtian (70</w:t>
      </w:r>
      <w:r>
        <w:rPr>
          <w:rFonts w:ascii="Calibri" w:eastAsia="Calibri" w:hAnsi="Calibri" w:cs="Calibri"/>
        </w:rPr>
        <w:t>–</w:t>
      </w:r>
      <w:r>
        <w:t>65 Ma).</w:t>
      </w:r>
    </w:p>
    <w:p w14:paraId="309DC7E9" w14:textId="77777777" w:rsidR="00F64F7F" w:rsidRDefault="0056380C">
      <w:pPr>
        <w:spacing w:after="210"/>
        <w:ind w:left="-15"/>
      </w:pPr>
      <w:r>
        <w:t>Supplementary materials related to this article can be foun</w:t>
      </w:r>
      <w:r>
        <w:t xml:space="preserve">d online at </w:t>
      </w:r>
      <w:proofErr w:type="gramStart"/>
      <w:r>
        <w:rPr>
          <w:color w:val="422874"/>
        </w:rPr>
        <w:t>doi:10.1016/j.epsl</w:t>
      </w:r>
      <w:proofErr w:type="gramEnd"/>
      <w:r>
        <w:rPr>
          <w:color w:val="422874"/>
        </w:rPr>
        <w:t>.2011.02.055</w:t>
      </w:r>
      <w:r>
        <w:t>.</w:t>
      </w:r>
    </w:p>
    <w:p w14:paraId="300B0EA9" w14:textId="77777777" w:rsidR="00F64F7F" w:rsidRDefault="0056380C">
      <w:pPr>
        <w:pStyle w:val="1"/>
        <w:ind w:left="-5"/>
      </w:pPr>
      <w:r>
        <w:t>Acknowledgments</w:t>
      </w:r>
    </w:p>
    <w:p w14:paraId="333E3B24" w14:textId="77777777" w:rsidR="00F64F7F" w:rsidRDefault="0056380C">
      <w:pPr>
        <w:spacing w:after="206"/>
        <w:ind w:left="-15"/>
      </w:pPr>
      <w:r>
        <w:t>We are most grateful to Diwu Chunrong, Chu Zhuyin, Ma Yuguang, Yang Yueheng and Xie Liewen for their assistance with laboratory analyses. We thank Paul Kapp and Richard Heermance and Zhang Qinghai</w:t>
      </w:r>
      <w:r>
        <w:t xml:space="preserve"> for commenting on early drafts of the manuscript. Reviews by two anonymous reviewers helped us to substantially improve the manuscript. This study was </w:t>
      </w:r>
      <w:r>
        <w:rPr>
          <w:rFonts w:ascii="Calibri" w:eastAsia="Calibri" w:hAnsi="Calibri" w:cs="Calibri"/>
        </w:rPr>
        <w:t>fi</w:t>
      </w:r>
      <w:r>
        <w:t>nancially supported by grants from the National Natural Science Foundation of China (40625008 to Ding)</w:t>
      </w:r>
      <w:r>
        <w:t>, the Chinese Academy of Sciences (KZCX2-YW-Q09-03 to Ding), and the Chinese Ministry of Science and Technology (2011CB403101 to Ding).</w:t>
      </w:r>
    </w:p>
    <w:p w14:paraId="756FB46F" w14:textId="77777777" w:rsidR="00F64F7F" w:rsidRDefault="0056380C">
      <w:pPr>
        <w:pStyle w:val="1"/>
        <w:spacing w:after="109"/>
        <w:ind w:left="-5"/>
      </w:pPr>
      <w:r>
        <w:t>References</w:t>
      </w:r>
    </w:p>
    <w:p w14:paraId="5969F6CA" w14:textId="77777777" w:rsidR="00F64F7F" w:rsidRDefault="0056380C">
      <w:pPr>
        <w:spacing w:line="256" w:lineRule="auto"/>
        <w:ind w:left="234" w:hanging="249"/>
      </w:pPr>
      <w:r>
        <w:rPr>
          <w:sz w:val="13"/>
        </w:rPr>
        <w:t>Achache, J., Courtillot, V., Zhou, Y.X., 1984. Paleogeographic and tectonic evolution of southern Tibet since</w:t>
      </w:r>
      <w:r>
        <w:rPr>
          <w:sz w:val="13"/>
        </w:rPr>
        <w:t xml:space="preserve"> Middle Cretaceous time: new paleomagnetic data and synthesis. J. Geophys. Res. 89, 10311</w:t>
      </w:r>
      <w:r>
        <w:rPr>
          <w:rFonts w:ascii="Calibri" w:eastAsia="Calibri" w:hAnsi="Calibri" w:cs="Calibri"/>
          <w:sz w:val="13"/>
        </w:rPr>
        <w:t>–</w:t>
      </w:r>
      <w:r>
        <w:rPr>
          <w:sz w:val="13"/>
        </w:rPr>
        <w:t>10339.</w:t>
      </w:r>
    </w:p>
    <w:p w14:paraId="512D95F3" w14:textId="77777777" w:rsidR="00F64F7F" w:rsidRDefault="0056380C">
      <w:pPr>
        <w:spacing w:line="256" w:lineRule="auto"/>
        <w:ind w:left="234" w:hanging="249"/>
      </w:pPr>
      <w:r>
        <w:rPr>
          <w:sz w:val="13"/>
        </w:rPr>
        <w:t>Ahmad, T., Harris, N., Bickle, M., Chapman, H., Bunbury, J., Prince, C., 2000. Isotopic constraints on the structural relationships between the lesser Himalaya</w:t>
      </w:r>
      <w:r>
        <w:rPr>
          <w:sz w:val="13"/>
        </w:rPr>
        <w:t>n series and the high Himalayan crystalline series, Garhwal Himalaya. Geol. Soc. Am. Bull. 112, 467</w:t>
      </w:r>
      <w:r>
        <w:rPr>
          <w:rFonts w:ascii="Calibri" w:eastAsia="Calibri" w:hAnsi="Calibri" w:cs="Calibri"/>
          <w:sz w:val="13"/>
        </w:rPr>
        <w:t>–</w:t>
      </w:r>
      <w:r>
        <w:rPr>
          <w:sz w:val="13"/>
        </w:rPr>
        <w:t>477.</w:t>
      </w:r>
    </w:p>
    <w:p w14:paraId="5CDE5AB3" w14:textId="77777777" w:rsidR="00F64F7F" w:rsidRDefault="0056380C">
      <w:pPr>
        <w:spacing w:line="256" w:lineRule="auto"/>
        <w:ind w:left="234" w:hanging="249"/>
      </w:pPr>
      <w:r>
        <w:rPr>
          <w:sz w:val="13"/>
        </w:rPr>
        <w:t>Aitchison, J.C., 2000. Remnants of a Cretaceous intra-oceanic subduction system within the Yarlung</w:t>
      </w:r>
      <w:r>
        <w:rPr>
          <w:rFonts w:ascii="Calibri" w:eastAsia="Calibri" w:hAnsi="Calibri" w:cs="Calibri"/>
          <w:sz w:val="13"/>
        </w:rPr>
        <w:t>–</w:t>
      </w:r>
      <w:r>
        <w:rPr>
          <w:sz w:val="13"/>
        </w:rPr>
        <w:t>Zangbo suture (south Tibet). Earth Planet. Sci. Lett</w:t>
      </w:r>
      <w:r>
        <w:rPr>
          <w:sz w:val="13"/>
        </w:rPr>
        <w:t>. 183, 231</w:t>
      </w:r>
      <w:r>
        <w:rPr>
          <w:rFonts w:ascii="Calibri" w:eastAsia="Calibri" w:hAnsi="Calibri" w:cs="Calibri"/>
          <w:sz w:val="13"/>
        </w:rPr>
        <w:t>–</w:t>
      </w:r>
      <w:r>
        <w:rPr>
          <w:sz w:val="13"/>
        </w:rPr>
        <w:t>244.</w:t>
      </w:r>
    </w:p>
    <w:p w14:paraId="594A738C" w14:textId="77777777" w:rsidR="00F64F7F" w:rsidRDefault="0056380C">
      <w:pPr>
        <w:spacing w:line="256" w:lineRule="auto"/>
        <w:ind w:left="234" w:hanging="249"/>
      </w:pPr>
      <w:r>
        <w:rPr>
          <w:sz w:val="13"/>
        </w:rPr>
        <w:t>Aitchison, J.C., Davis, A.M., 2004. Evidence for the multiphase nature of the India</w:t>
      </w:r>
      <w:r>
        <w:rPr>
          <w:rFonts w:ascii="Calibri" w:eastAsia="Calibri" w:hAnsi="Calibri" w:cs="Calibri"/>
          <w:sz w:val="13"/>
        </w:rPr>
        <w:t>–</w:t>
      </w:r>
      <w:r>
        <w:rPr>
          <w:sz w:val="13"/>
        </w:rPr>
        <w:t>Asia collision from the Yarlung Tsangpo suture zone, Tibet. In: Malpas, J.G. (Ed.), Aspects of the Tectonic Evolution of China. Geol. Soc. Spec. Publ, Londo</w:t>
      </w:r>
      <w:r>
        <w:rPr>
          <w:sz w:val="13"/>
        </w:rPr>
        <w:t>n, pp. 217</w:t>
      </w:r>
      <w:r>
        <w:rPr>
          <w:rFonts w:ascii="Calibri" w:eastAsia="Calibri" w:hAnsi="Calibri" w:cs="Calibri"/>
          <w:sz w:val="13"/>
        </w:rPr>
        <w:t>–</w:t>
      </w:r>
      <w:r>
        <w:rPr>
          <w:sz w:val="13"/>
        </w:rPr>
        <w:t>233.</w:t>
      </w:r>
    </w:p>
    <w:p w14:paraId="183F98A1" w14:textId="77777777" w:rsidR="00F64F7F" w:rsidRDefault="0056380C">
      <w:pPr>
        <w:spacing w:line="256" w:lineRule="auto"/>
        <w:ind w:left="234" w:hanging="249"/>
      </w:pPr>
      <w:r>
        <w:rPr>
          <w:sz w:val="13"/>
        </w:rPr>
        <w:t xml:space="preserve">Aitchison, J.C., Ali, J.R., Davis, A.M., 2007a. When and where did India and Asia collide? J. Geophys. Res. 112, B05423 </w:t>
      </w:r>
      <w:r>
        <w:rPr>
          <w:color w:val="422874"/>
          <w:sz w:val="13"/>
        </w:rPr>
        <w:t>doi:10.1029/2006JB004706</w:t>
      </w:r>
      <w:r>
        <w:rPr>
          <w:sz w:val="13"/>
        </w:rPr>
        <w:t>.</w:t>
      </w:r>
    </w:p>
    <w:p w14:paraId="5ACF1900" w14:textId="77777777" w:rsidR="00F64F7F" w:rsidRDefault="0056380C">
      <w:pPr>
        <w:spacing w:line="256" w:lineRule="auto"/>
        <w:ind w:left="234" w:hanging="249"/>
      </w:pPr>
      <w:r>
        <w:rPr>
          <w:sz w:val="13"/>
        </w:rPr>
        <w:t>Aitchison, J.C., McDermid, I.R.C., Ali, J.R., Davis, A.M., Zyabrev, S.V., 2007b. Shoshonites in Southern Tibet record late Jurassic rifting of a Tethyan intraoceanic island arc. J.</w:t>
      </w:r>
    </w:p>
    <w:p w14:paraId="55FEFDE6" w14:textId="77777777" w:rsidR="00F64F7F" w:rsidRDefault="0056380C">
      <w:pPr>
        <w:spacing w:line="256" w:lineRule="auto"/>
        <w:ind w:left="239" w:firstLine="0"/>
      </w:pPr>
      <w:r>
        <w:rPr>
          <w:sz w:val="13"/>
        </w:rPr>
        <w:t>Geol. 115, 197</w:t>
      </w:r>
      <w:r>
        <w:rPr>
          <w:rFonts w:ascii="Calibri" w:eastAsia="Calibri" w:hAnsi="Calibri" w:cs="Calibri"/>
          <w:sz w:val="13"/>
        </w:rPr>
        <w:t>–</w:t>
      </w:r>
      <w:r>
        <w:rPr>
          <w:sz w:val="13"/>
        </w:rPr>
        <w:t>213.</w:t>
      </w:r>
    </w:p>
    <w:p w14:paraId="325F45C9" w14:textId="77777777" w:rsidR="00F64F7F" w:rsidRDefault="0056380C">
      <w:pPr>
        <w:spacing w:line="256" w:lineRule="auto"/>
        <w:ind w:left="234" w:right="178" w:hanging="249"/>
      </w:pPr>
      <w:r>
        <w:rPr>
          <w:sz w:val="13"/>
        </w:rPr>
        <w:t>Ali, J.R., Aitchison, J.C., 2004. Problem of positionin</w:t>
      </w:r>
      <w:r>
        <w:rPr>
          <w:sz w:val="13"/>
        </w:rPr>
        <w:t>g Paleogene Eurasia: a review, efforts to resolve the issue; implications for the India</w:t>
      </w:r>
      <w:r>
        <w:rPr>
          <w:rFonts w:ascii="Calibri" w:eastAsia="Calibri" w:hAnsi="Calibri" w:cs="Calibri"/>
          <w:sz w:val="13"/>
        </w:rPr>
        <w:t>–</w:t>
      </w:r>
      <w:r>
        <w:rPr>
          <w:sz w:val="13"/>
        </w:rPr>
        <w:t>Asia collision. In: Clift, P.D. (Ed.), Continent</w:t>
      </w:r>
      <w:r>
        <w:rPr>
          <w:rFonts w:ascii="Calibri" w:eastAsia="Calibri" w:hAnsi="Calibri" w:cs="Calibri"/>
          <w:sz w:val="13"/>
        </w:rPr>
        <w:t>–</w:t>
      </w:r>
      <w:r>
        <w:rPr>
          <w:sz w:val="13"/>
        </w:rPr>
        <w:t>Ocean Interactions within the East Asia Marginal Seas. Geophys.</w:t>
      </w:r>
    </w:p>
    <w:p w14:paraId="0C04F2B6" w14:textId="77777777" w:rsidR="00F64F7F" w:rsidRDefault="0056380C">
      <w:pPr>
        <w:spacing w:line="256" w:lineRule="auto"/>
        <w:ind w:left="239" w:firstLine="0"/>
      </w:pPr>
      <w:r>
        <w:rPr>
          <w:sz w:val="13"/>
        </w:rPr>
        <w:t>Monogr. Ser, AGU, Washington, pp. 23</w:t>
      </w:r>
      <w:r>
        <w:rPr>
          <w:rFonts w:ascii="Calibri" w:eastAsia="Calibri" w:hAnsi="Calibri" w:cs="Calibri"/>
          <w:sz w:val="13"/>
        </w:rPr>
        <w:t>–</w:t>
      </w:r>
      <w:r>
        <w:rPr>
          <w:sz w:val="13"/>
        </w:rPr>
        <w:t>35.</w:t>
      </w:r>
    </w:p>
    <w:p w14:paraId="34DFD68E" w14:textId="77777777" w:rsidR="00F64F7F" w:rsidRDefault="0056380C">
      <w:pPr>
        <w:spacing w:line="256" w:lineRule="auto"/>
        <w:ind w:left="-15" w:firstLine="0"/>
      </w:pPr>
      <w:r>
        <w:rPr>
          <w:sz w:val="13"/>
        </w:rPr>
        <w:t>Ali, J.R., Ait</w:t>
      </w:r>
      <w:r>
        <w:rPr>
          <w:sz w:val="13"/>
        </w:rPr>
        <w:t>chison, J.C., 2005. Greater India. Earth Sci. Rev. 72, 169</w:t>
      </w:r>
      <w:r>
        <w:rPr>
          <w:rFonts w:ascii="Calibri" w:eastAsia="Calibri" w:hAnsi="Calibri" w:cs="Calibri"/>
          <w:sz w:val="13"/>
        </w:rPr>
        <w:t>–</w:t>
      </w:r>
      <w:r>
        <w:rPr>
          <w:sz w:val="13"/>
        </w:rPr>
        <w:t>188.</w:t>
      </w:r>
    </w:p>
    <w:p w14:paraId="0A36E666" w14:textId="77777777" w:rsidR="00F64F7F" w:rsidRDefault="0056380C">
      <w:pPr>
        <w:spacing w:after="2" w:line="250" w:lineRule="auto"/>
        <w:ind w:left="0" w:right="104" w:firstLine="0"/>
        <w:jc w:val="center"/>
      </w:pPr>
      <w:r>
        <w:rPr>
          <w:sz w:val="13"/>
        </w:rPr>
        <w:t>Ali, J.R., Aitchison, J.C., 2006. Positioning Palaeogene Eurasia problem: solution for 60</w:t>
      </w:r>
      <w:r>
        <w:rPr>
          <w:rFonts w:ascii="Calibri" w:eastAsia="Calibri" w:hAnsi="Calibri" w:cs="Calibri"/>
          <w:sz w:val="13"/>
        </w:rPr>
        <w:t xml:space="preserve">– </w:t>
      </w:r>
      <w:r>
        <w:rPr>
          <w:sz w:val="13"/>
        </w:rPr>
        <w:t>50 Ma and broader tectonic implications. Earth Planet. Sci. Lett. 251, 148</w:t>
      </w:r>
      <w:r>
        <w:rPr>
          <w:rFonts w:ascii="Calibri" w:eastAsia="Calibri" w:hAnsi="Calibri" w:cs="Calibri"/>
          <w:sz w:val="13"/>
        </w:rPr>
        <w:t>–</w:t>
      </w:r>
      <w:r>
        <w:rPr>
          <w:sz w:val="13"/>
        </w:rPr>
        <w:t>155.</w:t>
      </w:r>
    </w:p>
    <w:p w14:paraId="77317E3D" w14:textId="77777777" w:rsidR="00F64F7F" w:rsidRDefault="0056380C">
      <w:pPr>
        <w:spacing w:line="256" w:lineRule="auto"/>
        <w:ind w:left="234" w:right="177" w:hanging="249"/>
      </w:pPr>
      <w:r>
        <w:rPr>
          <w:sz w:val="13"/>
        </w:rPr>
        <w:t>Allegre, C.J., Courtillot, V., Tapponnier, P., Hirn, A., Mattauer, M., Coulon, C., Jaeger, J.J., Achache, J., Scharer, U., Marcoux, J., Burg, J.P., Girardeau, J., Armijo, R., G</w:t>
      </w:r>
      <w:r>
        <w:rPr>
          <w:sz w:val="13"/>
        </w:rPr>
        <w:t>ariepy, C., Gopel, C., Li, T.D., Xiao, X.C., Chang, C.F., Li, G.Q., Lin, B.Y., Teng, J.W., Wang, N.W., Chen, G.M., Han, T.L., Wang, X.B., Den, W.M., Sheng, H.B., Cao, Y.G., Zhou, J., Qiu, H.R., Bao, P.S., Wang, S.C., Wang, B.X., Zhou, Y.X., Xu, R.H., 1984.</w:t>
      </w:r>
      <w:r>
        <w:rPr>
          <w:sz w:val="13"/>
        </w:rPr>
        <w:t xml:space="preserve"> Structure and evolution of the Himalaya</w:t>
      </w:r>
      <w:r>
        <w:rPr>
          <w:rFonts w:ascii="Calibri" w:eastAsia="Calibri" w:hAnsi="Calibri" w:cs="Calibri"/>
          <w:sz w:val="13"/>
        </w:rPr>
        <w:t>–</w:t>
      </w:r>
      <w:r>
        <w:rPr>
          <w:sz w:val="13"/>
        </w:rPr>
        <w:t>Tibet orogenic belt. Nature 307, 17</w:t>
      </w:r>
      <w:r>
        <w:rPr>
          <w:rFonts w:ascii="Calibri" w:eastAsia="Calibri" w:hAnsi="Calibri" w:cs="Calibri"/>
          <w:sz w:val="13"/>
        </w:rPr>
        <w:t>–</w:t>
      </w:r>
      <w:r>
        <w:rPr>
          <w:sz w:val="13"/>
        </w:rPr>
        <w:t>22.</w:t>
      </w:r>
    </w:p>
    <w:p w14:paraId="40C4EA4A" w14:textId="77777777" w:rsidR="00F64F7F" w:rsidRDefault="0056380C">
      <w:pPr>
        <w:spacing w:line="256" w:lineRule="auto"/>
        <w:ind w:left="234" w:right="178" w:hanging="249"/>
      </w:pPr>
      <w:r>
        <w:rPr>
          <w:sz w:val="13"/>
        </w:rPr>
        <w:t>Amos, B.A., Harrison, T.M., Ding, L., 2008. Evidence for Early (</w:t>
      </w:r>
      <w:r>
        <w:rPr>
          <w:rFonts w:ascii="Calibri" w:eastAsia="Calibri" w:hAnsi="Calibri" w:cs="Calibri"/>
          <w:sz w:val="13"/>
        </w:rPr>
        <w:t>N</w:t>
      </w:r>
      <w:r>
        <w:rPr>
          <w:sz w:val="13"/>
        </w:rPr>
        <w:t>44 Ma) Himalayan crustal thickening, Tethyan Himalaya, southeastern Tibet. Earth Planet. Sci. Lett. 274, 14</w:t>
      </w:r>
      <w:r>
        <w:rPr>
          <w:rFonts w:ascii="Calibri" w:eastAsia="Calibri" w:hAnsi="Calibri" w:cs="Calibri"/>
          <w:sz w:val="13"/>
        </w:rPr>
        <w:t>–</w:t>
      </w:r>
      <w:r>
        <w:rPr>
          <w:sz w:val="13"/>
        </w:rPr>
        <w:t>23</w:t>
      </w:r>
      <w:r>
        <w:rPr>
          <w:sz w:val="13"/>
        </w:rPr>
        <w:t>.</w:t>
      </w:r>
    </w:p>
    <w:p w14:paraId="5D5CE3BC" w14:textId="77777777" w:rsidR="00F64F7F" w:rsidRDefault="0056380C">
      <w:pPr>
        <w:spacing w:line="256" w:lineRule="auto"/>
        <w:ind w:left="234" w:right="178" w:hanging="249"/>
      </w:pPr>
      <w:r>
        <w:rPr>
          <w:sz w:val="13"/>
        </w:rPr>
        <w:t>Bedard, E., Hebert, R., Guilmette, C., Lesage, G., Wang, C., Dostal, J., 2009. Petrology and geochemistry of the Saga and Sangsang ophiolitic massifs, Yarlung Zangbo Suture Zone, Southern Tibet: evidence for an arc-back-arc origin. Lithos 113, 48</w:t>
      </w:r>
      <w:r>
        <w:rPr>
          <w:rFonts w:ascii="Calibri" w:eastAsia="Calibri" w:hAnsi="Calibri" w:cs="Calibri"/>
          <w:sz w:val="13"/>
        </w:rPr>
        <w:t>–</w:t>
      </w:r>
      <w:r>
        <w:rPr>
          <w:sz w:val="13"/>
        </w:rPr>
        <w:t>67.</w:t>
      </w:r>
    </w:p>
    <w:p w14:paraId="4F998EBE" w14:textId="77777777" w:rsidR="00F64F7F" w:rsidRDefault="0056380C">
      <w:pPr>
        <w:spacing w:line="256" w:lineRule="auto"/>
        <w:ind w:left="234" w:hanging="249"/>
      </w:pPr>
      <w:r>
        <w:rPr>
          <w:sz w:val="13"/>
        </w:rPr>
        <w:t>Bur</w:t>
      </w:r>
      <w:r>
        <w:rPr>
          <w:sz w:val="13"/>
        </w:rPr>
        <w:t>g, J.P., Chen, G., 1984. Tectonics and structure zonation of southern Tibet China. Nature 311, 219</w:t>
      </w:r>
      <w:r>
        <w:rPr>
          <w:rFonts w:ascii="Calibri" w:eastAsia="Calibri" w:hAnsi="Calibri" w:cs="Calibri"/>
          <w:sz w:val="13"/>
        </w:rPr>
        <w:t>–</w:t>
      </w:r>
      <w:r>
        <w:rPr>
          <w:sz w:val="13"/>
        </w:rPr>
        <w:t>223.</w:t>
      </w:r>
    </w:p>
    <w:p w14:paraId="5105FAFF" w14:textId="77777777" w:rsidR="00F64F7F" w:rsidRDefault="0056380C">
      <w:pPr>
        <w:spacing w:line="256" w:lineRule="auto"/>
        <w:ind w:left="234" w:hanging="249"/>
      </w:pPr>
      <w:r>
        <w:rPr>
          <w:sz w:val="13"/>
        </w:rPr>
        <w:t>Burg, J.P., Marcoux, J., Chen, G., 1985. Wild</w:t>
      </w:r>
      <w:r>
        <w:rPr>
          <w:rFonts w:ascii="Calibri" w:eastAsia="Calibri" w:hAnsi="Calibri" w:cs="Calibri"/>
          <w:sz w:val="13"/>
        </w:rPr>
        <w:t>fl</w:t>
      </w:r>
      <w:r>
        <w:rPr>
          <w:sz w:val="13"/>
        </w:rPr>
        <w:t>ysch and exotic blocks along the Yarlung Zangbo suture zone: age and geodynamic signi</w:t>
      </w:r>
      <w:r>
        <w:rPr>
          <w:rFonts w:ascii="Calibri" w:eastAsia="Calibri" w:hAnsi="Calibri" w:cs="Calibri"/>
          <w:sz w:val="13"/>
        </w:rPr>
        <w:t>fi</w:t>
      </w:r>
      <w:r>
        <w:rPr>
          <w:sz w:val="13"/>
        </w:rPr>
        <w:t>cance. Terra Cogni</w:t>
      </w:r>
      <w:r>
        <w:rPr>
          <w:sz w:val="13"/>
        </w:rPr>
        <w:t>ta 5, 125.</w:t>
      </w:r>
    </w:p>
    <w:p w14:paraId="6D7AD8A8" w14:textId="77777777" w:rsidR="00F64F7F" w:rsidRDefault="0056380C">
      <w:pPr>
        <w:spacing w:line="256" w:lineRule="auto"/>
        <w:ind w:left="234" w:right="177" w:hanging="249"/>
      </w:pPr>
      <w:r>
        <w:rPr>
          <w:sz w:val="13"/>
        </w:rPr>
        <w:t xml:space="preserve">Burg, J.P., Leyreloup, A., Girardeau, J., Chen, G., 1987. Structure and metamorphism of a tectonically thickened continental crust: the Yalu Tsangpo </w:t>
      </w:r>
      <w:proofErr w:type="gramStart"/>
      <w:r>
        <w:rPr>
          <w:sz w:val="13"/>
        </w:rPr>
        <w:t>suture(</w:t>
      </w:r>
      <w:proofErr w:type="gramEnd"/>
      <w:r>
        <w:rPr>
          <w:sz w:val="13"/>
        </w:rPr>
        <w:t>Tibet). Phil Trans. R. Soc. Lond. A321, 67</w:t>
      </w:r>
      <w:r>
        <w:rPr>
          <w:rFonts w:ascii="Calibri" w:eastAsia="Calibri" w:hAnsi="Calibri" w:cs="Calibri"/>
          <w:sz w:val="13"/>
        </w:rPr>
        <w:t>–</w:t>
      </w:r>
      <w:r>
        <w:rPr>
          <w:sz w:val="13"/>
        </w:rPr>
        <w:t>86.</w:t>
      </w:r>
    </w:p>
    <w:p w14:paraId="1CD6A4F0" w14:textId="77777777" w:rsidR="00F64F7F" w:rsidRDefault="0056380C">
      <w:pPr>
        <w:spacing w:line="256" w:lineRule="auto"/>
        <w:ind w:left="234" w:right="179" w:hanging="249"/>
      </w:pPr>
      <w:r>
        <w:rPr>
          <w:sz w:val="13"/>
        </w:rPr>
        <w:t>Cai, F.L., Ding, L., Zhang, Q.H., Xu, X.X.</w:t>
      </w:r>
      <w:r>
        <w:rPr>
          <w:sz w:val="13"/>
        </w:rPr>
        <w:t>, Yue, Y.H., Zhang, L.Y., Xu, Q., 2008. Provenance and tectonic evolution of the Yalu</w:t>
      </w:r>
      <w:r>
        <w:rPr>
          <w:rFonts w:ascii="Calibri" w:eastAsia="Calibri" w:hAnsi="Calibri" w:cs="Calibri"/>
          <w:sz w:val="13"/>
        </w:rPr>
        <w:t>–</w:t>
      </w:r>
      <w:r>
        <w:rPr>
          <w:sz w:val="13"/>
        </w:rPr>
        <w:t>Zangpo peripheral foreland basin. Acta Petrol. Sin. 24, 430</w:t>
      </w:r>
      <w:r>
        <w:rPr>
          <w:rFonts w:ascii="Calibri" w:eastAsia="Calibri" w:hAnsi="Calibri" w:cs="Calibri"/>
          <w:sz w:val="13"/>
        </w:rPr>
        <w:t>–</w:t>
      </w:r>
      <w:r>
        <w:rPr>
          <w:sz w:val="13"/>
        </w:rPr>
        <w:t>446.</w:t>
      </w:r>
    </w:p>
    <w:p w14:paraId="7182410F" w14:textId="77777777" w:rsidR="00F64F7F" w:rsidRDefault="0056380C">
      <w:pPr>
        <w:spacing w:line="256" w:lineRule="auto"/>
        <w:ind w:left="234" w:right="178" w:hanging="249"/>
      </w:pPr>
      <w:r>
        <w:rPr>
          <w:sz w:val="13"/>
        </w:rPr>
        <w:t>Chen, J.S., Huang, B.C., Sun, L.S., 2010. New constraints to the onset of the India</w:t>
      </w:r>
      <w:r>
        <w:rPr>
          <w:rFonts w:ascii="Calibri" w:eastAsia="Calibri" w:hAnsi="Calibri" w:cs="Calibri"/>
          <w:sz w:val="13"/>
        </w:rPr>
        <w:t>–</w:t>
      </w:r>
      <w:r>
        <w:rPr>
          <w:sz w:val="13"/>
        </w:rPr>
        <w:t>Asia collision: paleo</w:t>
      </w:r>
      <w:r>
        <w:rPr>
          <w:sz w:val="13"/>
        </w:rPr>
        <w:t>magnetic reconnaissance on the Linzizong Group in the Lhasa Block China. Tectonophysics 489, 189</w:t>
      </w:r>
      <w:r>
        <w:rPr>
          <w:rFonts w:ascii="Calibri" w:eastAsia="Calibri" w:hAnsi="Calibri" w:cs="Calibri"/>
          <w:sz w:val="13"/>
        </w:rPr>
        <w:t>–</w:t>
      </w:r>
      <w:r>
        <w:rPr>
          <w:sz w:val="13"/>
        </w:rPr>
        <w:t>209.</w:t>
      </w:r>
    </w:p>
    <w:p w14:paraId="2D06CD4B" w14:textId="77777777" w:rsidR="00F64F7F" w:rsidRDefault="0056380C">
      <w:pPr>
        <w:spacing w:line="256" w:lineRule="auto"/>
        <w:ind w:left="234" w:right="178" w:hanging="249"/>
      </w:pPr>
      <w:r>
        <w:rPr>
          <w:sz w:val="13"/>
        </w:rPr>
        <w:t>Chen, X., Wang, C.S., Kuhnt, W., Holbourn, A., Huang, Y.J., Ma, C., 2011. Lithofacies, microfacies and depositional environments of Upper Cretaceous Ocean</w:t>
      </w:r>
      <w:r>
        <w:rPr>
          <w:sz w:val="13"/>
        </w:rPr>
        <w:t>ic red beds (Chuangde Formation) in southern Tibet. Sed. Geol. 235, 100</w:t>
      </w:r>
      <w:r>
        <w:rPr>
          <w:rFonts w:ascii="Calibri" w:eastAsia="Calibri" w:hAnsi="Calibri" w:cs="Calibri"/>
          <w:sz w:val="13"/>
        </w:rPr>
        <w:t>–</w:t>
      </w:r>
      <w:r>
        <w:rPr>
          <w:sz w:val="13"/>
        </w:rPr>
        <w:t>110.</w:t>
      </w:r>
    </w:p>
    <w:p w14:paraId="78FE7F00" w14:textId="77777777" w:rsidR="00F64F7F" w:rsidRDefault="0056380C">
      <w:pPr>
        <w:spacing w:line="256" w:lineRule="auto"/>
        <w:ind w:left="234" w:right="178" w:hanging="249"/>
      </w:pPr>
      <w:r>
        <w:rPr>
          <w:sz w:val="13"/>
        </w:rPr>
        <w:t>Chu, M.F., Chung, S.L., Song, B., Liu, D.Y., O'Reilly, S.Y., Pearson, N.J., Ji, J.Q., Wen, D.J., 2006. Zircon U</w:t>
      </w:r>
      <w:r>
        <w:rPr>
          <w:rFonts w:ascii="Calibri" w:eastAsia="Calibri" w:hAnsi="Calibri" w:cs="Calibri"/>
          <w:sz w:val="13"/>
        </w:rPr>
        <w:t>–</w:t>
      </w:r>
      <w:r>
        <w:rPr>
          <w:sz w:val="13"/>
        </w:rPr>
        <w:t>Pb and Hf isotope constraints on the Mesozoic tectonics and crustal</w:t>
      </w:r>
      <w:r>
        <w:rPr>
          <w:sz w:val="13"/>
        </w:rPr>
        <w:t xml:space="preserve"> evolution of southern Tibet. Geology 34, 745</w:t>
      </w:r>
      <w:r>
        <w:rPr>
          <w:rFonts w:ascii="Calibri" w:eastAsia="Calibri" w:hAnsi="Calibri" w:cs="Calibri"/>
          <w:sz w:val="13"/>
        </w:rPr>
        <w:t>–</w:t>
      </w:r>
      <w:r>
        <w:rPr>
          <w:sz w:val="13"/>
        </w:rPr>
        <w:t>748.</w:t>
      </w:r>
    </w:p>
    <w:p w14:paraId="565B0B26" w14:textId="77777777" w:rsidR="00F64F7F" w:rsidRDefault="0056380C">
      <w:pPr>
        <w:spacing w:line="256" w:lineRule="auto"/>
        <w:ind w:left="234" w:right="178" w:hanging="249"/>
      </w:pPr>
      <w:r>
        <w:rPr>
          <w:sz w:val="13"/>
        </w:rPr>
        <w:t>Copley, A., Avouac, J.P., Royer, J.Y., 2010. India</w:t>
      </w:r>
      <w:r>
        <w:rPr>
          <w:rFonts w:ascii="Calibri" w:eastAsia="Calibri" w:hAnsi="Calibri" w:cs="Calibri"/>
          <w:sz w:val="13"/>
        </w:rPr>
        <w:t>–</w:t>
      </w:r>
      <w:r>
        <w:rPr>
          <w:sz w:val="13"/>
        </w:rPr>
        <w:t xml:space="preserve">Asia collision and the Cenozoic slowdown of the Indian plate: implications for the forces driving plate motions. J. Geophys. Res. 115, B03410 </w:t>
      </w:r>
      <w:r>
        <w:rPr>
          <w:color w:val="422874"/>
          <w:sz w:val="13"/>
        </w:rPr>
        <w:t>doi:10.1029/</w:t>
      </w:r>
      <w:r>
        <w:rPr>
          <w:color w:val="422874"/>
          <w:sz w:val="13"/>
        </w:rPr>
        <w:t>2009JB006634</w:t>
      </w:r>
      <w:r>
        <w:rPr>
          <w:sz w:val="13"/>
        </w:rPr>
        <w:t>.</w:t>
      </w:r>
    </w:p>
    <w:p w14:paraId="7DC79D39" w14:textId="77777777" w:rsidR="00F64F7F" w:rsidRDefault="0056380C">
      <w:pPr>
        <w:spacing w:line="256" w:lineRule="auto"/>
        <w:ind w:left="234" w:hanging="249"/>
      </w:pPr>
      <w:r>
        <w:rPr>
          <w:sz w:val="13"/>
        </w:rPr>
        <w:t>Dai, J.G., Yin, A., Liu, W.C., Wang, C.S., 2008. Nd isotopic compositions of the Tethyan Himalaya sequence in southeastern Tibet. Sci. China, Ser. D. 51, 1306</w:t>
      </w:r>
      <w:r>
        <w:rPr>
          <w:rFonts w:ascii="Calibri" w:eastAsia="Calibri" w:hAnsi="Calibri" w:cs="Calibri"/>
          <w:sz w:val="13"/>
        </w:rPr>
        <w:t>–</w:t>
      </w:r>
      <w:r>
        <w:rPr>
          <w:sz w:val="13"/>
        </w:rPr>
        <w:t>1316.</w:t>
      </w:r>
    </w:p>
    <w:p w14:paraId="6DE78D8A" w14:textId="77777777" w:rsidR="00F64F7F" w:rsidRDefault="0056380C">
      <w:pPr>
        <w:spacing w:line="256" w:lineRule="auto"/>
        <w:ind w:left="234" w:hanging="249"/>
      </w:pPr>
      <w:r>
        <w:rPr>
          <w:sz w:val="13"/>
        </w:rPr>
        <w:t>Davis, A.M., Aitchison, J.C., Zhu, B.D., Luo, H., Sergei, Z., 2002. Paleogene</w:t>
      </w:r>
      <w:r>
        <w:rPr>
          <w:sz w:val="13"/>
        </w:rPr>
        <w:t xml:space="preserve"> island arc collisionrelated conglomerates, Yarlung</w:t>
      </w:r>
      <w:r>
        <w:rPr>
          <w:rFonts w:ascii="Calibri" w:eastAsia="Calibri" w:hAnsi="Calibri" w:cs="Calibri"/>
          <w:sz w:val="13"/>
        </w:rPr>
        <w:t>–</w:t>
      </w:r>
      <w:r>
        <w:rPr>
          <w:sz w:val="13"/>
        </w:rPr>
        <w:t>Tsangpo suture zone Tibet. Sed. Geol. 150, 247</w:t>
      </w:r>
      <w:r>
        <w:rPr>
          <w:rFonts w:ascii="Calibri" w:eastAsia="Calibri" w:hAnsi="Calibri" w:cs="Calibri"/>
          <w:sz w:val="13"/>
        </w:rPr>
        <w:t>–</w:t>
      </w:r>
      <w:r>
        <w:rPr>
          <w:sz w:val="13"/>
        </w:rPr>
        <w:t>273.</w:t>
      </w:r>
    </w:p>
    <w:p w14:paraId="672DCE75" w14:textId="77777777" w:rsidR="00F64F7F" w:rsidRDefault="0056380C">
      <w:pPr>
        <w:spacing w:line="256" w:lineRule="auto"/>
        <w:ind w:left="234" w:right="178" w:hanging="249"/>
      </w:pPr>
      <w:r>
        <w:rPr>
          <w:sz w:val="13"/>
        </w:rPr>
        <w:t>Debon, F., LeFort, P., Sheppard, S.M., Sonet, J., 1986. The four plutonic belts of the Transhimalaya</w:t>
      </w:r>
      <w:r>
        <w:rPr>
          <w:rFonts w:ascii="Calibri" w:eastAsia="Calibri" w:hAnsi="Calibri" w:cs="Calibri"/>
          <w:sz w:val="13"/>
        </w:rPr>
        <w:t>–</w:t>
      </w:r>
      <w:r>
        <w:rPr>
          <w:sz w:val="13"/>
        </w:rPr>
        <w:t>Himalaya: a chemical, mineralogical, isotopic, and chronological synthesis along a Tibet</w:t>
      </w:r>
      <w:r>
        <w:rPr>
          <w:rFonts w:ascii="Calibri" w:eastAsia="Calibri" w:hAnsi="Calibri" w:cs="Calibri"/>
          <w:sz w:val="13"/>
        </w:rPr>
        <w:t>–</w:t>
      </w:r>
      <w:r>
        <w:rPr>
          <w:sz w:val="13"/>
        </w:rPr>
        <w:t>Nepal section. J. Petrol. 27, 219</w:t>
      </w:r>
      <w:r>
        <w:rPr>
          <w:rFonts w:ascii="Calibri" w:eastAsia="Calibri" w:hAnsi="Calibri" w:cs="Calibri"/>
          <w:sz w:val="13"/>
        </w:rPr>
        <w:t>–</w:t>
      </w:r>
      <w:r>
        <w:rPr>
          <w:sz w:val="13"/>
        </w:rPr>
        <w:t>250.</w:t>
      </w:r>
    </w:p>
    <w:p w14:paraId="63564AEC" w14:textId="77777777" w:rsidR="00F64F7F" w:rsidRDefault="0056380C">
      <w:pPr>
        <w:spacing w:line="256" w:lineRule="auto"/>
        <w:ind w:left="425" w:hanging="249"/>
      </w:pPr>
      <w:r>
        <w:rPr>
          <w:sz w:val="13"/>
        </w:rPr>
        <w:t>DeCelles, P.G., Gehrels, G.</w:t>
      </w:r>
      <w:r>
        <w:rPr>
          <w:sz w:val="13"/>
        </w:rPr>
        <w:t>E., Quade, J., LaReau, B., Spurlin, M., 2000. Tectonic implications of U</w:t>
      </w:r>
      <w:r>
        <w:rPr>
          <w:rFonts w:ascii="Calibri" w:eastAsia="Calibri" w:hAnsi="Calibri" w:cs="Calibri"/>
          <w:sz w:val="13"/>
        </w:rPr>
        <w:t>–</w:t>
      </w:r>
      <w:r>
        <w:rPr>
          <w:sz w:val="13"/>
        </w:rPr>
        <w:t>Pb zircon ages of the Himalayan orogenic belt in Nepal. Science 288 (5465), 497</w:t>
      </w:r>
      <w:r>
        <w:rPr>
          <w:rFonts w:ascii="Calibri" w:eastAsia="Calibri" w:hAnsi="Calibri" w:cs="Calibri"/>
          <w:sz w:val="13"/>
        </w:rPr>
        <w:t>–</w:t>
      </w:r>
      <w:r>
        <w:rPr>
          <w:sz w:val="13"/>
        </w:rPr>
        <w:t>499.</w:t>
      </w:r>
    </w:p>
    <w:p w14:paraId="00853992" w14:textId="77777777" w:rsidR="00F64F7F" w:rsidRDefault="0056380C">
      <w:pPr>
        <w:spacing w:line="256" w:lineRule="auto"/>
        <w:ind w:left="425" w:hanging="249"/>
      </w:pPr>
      <w:r>
        <w:rPr>
          <w:sz w:val="13"/>
        </w:rPr>
        <w:t xml:space="preserve">DeCelles, P.G., Gehrels, G.E., Najman, Y., Martin, A.J., Carter, A., Garzanti, E., 2004. Detrital </w:t>
      </w:r>
      <w:r>
        <w:rPr>
          <w:sz w:val="13"/>
        </w:rPr>
        <w:t>geochronology and geochemistry of Cretaceous</w:t>
      </w:r>
      <w:r>
        <w:rPr>
          <w:rFonts w:ascii="Calibri" w:eastAsia="Calibri" w:hAnsi="Calibri" w:cs="Calibri"/>
          <w:sz w:val="13"/>
        </w:rPr>
        <w:t>–</w:t>
      </w:r>
      <w:r>
        <w:rPr>
          <w:sz w:val="13"/>
        </w:rPr>
        <w:t xml:space="preserve">Early Miocene strata of Nepal: </w:t>
      </w:r>
      <w:r>
        <w:rPr>
          <w:sz w:val="13"/>
        </w:rPr>
        <w:lastRenderedPageBreak/>
        <w:t>implications for timing and diachronety of initial Himalayan orogensis. Earth Planet. Sci. Lett. 227, 313</w:t>
      </w:r>
      <w:r>
        <w:rPr>
          <w:rFonts w:ascii="Calibri" w:eastAsia="Calibri" w:hAnsi="Calibri" w:cs="Calibri"/>
          <w:sz w:val="13"/>
        </w:rPr>
        <w:t>–</w:t>
      </w:r>
      <w:r>
        <w:rPr>
          <w:sz w:val="13"/>
        </w:rPr>
        <w:t>330.</w:t>
      </w:r>
    </w:p>
    <w:p w14:paraId="11FE56DB" w14:textId="77777777" w:rsidR="00F64F7F" w:rsidRDefault="0056380C">
      <w:pPr>
        <w:spacing w:after="0" w:line="252" w:lineRule="auto"/>
        <w:ind w:left="415" w:hanging="239"/>
        <w:jc w:val="left"/>
      </w:pPr>
      <w:r>
        <w:rPr>
          <w:sz w:val="13"/>
        </w:rPr>
        <w:t>DeCelles, P.G., Kapp, P., Ding, L., Gehrels, G.E., 2007. Late Cretaceous to middle Tertiary basin evolution in the central Tibetan Plateau: changing environments in response to tectonic partitioning, aridi</w:t>
      </w:r>
      <w:r>
        <w:rPr>
          <w:rFonts w:ascii="Calibri" w:eastAsia="Calibri" w:hAnsi="Calibri" w:cs="Calibri"/>
          <w:sz w:val="13"/>
        </w:rPr>
        <w:t>fi</w:t>
      </w:r>
      <w:r>
        <w:rPr>
          <w:sz w:val="13"/>
        </w:rPr>
        <w:t>cation, and regional elevation gain. Geol. Soc. A</w:t>
      </w:r>
      <w:r>
        <w:rPr>
          <w:sz w:val="13"/>
        </w:rPr>
        <w:t>m. Bull. 119, 654</w:t>
      </w:r>
      <w:r>
        <w:rPr>
          <w:rFonts w:ascii="Calibri" w:eastAsia="Calibri" w:hAnsi="Calibri" w:cs="Calibri"/>
          <w:sz w:val="13"/>
        </w:rPr>
        <w:t>–</w:t>
      </w:r>
      <w:r>
        <w:rPr>
          <w:sz w:val="13"/>
        </w:rPr>
        <w:t>680.</w:t>
      </w:r>
    </w:p>
    <w:p w14:paraId="6556C79B" w14:textId="77777777" w:rsidR="00F64F7F" w:rsidRDefault="0056380C">
      <w:pPr>
        <w:spacing w:line="256" w:lineRule="auto"/>
        <w:ind w:left="425" w:hanging="249"/>
      </w:pPr>
      <w:r>
        <w:rPr>
          <w:sz w:val="13"/>
        </w:rPr>
        <w:t>Ding, L., Kapp, P., Zhong, D.L., Deng, W.M., 2003. Cenozoic volcanism in Tibet: evidence for a transition from oceanic to continental subduction. J. Petrol. 14, 1833</w:t>
      </w:r>
      <w:r>
        <w:rPr>
          <w:rFonts w:ascii="Calibri" w:eastAsia="Calibri" w:hAnsi="Calibri" w:cs="Calibri"/>
          <w:sz w:val="13"/>
        </w:rPr>
        <w:t>–</w:t>
      </w:r>
      <w:r>
        <w:rPr>
          <w:sz w:val="13"/>
        </w:rPr>
        <w:t>1865.</w:t>
      </w:r>
    </w:p>
    <w:p w14:paraId="4D34658E" w14:textId="77777777" w:rsidR="00F64F7F" w:rsidRDefault="0056380C">
      <w:pPr>
        <w:spacing w:line="256" w:lineRule="auto"/>
        <w:ind w:left="425" w:hanging="249"/>
      </w:pPr>
      <w:r>
        <w:rPr>
          <w:sz w:val="13"/>
        </w:rPr>
        <w:t>Ding, L., Lai, Q.Z., 2003. New geological evidence of crustal</w:t>
      </w:r>
      <w:r>
        <w:rPr>
          <w:sz w:val="13"/>
        </w:rPr>
        <w:t xml:space="preserve"> thickening in the Gangdese block prior to the Indo</w:t>
      </w:r>
      <w:r>
        <w:rPr>
          <w:rFonts w:ascii="Calibri" w:eastAsia="Calibri" w:hAnsi="Calibri" w:cs="Calibri"/>
          <w:sz w:val="13"/>
        </w:rPr>
        <w:t>–</w:t>
      </w:r>
      <w:r>
        <w:rPr>
          <w:sz w:val="13"/>
        </w:rPr>
        <w:t>Asian collision. Chin. Sci. Bull. 48, 1604</w:t>
      </w:r>
      <w:r>
        <w:rPr>
          <w:rFonts w:ascii="Calibri" w:eastAsia="Calibri" w:hAnsi="Calibri" w:cs="Calibri"/>
          <w:sz w:val="13"/>
        </w:rPr>
        <w:t>–</w:t>
      </w:r>
      <w:r>
        <w:rPr>
          <w:sz w:val="13"/>
        </w:rPr>
        <w:t>1610.</w:t>
      </w:r>
    </w:p>
    <w:p w14:paraId="6E28CB74" w14:textId="77777777" w:rsidR="00F64F7F" w:rsidRDefault="0056380C">
      <w:pPr>
        <w:spacing w:line="256" w:lineRule="auto"/>
        <w:ind w:left="425" w:hanging="249"/>
      </w:pPr>
      <w:r>
        <w:rPr>
          <w:sz w:val="13"/>
        </w:rPr>
        <w:t>Ding, L., Kapp, P., Wan, X., 2005. Paleocene</w:t>
      </w:r>
      <w:r>
        <w:rPr>
          <w:rFonts w:ascii="Calibri" w:eastAsia="Calibri" w:hAnsi="Calibri" w:cs="Calibri"/>
          <w:sz w:val="13"/>
        </w:rPr>
        <w:t>–</w:t>
      </w:r>
      <w:r>
        <w:rPr>
          <w:sz w:val="13"/>
        </w:rPr>
        <w:t>Eocene record of ophilite obduction and initial India</w:t>
      </w:r>
      <w:r>
        <w:rPr>
          <w:rFonts w:ascii="Calibri" w:eastAsia="Calibri" w:hAnsi="Calibri" w:cs="Calibri"/>
          <w:sz w:val="13"/>
        </w:rPr>
        <w:t>–</w:t>
      </w:r>
      <w:r>
        <w:rPr>
          <w:sz w:val="13"/>
        </w:rPr>
        <w:t xml:space="preserve">Asian collision, south central Tibet. Tectonics 24. </w:t>
      </w:r>
      <w:r>
        <w:rPr>
          <w:color w:val="422874"/>
          <w:sz w:val="13"/>
        </w:rPr>
        <w:t>doi:</w:t>
      </w:r>
      <w:r>
        <w:rPr>
          <w:color w:val="422874"/>
          <w:sz w:val="13"/>
        </w:rPr>
        <w:t xml:space="preserve">10.1029/2004 TC001729 </w:t>
      </w:r>
      <w:r>
        <w:rPr>
          <w:rFonts w:ascii="Calibri" w:eastAsia="Calibri" w:hAnsi="Calibri" w:cs="Calibri"/>
          <w:sz w:val="13"/>
        </w:rPr>
        <w:t>TC3001.</w:t>
      </w:r>
    </w:p>
    <w:p w14:paraId="2E121D4C" w14:textId="77777777" w:rsidR="00F64F7F" w:rsidRDefault="0056380C">
      <w:pPr>
        <w:spacing w:line="256" w:lineRule="auto"/>
        <w:ind w:left="425" w:hanging="249"/>
      </w:pPr>
      <w:r>
        <w:rPr>
          <w:sz w:val="13"/>
        </w:rPr>
        <w:t>Dewey, J.F., Sharkleton, R.M., Chang, C.F., Sun, Y.Y., 1988. The tectonic evolution of the Tibetan plateau. Philos. Trans. R. Soc. London, Ser. A. 327, 313</w:t>
      </w:r>
      <w:r>
        <w:rPr>
          <w:rFonts w:ascii="Calibri" w:eastAsia="Calibri" w:hAnsi="Calibri" w:cs="Calibri"/>
          <w:sz w:val="13"/>
        </w:rPr>
        <w:t>–</w:t>
      </w:r>
      <w:r>
        <w:rPr>
          <w:sz w:val="13"/>
        </w:rPr>
        <w:t>330.</w:t>
      </w:r>
    </w:p>
    <w:p w14:paraId="07FAC5B4" w14:textId="77777777" w:rsidR="00F64F7F" w:rsidRDefault="0056380C">
      <w:pPr>
        <w:spacing w:line="256" w:lineRule="auto"/>
        <w:ind w:left="425" w:hanging="249"/>
      </w:pPr>
      <w:r>
        <w:rPr>
          <w:sz w:val="13"/>
        </w:rPr>
        <w:t>Dick, H.J.B., Bullen, T., 1984. Chromian spinel as a petrogenetic</w:t>
      </w:r>
      <w:r>
        <w:rPr>
          <w:sz w:val="13"/>
        </w:rPr>
        <w:t xml:space="preserve"> indicator in abyssal and alpinetype peridotites and spatially associated lavas. Contrib. Mineral. Petrol. 86, 54</w:t>
      </w:r>
      <w:r>
        <w:rPr>
          <w:rFonts w:ascii="Calibri" w:eastAsia="Calibri" w:hAnsi="Calibri" w:cs="Calibri"/>
          <w:sz w:val="13"/>
        </w:rPr>
        <w:t>–</w:t>
      </w:r>
      <w:r>
        <w:rPr>
          <w:sz w:val="13"/>
        </w:rPr>
        <w:t>76.</w:t>
      </w:r>
    </w:p>
    <w:p w14:paraId="3A7F3CBE" w14:textId="77777777" w:rsidR="00F64F7F" w:rsidRDefault="0056380C">
      <w:pPr>
        <w:spacing w:line="256" w:lineRule="auto"/>
        <w:ind w:left="425" w:hanging="249"/>
      </w:pPr>
      <w:r>
        <w:rPr>
          <w:sz w:val="13"/>
        </w:rPr>
        <w:t>Dickinson, W.R., Suczek, C.A., 1979. Plate tectonics and sandstone composition. Am. Assoc. Pet. Geol. Bull. 63, 2164</w:t>
      </w:r>
      <w:r>
        <w:rPr>
          <w:rFonts w:ascii="Calibri" w:eastAsia="Calibri" w:hAnsi="Calibri" w:cs="Calibri"/>
          <w:sz w:val="13"/>
        </w:rPr>
        <w:t>–</w:t>
      </w:r>
      <w:r>
        <w:rPr>
          <w:sz w:val="13"/>
        </w:rPr>
        <w:t>2182.</w:t>
      </w:r>
    </w:p>
    <w:p w14:paraId="3E4A2143" w14:textId="77777777" w:rsidR="00F64F7F" w:rsidRDefault="0056380C">
      <w:pPr>
        <w:spacing w:line="256" w:lineRule="auto"/>
        <w:ind w:left="425" w:hanging="249"/>
      </w:pPr>
      <w:r>
        <w:rPr>
          <w:sz w:val="13"/>
        </w:rPr>
        <w:t>Dickinson, W.R.</w:t>
      </w:r>
      <w:r>
        <w:rPr>
          <w:sz w:val="13"/>
        </w:rPr>
        <w:t>, 1985. Interpreting provenance relations from detrital modes of sandstone. In: Zuffa, G. (Ed.), Provenance of Arenites. Reidel Publishing Co., Dordrecht, pp. 333</w:t>
      </w:r>
      <w:r>
        <w:rPr>
          <w:rFonts w:ascii="Calibri" w:eastAsia="Calibri" w:hAnsi="Calibri" w:cs="Calibri"/>
          <w:sz w:val="13"/>
        </w:rPr>
        <w:t>–</w:t>
      </w:r>
      <w:r>
        <w:rPr>
          <w:sz w:val="13"/>
        </w:rPr>
        <w:t>361.</w:t>
      </w:r>
    </w:p>
    <w:p w14:paraId="3CEAD1D2" w14:textId="77777777" w:rsidR="00F64F7F" w:rsidRDefault="0056380C">
      <w:pPr>
        <w:spacing w:line="256" w:lineRule="auto"/>
        <w:ind w:left="425" w:hanging="249"/>
      </w:pPr>
      <w:r>
        <w:rPr>
          <w:sz w:val="13"/>
        </w:rPr>
        <w:t>Dubois-Côté, V., Hébert, R., Dupuis, C., Wang, C.S., Li, Y., Dostal, J., 2005. Petrologi</w:t>
      </w:r>
      <w:r>
        <w:rPr>
          <w:sz w:val="13"/>
        </w:rPr>
        <w:t>cal and geochemical evidence for the origin of the Yarlung Zangbo ophiolites, southern Tibet. Chem. Geol. 214, 265</w:t>
      </w:r>
      <w:r>
        <w:rPr>
          <w:rFonts w:ascii="Calibri" w:eastAsia="Calibri" w:hAnsi="Calibri" w:cs="Calibri"/>
          <w:sz w:val="13"/>
        </w:rPr>
        <w:t>–</w:t>
      </w:r>
      <w:r>
        <w:rPr>
          <w:sz w:val="13"/>
        </w:rPr>
        <w:t>286.</w:t>
      </w:r>
    </w:p>
    <w:p w14:paraId="17802DE6" w14:textId="77777777" w:rsidR="00F64F7F" w:rsidRDefault="0056380C">
      <w:pPr>
        <w:spacing w:line="256" w:lineRule="auto"/>
        <w:ind w:left="425" w:hanging="249"/>
      </w:pPr>
      <w:r>
        <w:rPr>
          <w:sz w:val="13"/>
        </w:rPr>
        <w:t>Dupont-Nivet, G., Lippert, P.C., van Hinsbergen, M.J.M., Meijers, D.J.J., Kapp, P., 2010. Palaeolatitude and age of the Indo</w:t>
      </w:r>
      <w:r>
        <w:rPr>
          <w:rFonts w:ascii="Calibri" w:eastAsia="Calibri" w:hAnsi="Calibri" w:cs="Calibri"/>
          <w:sz w:val="13"/>
        </w:rPr>
        <w:t>–</w:t>
      </w:r>
      <w:r>
        <w:rPr>
          <w:sz w:val="13"/>
        </w:rPr>
        <w:t>Asia collis</w:t>
      </w:r>
      <w:r>
        <w:rPr>
          <w:sz w:val="13"/>
        </w:rPr>
        <w:t>ion: palaeomagnetic constraints. Geophys. J. Int. 182, 1189</w:t>
      </w:r>
      <w:r>
        <w:rPr>
          <w:rFonts w:ascii="Calibri" w:eastAsia="Calibri" w:hAnsi="Calibri" w:cs="Calibri"/>
          <w:sz w:val="13"/>
        </w:rPr>
        <w:t>–</w:t>
      </w:r>
      <w:r>
        <w:rPr>
          <w:sz w:val="13"/>
        </w:rPr>
        <w:t>1198.</w:t>
      </w:r>
    </w:p>
    <w:p w14:paraId="2B6D8468" w14:textId="77777777" w:rsidR="00F64F7F" w:rsidRDefault="0056380C">
      <w:pPr>
        <w:spacing w:line="256" w:lineRule="auto"/>
        <w:ind w:left="425" w:hanging="249"/>
      </w:pPr>
      <w:r>
        <w:rPr>
          <w:sz w:val="13"/>
        </w:rPr>
        <w:t>Dürr, S.B., 1996. Provenance of Xigaze fore-arc basin clastic rocks (Cretaceous, south Tibet). Geol. Soc. Am. Bull. 108, 669</w:t>
      </w:r>
      <w:r>
        <w:rPr>
          <w:rFonts w:ascii="Calibri" w:eastAsia="Calibri" w:hAnsi="Calibri" w:cs="Calibri"/>
          <w:sz w:val="13"/>
        </w:rPr>
        <w:t>–</w:t>
      </w:r>
      <w:r>
        <w:rPr>
          <w:sz w:val="13"/>
        </w:rPr>
        <w:t>684.</w:t>
      </w:r>
    </w:p>
    <w:p w14:paraId="237D57EF" w14:textId="77777777" w:rsidR="00F64F7F" w:rsidRDefault="0056380C">
      <w:pPr>
        <w:spacing w:line="256" w:lineRule="auto"/>
        <w:ind w:left="425" w:hanging="249"/>
      </w:pPr>
      <w:r>
        <w:rPr>
          <w:sz w:val="13"/>
        </w:rPr>
        <w:t>Einsele, G., Liu, B., Dürr, S.B., Frisch, W., Liu, G., Luter</w:t>
      </w:r>
      <w:r>
        <w:rPr>
          <w:sz w:val="13"/>
        </w:rPr>
        <w:t>bacher, H.P., Ratschbacher, L., Ricken, W., Wendt, J., Wetzel, A., Yu, G., Zheng, H., 1994. The Xigaze forearc basin: evolution and facies architecture (Cretaceous, Tibet). Sed. Geol. 90, 1</w:t>
      </w:r>
      <w:r>
        <w:rPr>
          <w:rFonts w:ascii="Calibri" w:eastAsia="Calibri" w:hAnsi="Calibri" w:cs="Calibri"/>
          <w:sz w:val="13"/>
        </w:rPr>
        <w:t>–</w:t>
      </w:r>
      <w:r>
        <w:rPr>
          <w:sz w:val="13"/>
        </w:rPr>
        <w:t>32.</w:t>
      </w:r>
    </w:p>
    <w:p w14:paraId="1AA3309C" w14:textId="77777777" w:rsidR="00F64F7F" w:rsidRDefault="0056380C">
      <w:pPr>
        <w:spacing w:line="256" w:lineRule="auto"/>
        <w:ind w:left="425" w:hanging="249"/>
      </w:pPr>
      <w:r>
        <w:rPr>
          <w:sz w:val="13"/>
        </w:rPr>
        <w:t>Gehrels, G.E., Decellers, P.G., Martin, A., Ojha, T.P., Pinhas</w:t>
      </w:r>
      <w:r>
        <w:rPr>
          <w:sz w:val="13"/>
        </w:rPr>
        <w:t>si, G., 2003. Initiation of the Himalayan orogen as an early Paleozoic thin-skinned thrust belt. GSA Today. 13, 4</w:t>
      </w:r>
      <w:r>
        <w:rPr>
          <w:rFonts w:ascii="Calibri" w:eastAsia="Calibri" w:hAnsi="Calibri" w:cs="Calibri"/>
          <w:sz w:val="13"/>
        </w:rPr>
        <w:t>–</w:t>
      </w:r>
      <w:r>
        <w:rPr>
          <w:sz w:val="13"/>
        </w:rPr>
        <w:t>9.</w:t>
      </w:r>
    </w:p>
    <w:p w14:paraId="018CA0C6" w14:textId="77777777" w:rsidR="00F64F7F" w:rsidRDefault="0056380C">
      <w:pPr>
        <w:spacing w:line="256" w:lineRule="auto"/>
        <w:ind w:left="425" w:hanging="249"/>
      </w:pPr>
      <w:r>
        <w:rPr>
          <w:sz w:val="13"/>
        </w:rPr>
        <w:t>Gehrels, G.E., DeCellers, P.G., Ojha, T.P., Upreti, B.N., 2006. Geologic and U</w:t>
      </w:r>
      <w:r>
        <w:rPr>
          <w:rFonts w:ascii="Calibri" w:eastAsia="Calibri" w:hAnsi="Calibri" w:cs="Calibri"/>
          <w:sz w:val="13"/>
        </w:rPr>
        <w:t>–</w:t>
      </w:r>
      <w:r>
        <w:rPr>
          <w:sz w:val="13"/>
        </w:rPr>
        <w:t>Th</w:t>
      </w:r>
      <w:r>
        <w:rPr>
          <w:rFonts w:ascii="Calibri" w:eastAsia="Calibri" w:hAnsi="Calibri" w:cs="Calibri"/>
          <w:sz w:val="13"/>
        </w:rPr>
        <w:t>–</w:t>
      </w:r>
      <w:r>
        <w:rPr>
          <w:sz w:val="13"/>
        </w:rPr>
        <w:t>Pb geochronologic evidence for early Paleozoic tectonism in the Kathmandu thrust sheet, central Nepal Himalaya. Geol. Soc. Am. Bull. 118, 185</w:t>
      </w:r>
      <w:r>
        <w:rPr>
          <w:rFonts w:ascii="Calibri" w:eastAsia="Calibri" w:hAnsi="Calibri" w:cs="Calibri"/>
          <w:sz w:val="13"/>
        </w:rPr>
        <w:t>–</w:t>
      </w:r>
      <w:r>
        <w:rPr>
          <w:sz w:val="13"/>
        </w:rPr>
        <w:t>198.</w:t>
      </w:r>
    </w:p>
    <w:p w14:paraId="0B008614" w14:textId="77777777" w:rsidR="00F64F7F" w:rsidRDefault="0056380C">
      <w:pPr>
        <w:spacing w:line="256" w:lineRule="auto"/>
        <w:ind w:left="425" w:hanging="249"/>
      </w:pPr>
      <w:r>
        <w:rPr>
          <w:sz w:val="13"/>
        </w:rPr>
        <w:t>Gopel, C., Allégre, C.J., Xu, R.H., 1984. Lead isotopic study of the Xigaze ophiolite (Tibet): the problem of</w:t>
      </w:r>
      <w:r>
        <w:rPr>
          <w:sz w:val="13"/>
        </w:rPr>
        <w:t xml:space="preserve"> the relationship between magmatites (gabbros, dolerites, lavas) and tectonites (harzburgites). Earth Planet. Sci. Lett. 69, 301</w:t>
      </w:r>
      <w:r>
        <w:rPr>
          <w:rFonts w:ascii="Calibri" w:eastAsia="Calibri" w:hAnsi="Calibri" w:cs="Calibri"/>
          <w:sz w:val="13"/>
        </w:rPr>
        <w:t>–</w:t>
      </w:r>
      <w:r>
        <w:rPr>
          <w:sz w:val="13"/>
        </w:rPr>
        <w:t>310.</w:t>
      </w:r>
    </w:p>
    <w:p w14:paraId="2E245EF2" w14:textId="77777777" w:rsidR="00F64F7F" w:rsidRDefault="0056380C">
      <w:pPr>
        <w:spacing w:line="256" w:lineRule="auto"/>
        <w:ind w:left="425" w:hanging="249"/>
      </w:pPr>
      <w:r>
        <w:rPr>
          <w:sz w:val="13"/>
        </w:rPr>
        <w:t xml:space="preserve">Guynn, J.H., Kapp, P., Pullen, A., Heizler, M., Gehrels, G., Ding, L., 2006. Tibetan basement rocks near Amdo reveal </w:t>
      </w:r>
      <w:r>
        <w:rPr>
          <w:rFonts w:ascii="Calibri" w:eastAsia="Calibri" w:hAnsi="Calibri" w:cs="Calibri"/>
          <w:sz w:val="13"/>
        </w:rPr>
        <w:t>“</w:t>
      </w:r>
      <w:r>
        <w:rPr>
          <w:sz w:val="13"/>
        </w:rPr>
        <w:t>miss</w:t>
      </w:r>
      <w:r>
        <w:rPr>
          <w:sz w:val="13"/>
        </w:rPr>
        <w:t>ing</w:t>
      </w:r>
      <w:r>
        <w:rPr>
          <w:rFonts w:ascii="Calibri" w:eastAsia="Calibri" w:hAnsi="Calibri" w:cs="Calibri"/>
          <w:sz w:val="13"/>
        </w:rPr>
        <w:t xml:space="preserve">” </w:t>
      </w:r>
      <w:r>
        <w:rPr>
          <w:sz w:val="13"/>
        </w:rPr>
        <w:t>Mesozoic tectonism along the Bangong suture, central Tibet. Geology 34, 505</w:t>
      </w:r>
      <w:r>
        <w:rPr>
          <w:rFonts w:ascii="Calibri" w:eastAsia="Calibri" w:hAnsi="Calibri" w:cs="Calibri"/>
          <w:sz w:val="13"/>
        </w:rPr>
        <w:t>–</w:t>
      </w:r>
      <w:r>
        <w:rPr>
          <w:sz w:val="13"/>
        </w:rPr>
        <w:t>508.</w:t>
      </w:r>
    </w:p>
    <w:p w14:paraId="445B394D" w14:textId="77777777" w:rsidR="00F64F7F" w:rsidRDefault="0056380C">
      <w:pPr>
        <w:spacing w:line="256" w:lineRule="auto"/>
        <w:ind w:left="425" w:hanging="249"/>
      </w:pPr>
      <w:r>
        <w:rPr>
          <w:sz w:val="13"/>
        </w:rPr>
        <w:t>Harris, N.B.W., Xu, R.H., Lewis, C.L., Hawkeworth, C.J., Zhang, Y., 1988. Isotope geochemistry of the 1985 Tibet Geotraverse Lhasa to Golmud. Philos. Trans. R. Soc. Lond.</w:t>
      </w:r>
      <w:r>
        <w:rPr>
          <w:sz w:val="13"/>
        </w:rPr>
        <w:t xml:space="preserve"> A327, 263</w:t>
      </w:r>
      <w:r>
        <w:rPr>
          <w:rFonts w:ascii="Calibri" w:eastAsia="Calibri" w:hAnsi="Calibri" w:cs="Calibri"/>
          <w:sz w:val="13"/>
        </w:rPr>
        <w:t>–</w:t>
      </w:r>
      <w:r>
        <w:rPr>
          <w:sz w:val="13"/>
        </w:rPr>
        <w:t>285.</w:t>
      </w:r>
    </w:p>
    <w:p w14:paraId="7AB216D3" w14:textId="77777777" w:rsidR="00F64F7F" w:rsidRDefault="0056380C">
      <w:pPr>
        <w:spacing w:line="256" w:lineRule="auto"/>
        <w:ind w:left="425" w:hanging="249"/>
      </w:pPr>
      <w:proofErr w:type="gramStart"/>
      <w:r>
        <w:rPr>
          <w:sz w:val="13"/>
        </w:rPr>
        <w:t>He,S.D.</w:t>
      </w:r>
      <w:proofErr w:type="gramEnd"/>
      <w:r>
        <w:rPr>
          <w:sz w:val="13"/>
        </w:rPr>
        <w:t>,Kapp,P.,DeCelles,P.G.,Gehrels,G.E.,Heizler,M.,2007.Cretaceous</w:t>
      </w:r>
      <w:r>
        <w:rPr>
          <w:rFonts w:ascii="Calibri" w:eastAsia="Calibri" w:hAnsi="Calibri" w:cs="Calibri"/>
          <w:sz w:val="13"/>
        </w:rPr>
        <w:t>–</w:t>
      </w:r>
      <w:r>
        <w:rPr>
          <w:sz w:val="13"/>
        </w:rPr>
        <w:t>Tertiarygeologyof the Gangdese Arc in the Linzhou area, southern Tibet. Tectonophysics 433, 15</w:t>
      </w:r>
      <w:r>
        <w:rPr>
          <w:rFonts w:ascii="Calibri" w:eastAsia="Calibri" w:hAnsi="Calibri" w:cs="Calibri"/>
          <w:sz w:val="13"/>
        </w:rPr>
        <w:t>–</w:t>
      </w:r>
      <w:r>
        <w:rPr>
          <w:sz w:val="13"/>
        </w:rPr>
        <w:t>37.</w:t>
      </w:r>
    </w:p>
    <w:p w14:paraId="1D2288B4" w14:textId="77777777" w:rsidR="00F64F7F" w:rsidRDefault="0056380C">
      <w:pPr>
        <w:spacing w:line="256" w:lineRule="auto"/>
        <w:ind w:left="425" w:hanging="249"/>
      </w:pPr>
      <w:r>
        <w:rPr>
          <w:sz w:val="13"/>
        </w:rPr>
        <w:t>He, Z.H., Yang, D.M., Zheng, C.Q., Wang, T.W., 2006. Isotopic dating of</w:t>
      </w:r>
      <w:r>
        <w:rPr>
          <w:sz w:val="13"/>
        </w:rPr>
        <w:t xml:space="preserve"> the Mamba granitoid in the Gangdese tectonic belt and its constraint on the subduction time of the Neotethys. Geol. Rev. 52, 100</w:t>
      </w:r>
      <w:r>
        <w:rPr>
          <w:rFonts w:ascii="Calibri" w:eastAsia="Calibri" w:hAnsi="Calibri" w:cs="Calibri"/>
          <w:sz w:val="13"/>
        </w:rPr>
        <w:t>–</w:t>
      </w:r>
      <w:r>
        <w:rPr>
          <w:sz w:val="13"/>
        </w:rPr>
        <w:t>106.</w:t>
      </w:r>
    </w:p>
    <w:p w14:paraId="50E3122B" w14:textId="77777777" w:rsidR="00F64F7F" w:rsidRDefault="0056380C">
      <w:pPr>
        <w:spacing w:line="256" w:lineRule="auto"/>
        <w:ind w:firstLine="0"/>
      </w:pPr>
      <w:r>
        <w:rPr>
          <w:sz w:val="13"/>
        </w:rPr>
        <w:t>Hu, J.R., 2003. 1:250,000 Xigaze Geological Map. National Geological Archives of China,</w:t>
      </w:r>
    </w:p>
    <w:p w14:paraId="323CDEFA" w14:textId="77777777" w:rsidR="00F64F7F" w:rsidRDefault="0056380C">
      <w:pPr>
        <w:spacing w:line="256" w:lineRule="auto"/>
        <w:ind w:left="415" w:firstLine="0"/>
      </w:pPr>
      <w:r>
        <w:rPr>
          <w:sz w:val="13"/>
        </w:rPr>
        <w:t>Beijing.</w:t>
      </w:r>
    </w:p>
    <w:p w14:paraId="6442F11D" w14:textId="77777777" w:rsidR="00F64F7F" w:rsidRDefault="0056380C">
      <w:pPr>
        <w:spacing w:line="256" w:lineRule="auto"/>
        <w:ind w:left="425" w:hanging="249"/>
      </w:pPr>
      <w:r>
        <w:rPr>
          <w:sz w:val="13"/>
        </w:rPr>
        <w:t>Hu, X.M., Jansa, L., Che</w:t>
      </w:r>
      <w:r>
        <w:rPr>
          <w:sz w:val="13"/>
        </w:rPr>
        <w:t>n, L., Grif</w:t>
      </w:r>
      <w:r>
        <w:rPr>
          <w:rFonts w:ascii="Calibri" w:eastAsia="Calibri" w:hAnsi="Calibri" w:cs="Calibri"/>
          <w:sz w:val="13"/>
        </w:rPr>
        <w:t>fi</w:t>
      </w:r>
      <w:r>
        <w:rPr>
          <w:sz w:val="13"/>
        </w:rPr>
        <w:t>n, W.L., O'Reilly, S.Y., Wang, J.G., 2010. Provenance of Lower Cretaceous Wolong volcaniclastics in the Tibetan Tethyan Himalaya:</w:t>
      </w:r>
    </w:p>
    <w:p w14:paraId="7728CCA2" w14:textId="77777777" w:rsidR="00F64F7F" w:rsidRDefault="0056380C">
      <w:pPr>
        <w:spacing w:after="0" w:line="259" w:lineRule="auto"/>
        <w:ind w:left="10" w:right="21" w:hanging="10"/>
        <w:jc w:val="right"/>
      </w:pPr>
      <w:r>
        <w:rPr>
          <w:sz w:val="13"/>
        </w:rPr>
        <w:t xml:space="preserve">implications for the </w:t>
      </w:r>
      <w:r>
        <w:rPr>
          <w:rFonts w:ascii="Calibri" w:eastAsia="Calibri" w:hAnsi="Calibri" w:cs="Calibri"/>
          <w:sz w:val="13"/>
        </w:rPr>
        <w:t>fi</w:t>
      </w:r>
      <w:r>
        <w:rPr>
          <w:sz w:val="13"/>
        </w:rPr>
        <w:t>nal breakup of eastern Gondwana. Sed. Geol. 223, 193</w:t>
      </w:r>
      <w:r>
        <w:rPr>
          <w:rFonts w:ascii="Calibri" w:eastAsia="Calibri" w:hAnsi="Calibri" w:cs="Calibri"/>
          <w:sz w:val="13"/>
        </w:rPr>
        <w:t>–</w:t>
      </w:r>
      <w:r>
        <w:rPr>
          <w:sz w:val="13"/>
        </w:rPr>
        <w:t>205.</w:t>
      </w:r>
    </w:p>
    <w:p w14:paraId="733F60A7" w14:textId="77777777" w:rsidR="00F64F7F" w:rsidRDefault="0056380C">
      <w:pPr>
        <w:spacing w:line="256" w:lineRule="auto"/>
        <w:ind w:left="425" w:hanging="249"/>
      </w:pPr>
      <w:r>
        <w:rPr>
          <w:sz w:val="13"/>
        </w:rPr>
        <w:t>Huot, F., Hebert, R., Varfalvy, V., Beaudoin, G., Wang, C.S., Liu, Z.F., Cotten, J., Dostal, J., 2002. The Beimarang melange (southern Tibet) brings additional constraints in assessing the origin, m</w:t>
      </w:r>
      <w:r>
        <w:rPr>
          <w:sz w:val="13"/>
        </w:rPr>
        <w:t>etamorphic evolution and obduction processes of the Yarlung Zangbo ophiolite. J. Asian Earth Sci. 21, 307</w:t>
      </w:r>
      <w:r>
        <w:rPr>
          <w:rFonts w:ascii="Calibri" w:eastAsia="Calibri" w:hAnsi="Calibri" w:cs="Calibri"/>
          <w:sz w:val="13"/>
        </w:rPr>
        <w:t>–</w:t>
      </w:r>
      <w:r>
        <w:rPr>
          <w:sz w:val="13"/>
        </w:rPr>
        <w:t>322.</w:t>
      </w:r>
    </w:p>
    <w:p w14:paraId="616BE5F8" w14:textId="77777777" w:rsidR="00F64F7F" w:rsidRDefault="0056380C">
      <w:pPr>
        <w:spacing w:line="256" w:lineRule="auto"/>
        <w:ind w:left="425" w:hanging="249"/>
      </w:pPr>
      <w:r>
        <w:rPr>
          <w:sz w:val="13"/>
        </w:rPr>
        <w:t>Ingersoll, R.V., Bullard, T.F., Ford, R.L., Grimm, J.P., Pickle, J.D., Sares, S.W., 1984. The effect of grain size on detrital modes: a test of t</w:t>
      </w:r>
      <w:r>
        <w:rPr>
          <w:sz w:val="13"/>
        </w:rPr>
        <w:t>he Gazzi</w:t>
      </w:r>
      <w:r>
        <w:rPr>
          <w:rFonts w:ascii="Calibri" w:eastAsia="Calibri" w:hAnsi="Calibri" w:cs="Calibri"/>
          <w:sz w:val="13"/>
        </w:rPr>
        <w:t>–</w:t>
      </w:r>
      <w:r>
        <w:rPr>
          <w:sz w:val="13"/>
        </w:rPr>
        <w:t>Dickinson point-counting method. J. Sediment. Petrol. 49, 103</w:t>
      </w:r>
      <w:r>
        <w:rPr>
          <w:rFonts w:ascii="Calibri" w:eastAsia="Calibri" w:hAnsi="Calibri" w:cs="Calibri"/>
          <w:sz w:val="13"/>
        </w:rPr>
        <w:t>–</w:t>
      </w:r>
      <w:r>
        <w:rPr>
          <w:sz w:val="13"/>
        </w:rPr>
        <w:t>116.</w:t>
      </w:r>
    </w:p>
    <w:p w14:paraId="03624C50" w14:textId="77777777" w:rsidR="00F64F7F" w:rsidRDefault="0056380C">
      <w:pPr>
        <w:spacing w:line="256" w:lineRule="auto"/>
        <w:ind w:left="425" w:hanging="249"/>
      </w:pPr>
      <w:r>
        <w:rPr>
          <w:sz w:val="13"/>
        </w:rPr>
        <w:t>Ji, W.Q., Wu, F.Y., Chung, S.L., Li, J., Liu, C.Z., 2009. Zircon U</w:t>
      </w:r>
      <w:r>
        <w:rPr>
          <w:rFonts w:ascii="Calibri" w:eastAsia="Calibri" w:hAnsi="Calibri" w:cs="Calibri"/>
          <w:sz w:val="13"/>
        </w:rPr>
        <w:t>–</w:t>
      </w:r>
      <w:r>
        <w:rPr>
          <w:sz w:val="13"/>
        </w:rPr>
        <w:t>Pb geochronology and Hf isotopic constraints on petrogenesis of the Gangdese batholith, southern Tibet. Chem. Geo</w:t>
      </w:r>
      <w:r>
        <w:rPr>
          <w:sz w:val="13"/>
        </w:rPr>
        <w:t>l. 262, 229</w:t>
      </w:r>
      <w:r>
        <w:rPr>
          <w:rFonts w:ascii="Calibri" w:eastAsia="Calibri" w:hAnsi="Calibri" w:cs="Calibri"/>
          <w:sz w:val="13"/>
        </w:rPr>
        <w:t>–</w:t>
      </w:r>
      <w:r>
        <w:rPr>
          <w:sz w:val="13"/>
        </w:rPr>
        <w:t>245.</w:t>
      </w:r>
    </w:p>
    <w:p w14:paraId="6D165E25" w14:textId="77777777" w:rsidR="00F64F7F" w:rsidRDefault="0056380C">
      <w:pPr>
        <w:spacing w:line="256" w:lineRule="auto"/>
        <w:ind w:left="425" w:hanging="249"/>
      </w:pPr>
      <w:r>
        <w:rPr>
          <w:sz w:val="13"/>
        </w:rPr>
        <w:t>Kamenetsky, V.S., Anthony, J.C., Sebastien, M., 2001. Factors controlling chemistry of magmatic spinel: an empirical study of associated olivine, Cr</w:t>
      </w:r>
      <w:r>
        <w:rPr>
          <w:rFonts w:ascii="Calibri" w:eastAsia="Calibri" w:hAnsi="Calibri" w:cs="Calibri"/>
          <w:sz w:val="13"/>
        </w:rPr>
        <w:t>–</w:t>
      </w:r>
      <w:r>
        <w:rPr>
          <w:sz w:val="13"/>
        </w:rPr>
        <w:t>spinel and melt inclusions from primitive rocks. J. Petrol. 42, 655</w:t>
      </w:r>
      <w:r>
        <w:rPr>
          <w:rFonts w:ascii="Calibri" w:eastAsia="Calibri" w:hAnsi="Calibri" w:cs="Calibri"/>
          <w:sz w:val="13"/>
        </w:rPr>
        <w:t>–</w:t>
      </w:r>
      <w:r>
        <w:rPr>
          <w:sz w:val="13"/>
        </w:rPr>
        <w:t>671.</w:t>
      </w:r>
    </w:p>
    <w:p w14:paraId="0E269D6B" w14:textId="77777777" w:rsidR="00F64F7F" w:rsidRDefault="0056380C">
      <w:pPr>
        <w:spacing w:line="256" w:lineRule="auto"/>
        <w:ind w:left="425" w:hanging="249"/>
      </w:pPr>
      <w:r>
        <w:rPr>
          <w:sz w:val="13"/>
        </w:rPr>
        <w:t>Kapp, J.L.D., Har</w:t>
      </w:r>
      <w:r>
        <w:rPr>
          <w:sz w:val="13"/>
        </w:rPr>
        <w:t xml:space="preserve">rison, T.M., Kapp, P., Grove, M., Lovera, O.M., Ding, L., 2005. Nyainqentanglha Shan: a window into the tectonic, thermal, and geochemical evolution of the Lhasa block, southern Tibet. J. Geophys. Res. 110, B08413 </w:t>
      </w:r>
      <w:r>
        <w:rPr>
          <w:color w:val="422874"/>
          <w:sz w:val="13"/>
        </w:rPr>
        <w:t>doi:10.1029/2004JB003330</w:t>
      </w:r>
      <w:r>
        <w:rPr>
          <w:sz w:val="13"/>
        </w:rPr>
        <w:t>.</w:t>
      </w:r>
    </w:p>
    <w:p w14:paraId="7A71BB9A" w14:textId="77777777" w:rsidR="00F64F7F" w:rsidRDefault="0056380C">
      <w:pPr>
        <w:spacing w:line="256" w:lineRule="auto"/>
        <w:ind w:left="425" w:hanging="249"/>
      </w:pPr>
      <w:r>
        <w:rPr>
          <w:sz w:val="13"/>
        </w:rPr>
        <w:t>Kapp, P., DeCell</w:t>
      </w:r>
      <w:r>
        <w:rPr>
          <w:sz w:val="13"/>
        </w:rPr>
        <w:t>es, P.G., Leier, A.L., Fabijanic, J.M., He, S.D., Pullen, A., Gehrels, G.E., Ding, L., 2007. The Gangdese retroarc thrust belt revealed. GSA Today. 17, 4</w:t>
      </w:r>
      <w:r>
        <w:rPr>
          <w:rFonts w:ascii="Calibri" w:eastAsia="Calibri" w:hAnsi="Calibri" w:cs="Calibri"/>
          <w:sz w:val="13"/>
        </w:rPr>
        <w:t>–</w:t>
      </w:r>
      <w:r>
        <w:rPr>
          <w:sz w:val="13"/>
        </w:rPr>
        <w:t>9.</w:t>
      </w:r>
    </w:p>
    <w:p w14:paraId="783709D0" w14:textId="77777777" w:rsidR="00F64F7F" w:rsidRDefault="0056380C">
      <w:pPr>
        <w:spacing w:line="256" w:lineRule="auto"/>
        <w:ind w:left="425" w:hanging="249"/>
      </w:pPr>
      <w:r>
        <w:rPr>
          <w:sz w:val="13"/>
        </w:rPr>
        <w:t>Lee, J., Dinklage, W.S., Hacker, B.R., Wang, Y., Gans, P.B., Calvert, A., Wan, J., Chen, W., Blythe</w:t>
      </w:r>
      <w:r>
        <w:rPr>
          <w:sz w:val="13"/>
        </w:rPr>
        <w:t>, A., McClelland, W., 2000. Evolution of the Kangmar Dome, southern Tibet:</w:t>
      </w:r>
    </w:p>
    <w:p w14:paraId="72806EF7" w14:textId="77777777" w:rsidR="00F64F7F" w:rsidRDefault="0056380C">
      <w:pPr>
        <w:spacing w:after="0" w:line="259" w:lineRule="auto"/>
        <w:ind w:left="10" w:right="21" w:hanging="10"/>
        <w:jc w:val="right"/>
      </w:pPr>
      <w:r>
        <w:rPr>
          <w:sz w:val="13"/>
        </w:rPr>
        <w:t>structural, petrologic, and thermochronologic constraints. Tectonics 19, 872</w:t>
      </w:r>
      <w:r>
        <w:rPr>
          <w:rFonts w:ascii="Calibri" w:eastAsia="Calibri" w:hAnsi="Calibri" w:cs="Calibri"/>
          <w:sz w:val="13"/>
        </w:rPr>
        <w:t>–</w:t>
      </w:r>
      <w:r>
        <w:rPr>
          <w:sz w:val="13"/>
        </w:rPr>
        <w:t>896.</w:t>
      </w:r>
    </w:p>
    <w:p w14:paraId="442DE40E" w14:textId="77777777" w:rsidR="00F64F7F" w:rsidRDefault="0056380C">
      <w:pPr>
        <w:spacing w:line="256" w:lineRule="auto"/>
        <w:ind w:left="425" w:hanging="249"/>
      </w:pPr>
      <w:r>
        <w:rPr>
          <w:sz w:val="13"/>
        </w:rPr>
        <w:t>Leier, A.L., Kapp, P., Gehrels, G.E., DeCelles, P.G., 2007a. Detrital zircon geochronology of Carbo</w:t>
      </w:r>
      <w:r>
        <w:rPr>
          <w:sz w:val="13"/>
        </w:rPr>
        <w:t>niferous</w:t>
      </w:r>
      <w:r>
        <w:rPr>
          <w:rFonts w:ascii="Calibri" w:eastAsia="Calibri" w:hAnsi="Calibri" w:cs="Calibri"/>
          <w:sz w:val="13"/>
        </w:rPr>
        <w:t>–</w:t>
      </w:r>
      <w:r>
        <w:rPr>
          <w:sz w:val="13"/>
        </w:rPr>
        <w:t>Cretaceous strata in the Lhasa terrane Southern Tibet. Basin Res. 19, 361</w:t>
      </w:r>
      <w:r>
        <w:rPr>
          <w:rFonts w:ascii="Calibri" w:eastAsia="Calibri" w:hAnsi="Calibri" w:cs="Calibri"/>
          <w:sz w:val="13"/>
        </w:rPr>
        <w:t>–</w:t>
      </w:r>
      <w:r>
        <w:rPr>
          <w:sz w:val="13"/>
        </w:rPr>
        <w:t>378.</w:t>
      </w:r>
    </w:p>
    <w:p w14:paraId="2F92BD56" w14:textId="77777777" w:rsidR="00F64F7F" w:rsidRDefault="0056380C">
      <w:pPr>
        <w:spacing w:line="256" w:lineRule="auto"/>
        <w:ind w:left="234" w:hanging="249"/>
      </w:pPr>
      <w:r>
        <w:rPr>
          <w:sz w:val="13"/>
        </w:rPr>
        <w:t>Leier, A.L., DeCelles, P.G., Kapp, P., Gehrels, G.E., 2007b. Lower Cretaceous strata in the Lhasa terrane, Tibet, with implications for understanding the early tectonic</w:t>
      </w:r>
      <w:r>
        <w:rPr>
          <w:sz w:val="13"/>
        </w:rPr>
        <w:t xml:space="preserve"> history of the Tibetan Plateau. J. Sed. Res. 77, 809</w:t>
      </w:r>
      <w:r>
        <w:rPr>
          <w:rFonts w:ascii="Calibri" w:eastAsia="Calibri" w:hAnsi="Calibri" w:cs="Calibri"/>
          <w:sz w:val="13"/>
        </w:rPr>
        <w:t>–</w:t>
      </w:r>
      <w:r>
        <w:rPr>
          <w:sz w:val="13"/>
        </w:rPr>
        <w:t>825.</w:t>
      </w:r>
    </w:p>
    <w:p w14:paraId="2B765453" w14:textId="77777777" w:rsidR="00F64F7F" w:rsidRDefault="0056380C">
      <w:pPr>
        <w:spacing w:line="256" w:lineRule="auto"/>
        <w:ind w:left="234" w:hanging="249"/>
      </w:pPr>
      <w:r>
        <w:rPr>
          <w:sz w:val="13"/>
        </w:rPr>
        <w:t>Lenaz, D., Kamenetsky, V.S., Crawford, A.J., Princivalle, F., 2000. Melt inclusions in detrital spinel from the SE Alps (Italy</w:t>
      </w:r>
      <w:r>
        <w:rPr>
          <w:rFonts w:ascii="Calibri" w:eastAsia="Calibri" w:hAnsi="Calibri" w:cs="Calibri"/>
          <w:sz w:val="13"/>
        </w:rPr>
        <w:t>–</w:t>
      </w:r>
      <w:r>
        <w:rPr>
          <w:sz w:val="13"/>
        </w:rPr>
        <w:t>Slovenia): a new approach to provenance studies of sedimentary basins. Contrib. Mineral. Petrol. 139, 748</w:t>
      </w:r>
      <w:r>
        <w:rPr>
          <w:rFonts w:ascii="Calibri" w:eastAsia="Calibri" w:hAnsi="Calibri" w:cs="Calibri"/>
          <w:sz w:val="13"/>
        </w:rPr>
        <w:t>–</w:t>
      </w:r>
      <w:r>
        <w:rPr>
          <w:sz w:val="13"/>
        </w:rPr>
        <w:t>758.</w:t>
      </w:r>
    </w:p>
    <w:p w14:paraId="758DC3F3" w14:textId="77777777" w:rsidR="00F64F7F" w:rsidRDefault="0056380C">
      <w:pPr>
        <w:spacing w:line="256" w:lineRule="auto"/>
        <w:ind w:left="234" w:hanging="249"/>
      </w:pPr>
      <w:r>
        <w:rPr>
          <w:sz w:val="13"/>
        </w:rPr>
        <w:t>Li, C., Wang, T.W., Li, H.M., Zeng, Q.G., 2003. Discovery of Indosinian megaporphyritic granodiorite in the Gangdise area: evidence for the exist</w:t>
      </w:r>
      <w:r>
        <w:rPr>
          <w:sz w:val="13"/>
        </w:rPr>
        <w:t>ence of Paleo-Gangdise. Geol. Bull. China. 5, 364</w:t>
      </w:r>
      <w:r>
        <w:rPr>
          <w:rFonts w:ascii="Calibri" w:eastAsia="Calibri" w:hAnsi="Calibri" w:cs="Calibri"/>
          <w:sz w:val="13"/>
        </w:rPr>
        <w:t>–</w:t>
      </w:r>
      <w:r>
        <w:rPr>
          <w:sz w:val="13"/>
        </w:rPr>
        <w:t>366.</w:t>
      </w:r>
    </w:p>
    <w:p w14:paraId="5AA32C46" w14:textId="77777777" w:rsidR="00F64F7F" w:rsidRDefault="0056380C">
      <w:pPr>
        <w:spacing w:line="256" w:lineRule="auto"/>
        <w:ind w:left="234" w:hanging="249"/>
      </w:pPr>
      <w:r>
        <w:rPr>
          <w:sz w:val="13"/>
        </w:rPr>
        <w:t>Li, G.B., Wan, X.X., Liu, W.C., Liang, D.Y., Hyesu, Y., 2005a. Discovery of Paleogene marine stratum along the southern side of Yarlung</w:t>
      </w:r>
      <w:r>
        <w:rPr>
          <w:rFonts w:ascii="Calibri" w:eastAsia="Calibri" w:hAnsi="Calibri" w:cs="Calibri"/>
          <w:sz w:val="13"/>
        </w:rPr>
        <w:t>–</w:t>
      </w:r>
      <w:r>
        <w:rPr>
          <w:sz w:val="13"/>
        </w:rPr>
        <w:t>Zangbo suture zone and its implications in tectonics. Sci. China,</w:t>
      </w:r>
      <w:r>
        <w:rPr>
          <w:sz w:val="13"/>
        </w:rPr>
        <w:t xml:space="preserve"> Ser. D. 48, 647</w:t>
      </w:r>
      <w:r>
        <w:rPr>
          <w:rFonts w:ascii="Calibri" w:eastAsia="Calibri" w:hAnsi="Calibri" w:cs="Calibri"/>
          <w:sz w:val="13"/>
        </w:rPr>
        <w:t>–</w:t>
      </w:r>
      <w:r>
        <w:rPr>
          <w:sz w:val="13"/>
        </w:rPr>
        <w:t>661.</w:t>
      </w:r>
    </w:p>
    <w:p w14:paraId="40E661F4" w14:textId="77777777" w:rsidR="00F64F7F" w:rsidRDefault="0056380C">
      <w:pPr>
        <w:spacing w:line="256" w:lineRule="auto"/>
        <w:ind w:left="234" w:hanging="249"/>
      </w:pPr>
      <w:r>
        <w:rPr>
          <w:sz w:val="13"/>
        </w:rPr>
        <w:t>Li, G.B., Jiang, G.Q., Wan, X.Q., 2011. The age of the Chuangde Formation in Kangmar, southern Tibet of China: implications for the origin of Cretaceous oceanic red beds (CORBs) in the northern Tethyan Himalaya. Sed. Geol. 235, 111</w:t>
      </w:r>
      <w:r>
        <w:rPr>
          <w:rFonts w:ascii="Calibri" w:eastAsia="Calibri" w:hAnsi="Calibri" w:cs="Calibri"/>
          <w:sz w:val="13"/>
        </w:rPr>
        <w:t>–</w:t>
      </w:r>
      <w:r>
        <w:rPr>
          <w:sz w:val="13"/>
        </w:rPr>
        <w:t>12</w:t>
      </w:r>
      <w:r>
        <w:rPr>
          <w:sz w:val="13"/>
        </w:rPr>
        <w:t>1.</w:t>
      </w:r>
    </w:p>
    <w:p w14:paraId="6148B663" w14:textId="77777777" w:rsidR="00F64F7F" w:rsidRDefault="0056380C">
      <w:pPr>
        <w:spacing w:line="256" w:lineRule="auto"/>
        <w:ind w:left="234" w:hanging="249"/>
      </w:pPr>
      <w:r>
        <w:rPr>
          <w:sz w:val="13"/>
        </w:rPr>
        <w:t>Li, G.W., Liu, X.H., Alex, P., Wei, L.J., Liu, X.B., Huang, F.X., Zhou, X.J., 2010. In-situ detrital zircon geochronology and Hf isotopic analyses from Upper Triassic Tethys sequence strata. Earth Planet. Sci. Lett. 297, 461</w:t>
      </w:r>
      <w:r>
        <w:rPr>
          <w:rFonts w:ascii="Calibri" w:eastAsia="Calibri" w:hAnsi="Calibri" w:cs="Calibri"/>
          <w:sz w:val="13"/>
        </w:rPr>
        <w:t>–</w:t>
      </w:r>
      <w:r>
        <w:rPr>
          <w:sz w:val="13"/>
        </w:rPr>
        <w:t>470.</w:t>
      </w:r>
    </w:p>
    <w:p w14:paraId="3D89F19F" w14:textId="77777777" w:rsidR="00F64F7F" w:rsidRDefault="0056380C">
      <w:pPr>
        <w:spacing w:line="256" w:lineRule="auto"/>
        <w:ind w:left="234" w:hanging="249"/>
      </w:pPr>
      <w:r>
        <w:rPr>
          <w:sz w:val="13"/>
        </w:rPr>
        <w:t>Li, X.H., Wang, C.S., H</w:t>
      </w:r>
      <w:r>
        <w:rPr>
          <w:sz w:val="13"/>
        </w:rPr>
        <w:t>u, X.M., 2005b. Stratigraphy of deep-water Cretaceous deposits in Gyangze, southern Tibet China. Cretaceous Res. 26, 33</w:t>
      </w:r>
      <w:r>
        <w:rPr>
          <w:rFonts w:ascii="Calibri" w:eastAsia="Calibri" w:hAnsi="Calibri" w:cs="Calibri"/>
          <w:sz w:val="13"/>
        </w:rPr>
        <w:t>–</w:t>
      </w:r>
      <w:r>
        <w:rPr>
          <w:sz w:val="13"/>
        </w:rPr>
        <w:t>41.</w:t>
      </w:r>
    </w:p>
    <w:p w14:paraId="70072BB0" w14:textId="77777777" w:rsidR="00F64F7F" w:rsidRDefault="0056380C">
      <w:pPr>
        <w:spacing w:line="256" w:lineRule="auto"/>
        <w:ind w:left="234" w:hanging="249"/>
      </w:pPr>
      <w:r>
        <w:rPr>
          <w:sz w:val="13"/>
        </w:rPr>
        <w:t>Liang, Y.H., Chung, S.L., Liu, D.Y., Xu, Y.G., Wu, F.Y., Yang, J.H., Wang, Y.B., Lo, C.H., 2008. Detrital zircon evidence from Burma</w:t>
      </w:r>
      <w:r>
        <w:rPr>
          <w:sz w:val="13"/>
        </w:rPr>
        <w:t xml:space="preserve"> for reorganization of the eastern Himalayan river system. Am. J. Sci. 308, 618</w:t>
      </w:r>
      <w:r>
        <w:rPr>
          <w:rFonts w:ascii="Calibri" w:eastAsia="Calibri" w:hAnsi="Calibri" w:cs="Calibri"/>
          <w:sz w:val="13"/>
        </w:rPr>
        <w:t>–</w:t>
      </w:r>
      <w:r>
        <w:rPr>
          <w:sz w:val="13"/>
        </w:rPr>
        <w:t>638.</w:t>
      </w:r>
    </w:p>
    <w:p w14:paraId="5E23F15A" w14:textId="77777777" w:rsidR="00F64F7F" w:rsidRDefault="0056380C">
      <w:pPr>
        <w:spacing w:line="256" w:lineRule="auto"/>
        <w:ind w:left="234" w:hanging="249"/>
      </w:pPr>
      <w:r>
        <w:rPr>
          <w:sz w:val="13"/>
        </w:rPr>
        <w:t>Liebke, U., Appel, E., Ding, L., Neumann, U., Antolin, B., Xu, Q., 2010. Position of the Lhasa terrane prior to India</w:t>
      </w:r>
      <w:r>
        <w:rPr>
          <w:rFonts w:ascii="Calibri" w:eastAsia="Calibri" w:hAnsi="Calibri" w:cs="Calibri"/>
          <w:sz w:val="13"/>
        </w:rPr>
        <w:t>–</w:t>
      </w:r>
      <w:r>
        <w:rPr>
          <w:sz w:val="13"/>
        </w:rPr>
        <w:t>Asia collision derived from palaeomagnetic inclinatio</w:t>
      </w:r>
      <w:r>
        <w:rPr>
          <w:sz w:val="13"/>
        </w:rPr>
        <w:t>ns of 53 Ma old dykes of the Linzhou Basin: constraints on the age of collision and postcollisional shortening within the Tibetan Plateau. Geophys. J. Int. 182, 1199</w:t>
      </w:r>
      <w:r>
        <w:rPr>
          <w:rFonts w:ascii="Calibri" w:eastAsia="Calibri" w:hAnsi="Calibri" w:cs="Calibri"/>
          <w:sz w:val="13"/>
        </w:rPr>
        <w:t>–</w:t>
      </w:r>
      <w:r>
        <w:rPr>
          <w:sz w:val="13"/>
        </w:rPr>
        <w:t>1215.</w:t>
      </w:r>
    </w:p>
    <w:p w14:paraId="23EEF19F" w14:textId="77777777" w:rsidR="00F64F7F" w:rsidRDefault="0056380C">
      <w:pPr>
        <w:spacing w:line="256" w:lineRule="auto"/>
        <w:ind w:left="234" w:hanging="249"/>
      </w:pPr>
      <w:r>
        <w:rPr>
          <w:sz w:val="13"/>
        </w:rPr>
        <w:t>Liu, G.H., Einsele, G., 1994. Sedimentary history of the Tethyan basin in the Tibeta</w:t>
      </w:r>
      <w:r>
        <w:rPr>
          <w:sz w:val="13"/>
        </w:rPr>
        <w:t>n Himalayas. Geol. Rundsch. 83, 32</w:t>
      </w:r>
      <w:r>
        <w:rPr>
          <w:rFonts w:ascii="Calibri" w:eastAsia="Calibri" w:hAnsi="Calibri" w:cs="Calibri"/>
          <w:sz w:val="13"/>
        </w:rPr>
        <w:t>–</w:t>
      </w:r>
      <w:r>
        <w:rPr>
          <w:sz w:val="13"/>
        </w:rPr>
        <w:t>61.</w:t>
      </w:r>
    </w:p>
    <w:p w14:paraId="20B83821" w14:textId="77777777" w:rsidR="00F64F7F" w:rsidRDefault="0056380C">
      <w:pPr>
        <w:spacing w:line="256" w:lineRule="auto"/>
        <w:ind w:left="234" w:hanging="249"/>
      </w:pPr>
      <w:r>
        <w:rPr>
          <w:sz w:val="13"/>
        </w:rPr>
        <w:t>Liu, G.H., Einsele, G., 1996. Various types of olistostromes in a closing ocean basin, Tethyan Himalaya (Cretaceous, Tibet). Sed. Geol. 104, 203</w:t>
      </w:r>
      <w:r>
        <w:rPr>
          <w:rFonts w:ascii="Calibri" w:eastAsia="Calibri" w:hAnsi="Calibri" w:cs="Calibri"/>
          <w:sz w:val="13"/>
        </w:rPr>
        <w:t>–</w:t>
      </w:r>
      <w:r>
        <w:rPr>
          <w:sz w:val="13"/>
        </w:rPr>
        <w:t>226.</w:t>
      </w:r>
    </w:p>
    <w:p w14:paraId="564E1BE2" w14:textId="77777777" w:rsidR="00F64F7F" w:rsidRDefault="0056380C">
      <w:pPr>
        <w:spacing w:line="256" w:lineRule="auto"/>
        <w:ind w:left="234" w:hanging="249"/>
      </w:pPr>
      <w:r>
        <w:rPr>
          <w:sz w:val="13"/>
        </w:rPr>
        <w:t>Liu, Q.S., Jiang, W., Jian, P., Ye, P.S., Wu, Z.H., Hu, D.G., 2006.</w:t>
      </w:r>
      <w:r>
        <w:rPr>
          <w:sz w:val="13"/>
        </w:rPr>
        <w:t xml:space="preserve"> Zircon SHRIMP U</w:t>
      </w:r>
      <w:r>
        <w:rPr>
          <w:rFonts w:ascii="Calibri" w:eastAsia="Calibri" w:hAnsi="Calibri" w:cs="Calibri"/>
          <w:sz w:val="13"/>
        </w:rPr>
        <w:t>–</w:t>
      </w:r>
      <w:r>
        <w:rPr>
          <w:sz w:val="13"/>
        </w:rPr>
        <w:t>Pb age and petrochemical and geochemical features of Mesozoic muscovite monzonitic granite at Ningzhong Tibet. Acta Petrol. Sin. 22, 643</w:t>
      </w:r>
      <w:r>
        <w:rPr>
          <w:rFonts w:ascii="Calibri" w:eastAsia="Calibri" w:hAnsi="Calibri" w:cs="Calibri"/>
          <w:sz w:val="13"/>
        </w:rPr>
        <w:t>–</w:t>
      </w:r>
      <w:r>
        <w:rPr>
          <w:sz w:val="13"/>
        </w:rPr>
        <w:t>652.</w:t>
      </w:r>
    </w:p>
    <w:p w14:paraId="0D909B66" w14:textId="77777777" w:rsidR="00F64F7F" w:rsidRDefault="0056380C">
      <w:pPr>
        <w:spacing w:line="256" w:lineRule="auto"/>
        <w:ind w:left="234" w:hanging="249"/>
      </w:pPr>
      <w:r>
        <w:rPr>
          <w:sz w:val="13"/>
        </w:rPr>
        <w:t>Liu, J.B., Aitchison, J.C., 2002. Upper Paleocene radiolarians from the Yamdrok mélange, south Xi</w:t>
      </w:r>
      <w:r>
        <w:rPr>
          <w:sz w:val="13"/>
        </w:rPr>
        <w:t>zang (Tibet), China. Micropaleontology 48, 145</w:t>
      </w:r>
      <w:r>
        <w:rPr>
          <w:rFonts w:ascii="Calibri" w:eastAsia="Calibri" w:hAnsi="Calibri" w:cs="Calibri"/>
          <w:sz w:val="13"/>
        </w:rPr>
        <w:t>–</w:t>
      </w:r>
      <w:r>
        <w:rPr>
          <w:sz w:val="13"/>
        </w:rPr>
        <w:t>154.</w:t>
      </w:r>
    </w:p>
    <w:p w14:paraId="7FA659EA" w14:textId="77777777" w:rsidR="00F64F7F" w:rsidRDefault="0056380C">
      <w:pPr>
        <w:spacing w:line="256" w:lineRule="auto"/>
        <w:ind w:left="234" w:hanging="249"/>
      </w:pPr>
      <w:r>
        <w:rPr>
          <w:sz w:val="13"/>
        </w:rPr>
        <w:t>Makovsky, Y., Klemperer, S.L., Ratschbacher, L., Alsdorf, D., 1999. Midcrustal re</w:t>
      </w:r>
      <w:r>
        <w:rPr>
          <w:rFonts w:ascii="Calibri" w:eastAsia="Calibri" w:hAnsi="Calibri" w:cs="Calibri"/>
          <w:sz w:val="13"/>
        </w:rPr>
        <w:t>fl</w:t>
      </w:r>
      <w:r>
        <w:rPr>
          <w:sz w:val="13"/>
        </w:rPr>
        <w:t>ector on INDEPTH wide-angle pro</w:t>
      </w:r>
      <w:r>
        <w:rPr>
          <w:rFonts w:ascii="Calibri" w:eastAsia="Calibri" w:hAnsi="Calibri" w:cs="Calibri"/>
          <w:sz w:val="13"/>
        </w:rPr>
        <w:t>fi</w:t>
      </w:r>
      <w:r>
        <w:rPr>
          <w:sz w:val="13"/>
        </w:rPr>
        <w:t>les: An ophiolitic slab beneath the India</w:t>
      </w:r>
      <w:r>
        <w:rPr>
          <w:rFonts w:ascii="Calibri" w:eastAsia="Calibri" w:hAnsi="Calibri" w:cs="Calibri"/>
          <w:sz w:val="13"/>
        </w:rPr>
        <w:t>–</w:t>
      </w:r>
      <w:r>
        <w:rPr>
          <w:sz w:val="13"/>
        </w:rPr>
        <w:t>Asia suture in southern Tibet? Tectonics 18, 7</w:t>
      </w:r>
      <w:r>
        <w:rPr>
          <w:sz w:val="13"/>
        </w:rPr>
        <w:t>93</w:t>
      </w:r>
      <w:r>
        <w:rPr>
          <w:rFonts w:ascii="Calibri" w:eastAsia="Calibri" w:hAnsi="Calibri" w:cs="Calibri"/>
          <w:sz w:val="13"/>
        </w:rPr>
        <w:t>–</w:t>
      </w:r>
      <w:r>
        <w:rPr>
          <w:sz w:val="13"/>
        </w:rPr>
        <w:t>808.</w:t>
      </w:r>
    </w:p>
    <w:p w14:paraId="2BD45940" w14:textId="77777777" w:rsidR="00F64F7F" w:rsidRDefault="0056380C">
      <w:pPr>
        <w:spacing w:line="256" w:lineRule="auto"/>
        <w:ind w:left="234" w:hanging="249"/>
      </w:pPr>
      <w:r>
        <w:rPr>
          <w:sz w:val="13"/>
        </w:rPr>
        <w:t>Malpas, J., Zhou, M.F., Robinson, P.T., Reynolds, P.H., 2003. Geochemical and geochronological constraints on the origin and emplacement of the Yarlung Zangbo ophiolites, southern Tibet. Geol. Soc. Spec. Pub. 218, 191</w:t>
      </w:r>
      <w:r>
        <w:rPr>
          <w:rFonts w:ascii="Calibri" w:eastAsia="Calibri" w:hAnsi="Calibri" w:cs="Calibri"/>
          <w:sz w:val="13"/>
        </w:rPr>
        <w:t>–</w:t>
      </w:r>
      <w:r>
        <w:rPr>
          <w:sz w:val="13"/>
        </w:rPr>
        <w:t>206.</w:t>
      </w:r>
    </w:p>
    <w:p w14:paraId="0C70ADD1" w14:textId="77777777" w:rsidR="00F64F7F" w:rsidRDefault="0056380C">
      <w:pPr>
        <w:spacing w:line="256" w:lineRule="auto"/>
        <w:ind w:left="234" w:hanging="249"/>
      </w:pPr>
      <w:r>
        <w:rPr>
          <w:sz w:val="13"/>
        </w:rPr>
        <w:t>Martin, A.J., DeCelles, P.G., Geh</w:t>
      </w:r>
      <w:r>
        <w:rPr>
          <w:sz w:val="13"/>
        </w:rPr>
        <w:t>rels, G.E., Patchett, P.J., Isachsen, C., 2005. Isotopic and structural constraints on the location of the Main Central thrust in the Annapurna Range, central Nepal Himalaya. Geol. Soc. Am. Bull. 117, 926</w:t>
      </w:r>
      <w:r>
        <w:rPr>
          <w:rFonts w:ascii="Calibri" w:eastAsia="Calibri" w:hAnsi="Calibri" w:cs="Calibri"/>
          <w:sz w:val="13"/>
        </w:rPr>
        <w:t>–</w:t>
      </w:r>
      <w:r>
        <w:rPr>
          <w:sz w:val="13"/>
        </w:rPr>
        <w:t>944.</w:t>
      </w:r>
    </w:p>
    <w:p w14:paraId="59C8DBED" w14:textId="77777777" w:rsidR="00F64F7F" w:rsidRDefault="0056380C">
      <w:pPr>
        <w:spacing w:line="256" w:lineRule="auto"/>
        <w:ind w:left="234" w:hanging="249"/>
      </w:pPr>
      <w:r>
        <w:rPr>
          <w:sz w:val="13"/>
        </w:rPr>
        <w:t xml:space="preserve">McDermid, I.R., Aitchison, J.C., Davis, A.M., </w:t>
      </w:r>
      <w:r>
        <w:rPr>
          <w:sz w:val="13"/>
        </w:rPr>
        <w:t xml:space="preserve">Harrison, T.M., Grove, M., 2002. The Zedong terrane: </w:t>
      </w:r>
      <w:proofErr w:type="gramStart"/>
      <w:r>
        <w:rPr>
          <w:sz w:val="13"/>
        </w:rPr>
        <w:t>a</w:t>
      </w:r>
      <w:proofErr w:type="gramEnd"/>
      <w:r>
        <w:rPr>
          <w:sz w:val="13"/>
        </w:rPr>
        <w:t xml:space="preserve"> Late Jurassic intra-oceanic magmatic arc within the Yarlung</w:t>
      </w:r>
      <w:r>
        <w:rPr>
          <w:rFonts w:ascii="Calibri" w:eastAsia="Calibri" w:hAnsi="Calibri" w:cs="Calibri"/>
          <w:sz w:val="13"/>
        </w:rPr>
        <w:t>–</w:t>
      </w:r>
      <w:r>
        <w:rPr>
          <w:sz w:val="13"/>
        </w:rPr>
        <w:t>Zangbo suture zone, southeastern Tibet. Chem. Geol. 187, 267</w:t>
      </w:r>
      <w:r>
        <w:rPr>
          <w:rFonts w:ascii="Calibri" w:eastAsia="Calibri" w:hAnsi="Calibri" w:cs="Calibri"/>
          <w:sz w:val="13"/>
        </w:rPr>
        <w:t>–</w:t>
      </w:r>
      <w:r>
        <w:rPr>
          <w:sz w:val="13"/>
        </w:rPr>
        <w:t>277.</w:t>
      </w:r>
    </w:p>
    <w:p w14:paraId="09AA0B5C" w14:textId="77777777" w:rsidR="00F64F7F" w:rsidRDefault="0056380C">
      <w:pPr>
        <w:spacing w:line="256" w:lineRule="auto"/>
        <w:ind w:left="234" w:hanging="249"/>
      </w:pPr>
      <w:r>
        <w:rPr>
          <w:sz w:val="13"/>
        </w:rPr>
        <w:t>Miller, C., Thoni, M., Frank, W., Schuster, R., Melcher, F., Meisel, T., Za</w:t>
      </w:r>
      <w:r>
        <w:rPr>
          <w:sz w:val="13"/>
        </w:rPr>
        <w:t>netti, A., 2003. Geochemistry and tectonomagmatic af</w:t>
      </w:r>
      <w:r>
        <w:rPr>
          <w:rFonts w:ascii="Calibri" w:eastAsia="Calibri" w:hAnsi="Calibri" w:cs="Calibri"/>
          <w:sz w:val="13"/>
        </w:rPr>
        <w:t>fi</w:t>
      </w:r>
      <w:r>
        <w:rPr>
          <w:sz w:val="13"/>
        </w:rPr>
        <w:t>nity of the Yungbwa ophiolite, SW Tibet. Lithos 66, 155</w:t>
      </w:r>
      <w:r>
        <w:rPr>
          <w:rFonts w:ascii="Calibri" w:eastAsia="Calibri" w:hAnsi="Calibri" w:cs="Calibri"/>
          <w:sz w:val="13"/>
        </w:rPr>
        <w:t>–</w:t>
      </w:r>
      <w:r>
        <w:rPr>
          <w:sz w:val="13"/>
        </w:rPr>
        <w:t>172.</w:t>
      </w:r>
    </w:p>
    <w:p w14:paraId="5B82905A" w14:textId="77777777" w:rsidR="00F64F7F" w:rsidRDefault="0056380C">
      <w:pPr>
        <w:spacing w:line="256" w:lineRule="auto"/>
        <w:ind w:left="234" w:hanging="249"/>
      </w:pPr>
      <w:r>
        <w:rPr>
          <w:sz w:val="13"/>
        </w:rPr>
        <w:t>Mo, X.X., Hou, Z.Q., Niu, Y.L., Dong, G.C., Qu, X.M., Zhao, Z.D., Yang, Z.M., 2007. Mantle contributions to crustal thickening during contine</w:t>
      </w:r>
      <w:r>
        <w:rPr>
          <w:sz w:val="13"/>
        </w:rPr>
        <w:t>ntal collision: evidence from Cenozoic igneous rocks in southern Tibet. Lithos 96, 225</w:t>
      </w:r>
      <w:r>
        <w:rPr>
          <w:rFonts w:ascii="Calibri" w:eastAsia="Calibri" w:hAnsi="Calibri" w:cs="Calibri"/>
          <w:sz w:val="13"/>
        </w:rPr>
        <w:t>–</w:t>
      </w:r>
      <w:r>
        <w:rPr>
          <w:sz w:val="13"/>
        </w:rPr>
        <w:t>242.</w:t>
      </w:r>
    </w:p>
    <w:p w14:paraId="3AE8B4EC" w14:textId="77777777" w:rsidR="00F64F7F" w:rsidRDefault="0056380C">
      <w:pPr>
        <w:spacing w:line="256" w:lineRule="auto"/>
        <w:ind w:left="234" w:hanging="249"/>
      </w:pPr>
      <w:r>
        <w:rPr>
          <w:sz w:val="13"/>
        </w:rPr>
        <w:t>Murphy, M.A., Yin, An, Harrison, T.M., Dürr, S.B., Chen, Z., Ryerson, F.J., Kidd, W.S.F., Wang, X., Zhou, X., 1997. Did the Indo-Asian collision alone create the Ti</w:t>
      </w:r>
      <w:r>
        <w:rPr>
          <w:sz w:val="13"/>
        </w:rPr>
        <w:t>betan Plateau? Geology 25, 719</w:t>
      </w:r>
      <w:r>
        <w:rPr>
          <w:rFonts w:ascii="Calibri" w:eastAsia="Calibri" w:hAnsi="Calibri" w:cs="Calibri"/>
          <w:sz w:val="13"/>
        </w:rPr>
        <w:t>–</w:t>
      </w:r>
      <w:r>
        <w:rPr>
          <w:sz w:val="13"/>
        </w:rPr>
        <w:t>722.</w:t>
      </w:r>
    </w:p>
    <w:p w14:paraId="0C718E9D" w14:textId="77777777" w:rsidR="00F64F7F" w:rsidRDefault="0056380C">
      <w:pPr>
        <w:spacing w:line="256" w:lineRule="auto"/>
        <w:ind w:left="234" w:hanging="249"/>
      </w:pPr>
      <w:r>
        <w:rPr>
          <w:sz w:val="13"/>
        </w:rPr>
        <w:t xml:space="preserve">Myrow, P.M., Hughes, N.C., Paulsen, T.S., Williams, I.S., Parcha, S.K., Thompson, K.P., Bowring, S.A., Peng, S.C., Ahluwalia, A.D., 2003. Integrated tectonostratigraphic analysis of the Himalaya and implications for its </w:t>
      </w:r>
      <w:r>
        <w:rPr>
          <w:sz w:val="13"/>
        </w:rPr>
        <w:t>tectonic reconstruction. Earth Planet. Sci. Lett. 212, 433</w:t>
      </w:r>
      <w:r>
        <w:rPr>
          <w:rFonts w:ascii="Calibri" w:eastAsia="Calibri" w:hAnsi="Calibri" w:cs="Calibri"/>
          <w:sz w:val="13"/>
        </w:rPr>
        <w:t>–</w:t>
      </w:r>
      <w:r>
        <w:rPr>
          <w:sz w:val="13"/>
        </w:rPr>
        <w:t>441.</w:t>
      </w:r>
    </w:p>
    <w:p w14:paraId="7B78DE72" w14:textId="77777777" w:rsidR="00F64F7F" w:rsidRDefault="0056380C">
      <w:pPr>
        <w:spacing w:line="256" w:lineRule="auto"/>
        <w:ind w:left="234" w:hanging="249"/>
      </w:pPr>
      <w:r>
        <w:rPr>
          <w:sz w:val="13"/>
        </w:rPr>
        <w:t>Najman, Y., 2006. The detrital record of orogenesis: a review of approaches and techniques used in the Himalayan sedimentary basins. Earth Sci. Rev. 74, 1</w:t>
      </w:r>
      <w:r>
        <w:rPr>
          <w:rFonts w:ascii="Calibri" w:eastAsia="Calibri" w:hAnsi="Calibri" w:cs="Calibri"/>
          <w:sz w:val="13"/>
        </w:rPr>
        <w:t>–</w:t>
      </w:r>
      <w:r>
        <w:rPr>
          <w:sz w:val="13"/>
        </w:rPr>
        <w:t>72.</w:t>
      </w:r>
    </w:p>
    <w:p w14:paraId="66FAAB34" w14:textId="77777777" w:rsidR="00F64F7F" w:rsidRDefault="0056380C">
      <w:pPr>
        <w:spacing w:line="256" w:lineRule="auto"/>
        <w:ind w:left="234" w:hanging="249"/>
      </w:pPr>
      <w:r>
        <w:rPr>
          <w:sz w:val="13"/>
        </w:rPr>
        <w:t>Najman, Y., Appel, E., Boudagher-Fadel, M., Bown, P., Carter, A., Garzanti, E., Godin, L., Han, J</w:t>
      </w:r>
      <w:r>
        <w:rPr>
          <w:sz w:val="13"/>
        </w:rPr>
        <w:t>.T., Liebke, U., Oliver, G., Parrish, R., Vezzoli, G., 2010. Timing of India</w:t>
      </w:r>
      <w:r>
        <w:rPr>
          <w:rFonts w:ascii="Calibri" w:eastAsia="Calibri" w:hAnsi="Calibri" w:cs="Calibri"/>
          <w:sz w:val="13"/>
        </w:rPr>
        <w:t>–</w:t>
      </w:r>
      <w:r>
        <w:rPr>
          <w:sz w:val="13"/>
        </w:rPr>
        <w:t xml:space="preserve">Asia collision: geological, biostratigraphic, and palaeomagnetic constraints. J. Geophys. Res. 115, B12416 </w:t>
      </w:r>
      <w:r>
        <w:rPr>
          <w:color w:val="422874"/>
          <w:sz w:val="13"/>
        </w:rPr>
        <w:t>doi:10.1029/2010JB007673</w:t>
      </w:r>
      <w:r>
        <w:rPr>
          <w:sz w:val="13"/>
        </w:rPr>
        <w:t>.</w:t>
      </w:r>
    </w:p>
    <w:p w14:paraId="3986EA65" w14:textId="77777777" w:rsidR="00F64F7F" w:rsidRDefault="0056380C">
      <w:pPr>
        <w:spacing w:line="256" w:lineRule="auto"/>
        <w:ind w:left="234" w:hanging="249"/>
      </w:pPr>
      <w:r>
        <w:rPr>
          <w:sz w:val="13"/>
        </w:rPr>
        <w:t>Parrish, R.R., Hodges, K.V., 1996. Isotopic co</w:t>
      </w:r>
      <w:r>
        <w:rPr>
          <w:sz w:val="13"/>
        </w:rPr>
        <w:t xml:space="preserve">nstraints on the age and provenance of the lesser </w:t>
      </w:r>
      <w:proofErr w:type="gramStart"/>
      <w:r>
        <w:rPr>
          <w:sz w:val="13"/>
        </w:rPr>
        <w:t>andGreaterHimalayansequences,NepaleseHimalaya.Geol</w:t>
      </w:r>
      <w:proofErr w:type="gramEnd"/>
      <w:r>
        <w:rPr>
          <w:sz w:val="13"/>
        </w:rPr>
        <w:t>.Soc.Am.Bull.108,904</w:t>
      </w:r>
      <w:r>
        <w:rPr>
          <w:rFonts w:ascii="Calibri" w:eastAsia="Calibri" w:hAnsi="Calibri" w:cs="Calibri"/>
          <w:sz w:val="13"/>
        </w:rPr>
        <w:t>–</w:t>
      </w:r>
      <w:r>
        <w:rPr>
          <w:sz w:val="13"/>
        </w:rPr>
        <w:t>911.</w:t>
      </w:r>
    </w:p>
    <w:p w14:paraId="07DAEBE1" w14:textId="77777777" w:rsidR="00F64F7F" w:rsidRDefault="0056380C">
      <w:pPr>
        <w:spacing w:line="256" w:lineRule="auto"/>
        <w:ind w:left="234" w:hanging="249"/>
      </w:pPr>
      <w:r>
        <w:rPr>
          <w:sz w:val="13"/>
        </w:rPr>
        <w:t>Patriat, P., Achache, J., 1984. India-Eurasia collision chronology has implications for crustal shortening and driving mechanism o</w:t>
      </w:r>
      <w:r>
        <w:rPr>
          <w:sz w:val="13"/>
        </w:rPr>
        <w:t>f plates. Nature 311, 615</w:t>
      </w:r>
      <w:r>
        <w:rPr>
          <w:rFonts w:ascii="Calibri" w:eastAsia="Calibri" w:hAnsi="Calibri" w:cs="Calibri"/>
          <w:sz w:val="13"/>
        </w:rPr>
        <w:t>–</w:t>
      </w:r>
      <w:r>
        <w:rPr>
          <w:sz w:val="13"/>
        </w:rPr>
        <w:t>621.</w:t>
      </w:r>
    </w:p>
    <w:p w14:paraId="7497B947" w14:textId="77777777" w:rsidR="00F64F7F" w:rsidRDefault="0056380C">
      <w:pPr>
        <w:spacing w:line="256" w:lineRule="auto"/>
        <w:ind w:left="234" w:hanging="249"/>
      </w:pPr>
      <w:r>
        <w:rPr>
          <w:sz w:val="13"/>
        </w:rPr>
        <w:t>Patzelt, A., Li, H., Wang, J., Appel, E., 1996. Palaeomagnetism of Cretaceous to Tertiary sediments from southern Tibet: evidence for the extent of the northern margin of India prior to the collision with Eurasia. Tectonophys</w:t>
      </w:r>
      <w:r>
        <w:rPr>
          <w:sz w:val="13"/>
        </w:rPr>
        <w:t>ics 259, 259</w:t>
      </w:r>
      <w:r>
        <w:rPr>
          <w:rFonts w:ascii="Calibri" w:eastAsia="Calibri" w:hAnsi="Calibri" w:cs="Calibri"/>
          <w:sz w:val="13"/>
        </w:rPr>
        <w:t>–</w:t>
      </w:r>
      <w:r>
        <w:rPr>
          <w:sz w:val="13"/>
        </w:rPr>
        <w:t>284.</w:t>
      </w:r>
    </w:p>
    <w:p w14:paraId="7BABCEE0" w14:textId="77777777" w:rsidR="00F64F7F" w:rsidRDefault="0056380C">
      <w:pPr>
        <w:spacing w:line="256" w:lineRule="auto"/>
        <w:ind w:left="234" w:hanging="249"/>
      </w:pPr>
      <w:r>
        <w:rPr>
          <w:sz w:val="13"/>
        </w:rPr>
        <w:t>Richards, A., Argles, T., Harris, N., Parrish, R., Ahmad, T., Darbyshire, F., Draganits, E., 2005. Himalayan architecture constrained by isotopic tracers from clastic sediments. Earth Planet. Sci. Lett. 236, 773</w:t>
      </w:r>
      <w:r>
        <w:rPr>
          <w:rFonts w:ascii="Calibri" w:eastAsia="Calibri" w:hAnsi="Calibri" w:cs="Calibri"/>
          <w:sz w:val="13"/>
        </w:rPr>
        <w:t>–</w:t>
      </w:r>
      <w:r>
        <w:rPr>
          <w:sz w:val="13"/>
        </w:rPr>
        <w:t>796.</w:t>
      </w:r>
    </w:p>
    <w:p w14:paraId="092C71C5" w14:textId="77777777" w:rsidR="00F64F7F" w:rsidRDefault="0056380C">
      <w:pPr>
        <w:spacing w:line="256" w:lineRule="auto"/>
        <w:ind w:left="234" w:hanging="249"/>
      </w:pPr>
      <w:r>
        <w:rPr>
          <w:sz w:val="13"/>
        </w:rPr>
        <w:t>Robinson, D.M., Decel</w:t>
      </w:r>
      <w:r>
        <w:rPr>
          <w:sz w:val="13"/>
        </w:rPr>
        <w:t>lers, P.G., Patchett, P.J., Garzione, C.N., 2001. The kinematic evolution of the Nepalese Himalaya interpreted from Nd isotopes. Earth Planet. Sci. Lett. 192, 507</w:t>
      </w:r>
      <w:r>
        <w:rPr>
          <w:rFonts w:ascii="Calibri" w:eastAsia="Calibri" w:hAnsi="Calibri" w:cs="Calibri"/>
          <w:sz w:val="13"/>
        </w:rPr>
        <w:t>–</w:t>
      </w:r>
      <w:r>
        <w:rPr>
          <w:sz w:val="13"/>
        </w:rPr>
        <w:t>521.</w:t>
      </w:r>
    </w:p>
    <w:p w14:paraId="091558EE" w14:textId="77777777" w:rsidR="00F64F7F" w:rsidRDefault="0056380C">
      <w:pPr>
        <w:spacing w:line="256" w:lineRule="auto"/>
        <w:ind w:left="234" w:hanging="249"/>
      </w:pPr>
      <w:r>
        <w:rPr>
          <w:sz w:val="13"/>
        </w:rPr>
        <w:t>Rolland, Y., Picard, C., Pecher, A., Lapierre, H., Bosch, D., Keller, F., 2002. The Cret</w:t>
      </w:r>
      <w:r>
        <w:rPr>
          <w:sz w:val="13"/>
        </w:rPr>
        <w:t>aceous Ladakh arc of NW Himalaya-slab melting and melt</w:t>
      </w:r>
      <w:r>
        <w:rPr>
          <w:rFonts w:ascii="Calibri" w:eastAsia="Calibri" w:hAnsi="Calibri" w:cs="Calibri"/>
          <w:sz w:val="13"/>
        </w:rPr>
        <w:t>–</w:t>
      </w:r>
      <w:r>
        <w:rPr>
          <w:sz w:val="13"/>
        </w:rPr>
        <w:t>mantle interaction during fast northward drift of Indian Plate. Chem. Geol. 182, 139</w:t>
      </w:r>
      <w:r>
        <w:rPr>
          <w:rFonts w:ascii="Calibri" w:eastAsia="Calibri" w:hAnsi="Calibri" w:cs="Calibri"/>
          <w:sz w:val="13"/>
        </w:rPr>
        <w:t>–</w:t>
      </w:r>
      <w:r>
        <w:rPr>
          <w:sz w:val="13"/>
        </w:rPr>
        <w:t>178.</w:t>
      </w:r>
    </w:p>
    <w:p w14:paraId="13014515" w14:textId="77777777" w:rsidR="00F64F7F" w:rsidRDefault="0056380C">
      <w:pPr>
        <w:spacing w:line="256" w:lineRule="auto"/>
        <w:ind w:left="234" w:hanging="249"/>
      </w:pPr>
      <w:r>
        <w:rPr>
          <w:sz w:val="13"/>
        </w:rPr>
        <w:t>Rowley, D.B., 1998. Minimum age of initiation of collision between India and Asia north of Everest based on the</w:t>
      </w:r>
      <w:r>
        <w:rPr>
          <w:sz w:val="13"/>
        </w:rPr>
        <w:t xml:space="preserve"> subsidence history of the Zhepure mountain section. J. Geol. 106, 229</w:t>
      </w:r>
      <w:r>
        <w:rPr>
          <w:rFonts w:ascii="Calibri" w:eastAsia="Calibri" w:hAnsi="Calibri" w:cs="Calibri"/>
          <w:sz w:val="13"/>
        </w:rPr>
        <w:t>–</w:t>
      </w:r>
      <w:r>
        <w:rPr>
          <w:sz w:val="13"/>
        </w:rPr>
        <w:t>235.</w:t>
      </w:r>
    </w:p>
    <w:p w14:paraId="32C3E6F5" w14:textId="77777777" w:rsidR="00F64F7F" w:rsidRDefault="0056380C">
      <w:pPr>
        <w:spacing w:line="256" w:lineRule="auto"/>
        <w:ind w:left="234" w:hanging="249"/>
      </w:pPr>
      <w:r>
        <w:rPr>
          <w:sz w:val="13"/>
        </w:rPr>
        <w:lastRenderedPageBreak/>
        <w:t>Saha, A., Basu, A.R., Garzione, C.N., Bandyopadhyay, P.K., Chakrabarti, A., 2004. Geochemical and petrological evidence for subduction</w:t>
      </w:r>
      <w:r>
        <w:rPr>
          <w:rFonts w:ascii="Calibri" w:eastAsia="Calibri" w:hAnsi="Calibri" w:cs="Calibri"/>
          <w:sz w:val="13"/>
        </w:rPr>
        <w:t>–</w:t>
      </w:r>
      <w:r>
        <w:rPr>
          <w:sz w:val="13"/>
        </w:rPr>
        <w:t>accretion processes in the Archean Eastern In</w:t>
      </w:r>
      <w:r>
        <w:rPr>
          <w:sz w:val="13"/>
        </w:rPr>
        <w:t>dian Craton. Earth Planet. Sci. Lett. 220, 91</w:t>
      </w:r>
      <w:r>
        <w:rPr>
          <w:rFonts w:ascii="Calibri" w:eastAsia="Calibri" w:hAnsi="Calibri" w:cs="Calibri"/>
          <w:sz w:val="13"/>
        </w:rPr>
        <w:t>–</w:t>
      </w:r>
      <w:r>
        <w:rPr>
          <w:sz w:val="13"/>
        </w:rPr>
        <w:t>106.</w:t>
      </w:r>
    </w:p>
    <w:p w14:paraId="208024EA" w14:textId="77777777" w:rsidR="00F64F7F" w:rsidRDefault="0056380C">
      <w:pPr>
        <w:spacing w:line="256" w:lineRule="auto"/>
        <w:ind w:left="234" w:hanging="249"/>
      </w:pPr>
      <w:r>
        <w:rPr>
          <w:sz w:val="13"/>
        </w:rPr>
        <w:t xml:space="preserve">Searle, M.P., Windley, B.F., Coward, M.P., Cooper, D.J.W., Rex, A.J., Rex, D., Li, T.D., Xiao, X. C., Jan, M.Q., Thakur, V.C., 1987. The closing of Tethys and the tectonics of the Himalaya. Geol. Soc. Am. </w:t>
      </w:r>
      <w:r>
        <w:rPr>
          <w:sz w:val="13"/>
        </w:rPr>
        <w:t>Bull. 98, 678</w:t>
      </w:r>
      <w:r>
        <w:rPr>
          <w:rFonts w:ascii="Calibri" w:eastAsia="Calibri" w:hAnsi="Calibri" w:cs="Calibri"/>
          <w:sz w:val="13"/>
        </w:rPr>
        <w:t>–</w:t>
      </w:r>
      <w:r>
        <w:rPr>
          <w:sz w:val="13"/>
        </w:rPr>
        <w:t>701.</w:t>
      </w:r>
    </w:p>
    <w:p w14:paraId="6F14EBAA" w14:textId="77777777" w:rsidR="00F64F7F" w:rsidRDefault="0056380C">
      <w:pPr>
        <w:spacing w:line="256" w:lineRule="auto"/>
        <w:ind w:left="234" w:hanging="249"/>
      </w:pPr>
      <w:r>
        <w:rPr>
          <w:sz w:val="13"/>
        </w:rPr>
        <w:t>Searle, M.P., Khan, M.A., Fraster, J.E., Gough, S.J., Jan, M.Q., 1999. The tectonic evolution of the Kohistan</w:t>
      </w:r>
      <w:r>
        <w:rPr>
          <w:rFonts w:ascii="Calibri" w:eastAsia="Calibri" w:hAnsi="Calibri" w:cs="Calibri"/>
          <w:sz w:val="13"/>
        </w:rPr>
        <w:t>–</w:t>
      </w:r>
      <w:r>
        <w:rPr>
          <w:sz w:val="13"/>
        </w:rPr>
        <w:t>Karakoram collision belt along the Karakoram Highway transect, north Pakistan. Tectonics 18, 929</w:t>
      </w:r>
      <w:r>
        <w:rPr>
          <w:rFonts w:ascii="Calibri" w:eastAsia="Calibri" w:hAnsi="Calibri" w:cs="Calibri"/>
          <w:sz w:val="13"/>
        </w:rPr>
        <w:t>–</w:t>
      </w:r>
      <w:r>
        <w:rPr>
          <w:sz w:val="13"/>
        </w:rPr>
        <w:t>949.</w:t>
      </w:r>
    </w:p>
    <w:p w14:paraId="10A1BD9D" w14:textId="77777777" w:rsidR="00F64F7F" w:rsidRDefault="0056380C">
      <w:pPr>
        <w:spacing w:line="256" w:lineRule="auto"/>
        <w:ind w:left="234" w:hanging="249"/>
      </w:pPr>
      <w:r>
        <w:rPr>
          <w:sz w:val="13"/>
        </w:rPr>
        <w:t>Takeshi, I., Kazunori, A.</w:t>
      </w:r>
      <w:r>
        <w:rPr>
          <w:sz w:val="13"/>
        </w:rPr>
        <w:t>, 2008. Nd isotopic data reveal the material and tectonic nature of the Main central thrust zone in Nepal Himalaya. Tectonophysics 451, 265</w:t>
      </w:r>
      <w:r>
        <w:rPr>
          <w:rFonts w:ascii="Calibri" w:eastAsia="Calibri" w:hAnsi="Calibri" w:cs="Calibri"/>
          <w:sz w:val="13"/>
        </w:rPr>
        <w:t>–</w:t>
      </w:r>
      <w:r>
        <w:rPr>
          <w:sz w:val="13"/>
        </w:rPr>
        <w:t>281.</w:t>
      </w:r>
    </w:p>
    <w:p w14:paraId="27F3F665" w14:textId="77777777" w:rsidR="00F64F7F" w:rsidRDefault="0056380C">
      <w:pPr>
        <w:spacing w:line="256" w:lineRule="auto"/>
        <w:ind w:left="234" w:hanging="249"/>
      </w:pPr>
      <w:r>
        <w:rPr>
          <w:sz w:val="13"/>
        </w:rPr>
        <w:t>Tan, X.D., Gilder, S., Kodama, K.P., Jiang, W., Han, Y., Zhang, H., Xu, H.H., Zhou, D., 2010. New paleomagnetic</w:t>
      </w:r>
      <w:r>
        <w:rPr>
          <w:sz w:val="13"/>
        </w:rPr>
        <w:t xml:space="preserve"> results from the Lhasa block: revised estimation of latitudinal shortening across Tibet and implications for dating the India</w:t>
      </w:r>
      <w:r>
        <w:rPr>
          <w:rFonts w:ascii="Calibri" w:eastAsia="Calibri" w:hAnsi="Calibri" w:cs="Calibri"/>
          <w:sz w:val="13"/>
        </w:rPr>
        <w:t>–</w:t>
      </w:r>
      <w:r>
        <w:rPr>
          <w:sz w:val="13"/>
        </w:rPr>
        <w:t>Asia collision. Earth Planet. Sci. Lett. 293, 396</w:t>
      </w:r>
      <w:r>
        <w:rPr>
          <w:rFonts w:ascii="Calibri" w:eastAsia="Calibri" w:hAnsi="Calibri" w:cs="Calibri"/>
          <w:sz w:val="13"/>
        </w:rPr>
        <w:t>–</w:t>
      </w:r>
      <w:r>
        <w:rPr>
          <w:sz w:val="13"/>
        </w:rPr>
        <w:t>404.</w:t>
      </w:r>
    </w:p>
    <w:p w14:paraId="554049AC" w14:textId="77777777" w:rsidR="00F64F7F" w:rsidRDefault="0056380C">
      <w:pPr>
        <w:spacing w:line="256" w:lineRule="auto"/>
        <w:ind w:left="234" w:hanging="249"/>
      </w:pPr>
      <w:r>
        <w:rPr>
          <w:sz w:val="13"/>
        </w:rPr>
        <w:t>Tapponnier, P., Mercier, J.L., Proust, F., Andrieux, J., Armijo, R., Basso</w:t>
      </w:r>
      <w:r>
        <w:rPr>
          <w:sz w:val="13"/>
        </w:rPr>
        <w:t>ullet, J.P., Brunel, M., Burg, J.P., Colchen, M., Dupré, B., Girardeau, J., Marcoux, J., Mascle, G., Matte, P., Nicolas, A., Li, T.D., Xiao, X.C., Chang, C.F., Lin, P.Y., Li, G.C., Wang, N.W., Chen, G.M., Han, T.L., Wang, X.B., Den, W.M., Zhen, H.X., Sheng</w:t>
      </w:r>
      <w:r>
        <w:rPr>
          <w:sz w:val="13"/>
        </w:rPr>
        <w:t>, H.B., Cao, Y.G., Zhou, J., Qiu, H.R., 1981. The Tibetan side of the India</w:t>
      </w:r>
      <w:r>
        <w:rPr>
          <w:rFonts w:ascii="Calibri" w:eastAsia="Calibri" w:hAnsi="Calibri" w:cs="Calibri"/>
          <w:sz w:val="13"/>
        </w:rPr>
        <w:t>–</w:t>
      </w:r>
      <w:r>
        <w:rPr>
          <w:sz w:val="13"/>
        </w:rPr>
        <w:t>Eurasia collision. Nature 294, 405</w:t>
      </w:r>
      <w:r>
        <w:rPr>
          <w:rFonts w:ascii="Calibri" w:eastAsia="Calibri" w:hAnsi="Calibri" w:cs="Calibri"/>
          <w:sz w:val="13"/>
        </w:rPr>
        <w:t>–</w:t>
      </w:r>
      <w:r>
        <w:rPr>
          <w:sz w:val="13"/>
        </w:rPr>
        <w:t>410.</w:t>
      </w:r>
    </w:p>
    <w:p w14:paraId="1E57222E" w14:textId="77777777" w:rsidR="00F64F7F" w:rsidRDefault="0056380C">
      <w:pPr>
        <w:spacing w:line="256" w:lineRule="auto"/>
        <w:ind w:left="234" w:hanging="249"/>
      </w:pPr>
      <w:r>
        <w:rPr>
          <w:sz w:val="13"/>
        </w:rPr>
        <w:t>Van der Voo, R., Spakman, R.W., Bijwaard, H., 1999. Tethyan subducted slabs under India. Earth Planet. Sci. Lett. 171, 7</w:t>
      </w:r>
      <w:r>
        <w:rPr>
          <w:rFonts w:ascii="Calibri" w:eastAsia="Calibri" w:hAnsi="Calibri" w:cs="Calibri"/>
          <w:sz w:val="13"/>
        </w:rPr>
        <w:t>–</w:t>
      </w:r>
      <w:r>
        <w:rPr>
          <w:sz w:val="13"/>
        </w:rPr>
        <w:t>20.</w:t>
      </w:r>
    </w:p>
    <w:p w14:paraId="0FC6F842" w14:textId="77777777" w:rsidR="00F64F7F" w:rsidRDefault="0056380C">
      <w:pPr>
        <w:spacing w:line="256" w:lineRule="auto"/>
        <w:ind w:left="234" w:hanging="249"/>
      </w:pPr>
      <w:r>
        <w:rPr>
          <w:sz w:val="13"/>
        </w:rPr>
        <w:t>Walker, R.G., 1</w:t>
      </w:r>
      <w:r>
        <w:rPr>
          <w:sz w:val="13"/>
        </w:rPr>
        <w:t>978. Deep-water sandstone facies and ancient submarine fans: models for exploration for stratigraphic traps. Am. Assoc. Pet. Geol. 62 (6), 932</w:t>
      </w:r>
      <w:r>
        <w:rPr>
          <w:rFonts w:ascii="Calibri" w:eastAsia="Calibri" w:hAnsi="Calibri" w:cs="Calibri"/>
          <w:sz w:val="13"/>
        </w:rPr>
        <w:t>–</w:t>
      </w:r>
      <w:r>
        <w:rPr>
          <w:sz w:val="13"/>
        </w:rPr>
        <w:t>966.</w:t>
      </w:r>
    </w:p>
    <w:p w14:paraId="5F2EC2A2" w14:textId="77777777" w:rsidR="00F64F7F" w:rsidRDefault="0056380C">
      <w:pPr>
        <w:spacing w:line="256" w:lineRule="auto"/>
        <w:ind w:left="234" w:hanging="249"/>
      </w:pPr>
      <w:r>
        <w:rPr>
          <w:sz w:val="13"/>
        </w:rPr>
        <w:t>Wan, X.Q., Wang, C.S., Wang, L., 1997. Discovery of Cretaceous foraminifera in the Xigaze forearc basin Xiza</w:t>
      </w:r>
      <w:r>
        <w:rPr>
          <w:sz w:val="13"/>
        </w:rPr>
        <w:t xml:space="preserve">ng </w:t>
      </w:r>
      <w:r>
        <w:rPr>
          <w:rFonts w:ascii="Calibri" w:eastAsia="Calibri" w:hAnsi="Calibri" w:cs="Calibri"/>
          <w:sz w:val="13"/>
        </w:rPr>
        <w:t xml:space="preserve">— </w:t>
      </w:r>
      <w:r>
        <w:rPr>
          <w:sz w:val="13"/>
        </w:rPr>
        <w:t>with a chronostratigraphic discussion. Acta Geol. Sini. 71 (3), 193</w:t>
      </w:r>
      <w:r>
        <w:rPr>
          <w:rFonts w:ascii="Calibri" w:eastAsia="Calibri" w:hAnsi="Calibri" w:cs="Calibri"/>
          <w:sz w:val="13"/>
        </w:rPr>
        <w:t>–</w:t>
      </w:r>
      <w:r>
        <w:rPr>
          <w:sz w:val="13"/>
        </w:rPr>
        <w:t>201.</w:t>
      </w:r>
    </w:p>
    <w:p w14:paraId="1FEDA5B5" w14:textId="77777777" w:rsidR="00F64F7F" w:rsidRDefault="0056380C">
      <w:pPr>
        <w:spacing w:line="256" w:lineRule="auto"/>
        <w:ind w:left="234" w:hanging="249"/>
      </w:pPr>
      <w:r>
        <w:rPr>
          <w:sz w:val="13"/>
        </w:rPr>
        <w:t>Wan, X.Q., Marcos, A.L., Si, J.L., Li, G.B., 2005. Foraminiferal stratigraphy of late Cretaceous red beds in southern Tibet. Cretaceous Res. 26, 43</w:t>
      </w:r>
      <w:r>
        <w:rPr>
          <w:rFonts w:ascii="Calibri" w:eastAsia="Calibri" w:hAnsi="Calibri" w:cs="Calibri"/>
          <w:sz w:val="13"/>
        </w:rPr>
        <w:t>–</w:t>
      </w:r>
      <w:r>
        <w:rPr>
          <w:sz w:val="13"/>
        </w:rPr>
        <w:t>48.</w:t>
      </w:r>
    </w:p>
    <w:p w14:paraId="7AFAD6F5" w14:textId="77777777" w:rsidR="00F64F7F" w:rsidRDefault="0056380C">
      <w:pPr>
        <w:spacing w:line="256" w:lineRule="auto"/>
        <w:ind w:left="234" w:hanging="249"/>
      </w:pPr>
      <w:r>
        <w:rPr>
          <w:sz w:val="13"/>
        </w:rPr>
        <w:t>Wan, X.Q., Liu, W.C., 2005. 1:250,000 Gyangze Geological Map. National Geological Archives of China, Beijing.</w:t>
      </w:r>
    </w:p>
    <w:p w14:paraId="04157CC7" w14:textId="77777777" w:rsidR="00F64F7F" w:rsidRDefault="0056380C">
      <w:pPr>
        <w:spacing w:line="256" w:lineRule="auto"/>
        <w:ind w:left="234" w:hanging="249"/>
      </w:pPr>
      <w:r>
        <w:rPr>
          <w:sz w:val="13"/>
        </w:rPr>
        <w:t>Wang, C.S., Liu, Z.F., Li, X.H., Wan, X.Q., 1999. Xigaze Forearc Basin and Tsangpo Suture Zone, Tibet. Geol. Publ, House, Beijing.</w:t>
      </w:r>
    </w:p>
    <w:p w14:paraId="476096DD" w14:textId="77777777" w:rsidR="00F64F7F" w:rsidRDefault="0056380C">
      <w:pPr>
        <w:spacing w:line="256" w:lineRule="auto"/>
        <w:ind w:left="234" w:hanging="249"/>
      </w:pPr>
      <w:r>
        <w:rPr>
          <w:sz w:val="13"/>
        </w:rPr>
        <w:t>Wang, C.S., Li, X.H., Hu, X.M., Jansa, L.F., 2002. Latest marine horizon north of Qomolangma (Mt Everest): implications for closure of Tethys seaway and collision tectonics. Terra Nova 14, 114</w:t>
      </w:r>
      <w:r>
        <w:rPr>
          <w:rFonts w:ascii="Calibri" w:eastAsia="Calibri" w:hAnsi="Calibri" w:cs="Calibri"/>
          <w:sz w:val="13"/>
        </w:rPr>
        <w:t>–</w:t>
      </w:r>
      <w:r>
        <w:rPr>
          <w:sz w:val="13"/>
        </w:rPr>
        <w:t>120.</w:t>
      </w:r>
    </w:p>
    <w:p w14:paraId="5F887B71" w14:textId="77777777" w:rsidR="00F64F7F" w:rsidRDefault="0056380C">
      <w:pPr>
        <w:spacing w:line="256" w:lineRule="auto"/>
        <w:ind w:left="234" w:hanging="249"/>
      </w:pPr>
      <w:r>
        <w:rPr>
          <w:sz w:val="13"/>
        </w:rPr>
        <w:t>Wang, C.S., Hu, X.M., Sarti, M., Scott, R.W., Li, X.H., 20</w:t>
      </w:r>
      <w:r>
        <w:rPr>
          <w:sz w:val="13"/>
        </w:rPr>
        <w:t>05. Upper Cretaceous oceanic red beds in southern Tibet: a major change from anoxic to oxic, deep-sea environments. Cretaceous Res. 26, 21</w:t>
      </w:r>
      <w:r>
        <w:rPr>
          <w:rFonts w:ascii="Calibri" w:eastAsia="Calibri" w:hAnsi="Calibri" w:cs="Calibri"/>
          <w:sz w:val="13"/>
        </w:rPr>
        <w:t>–</w:t>
      </w:r>
      <w:r>
        <w:rPr>
          <w:sz w:val="13"/>
        </w:rPr>
        <w:t>32.</w:t>
      </w:r>
    </w:p>
    <w:p w14:paraId="11F4921E" w14:textId="77777777" w:rsidR="00F64F7F" w:rsidRDefault="0056380C">
      <w:pPr>
        <w:spacing w:line="256" w:lineRule="auto"/>
        <w:ind w:left="-15" w:firstLine="0"/>
      </w:pPr>
      <w:r>
        <w:rPr>
          <w:sz w:val="13"/>
        </w:rPr>
        <w:t>Wen, D.R., Liu, D.Y., Chung, S.L., Chu, M.F., Ji, J.Q., Zhang, Q., Song, B., Lee, T.Y., Yeh, M.W.,</w:t>
      </w:r>
    </w:p>
    <w:p w14:paraId="6E964A3C" w14:textId="77777777" w:rsidR="00F64F7F" w:rsidRDefault="0056380C">
      <w:pPr>
        <w:spacing w:line="256" w:lineRule="auto"/>
        <w:ind w:left="239" w:firstLine="0"/>
      </w:pPr>
      <w:r>
        <w:rPr>
          <w:sz w:val="13"/>
        </w:rPr>
        <w:t>Lo, C.H., 2008</w:t>
      </w:r>
      <w:r>
        <w:rPr>
          <w:sz w:val="13"/>
        </w:rPr>
        <w:t>. Zircon SHRIMP U</w:t>
      </w:r>
      <w:r>
        <w:rPr>
          <w:rFonts w:ascii="Calibri" w:eastAsia="Calibri" w:hAnsi="Calibri" w:cs="Calibri"/>
          <w:sz w:val="13"/>
        </w:rPr>
        <w:t>–</w:t>
      </w:r>
      <w:r>
        <w:rPr>
          <w:sz w:val="13"/>
        </w:rPr>
        <w:t>Pb ages of the Gangdese Batholith and implications for Neotethyan subduction in southern Tibet. Chem. Geol. 252, 191</w:t>
      </w:r>
      <w:r>
        <w:rPr>
          <w:rFonts w:ascii="Calibri" w:eastAsia="Calibri" w:hAnsi="Calibri" w:cs="Calibri"/>
          <w:sz w:val="13"/>
        </w:rPr>
        <w:t>–</w:t>
      </w:r>
      <w:r>
        <w:rPr>
          <w:sz w:val="13"/>
        </w:rPr>
        <w:t>201.</w:t>
      </w:r>
    </w:p>
    <w:p w14:paraId="16AAC8A0" w14:textId="77777777" w:rsidR="00F64F7F" w:rsidRDefault="0056380C">
      <w:pPr>
        <w:spacing w:line="256" w:lineRule="auto"/>
        <w:ind w:left="234" w:hanging="249"/>
      </w:pPr>
      <w:r>
        <w:rPr>
          <w:sz w:val="13"/>
        </w:rPr>
        <w:t xml:space="preserve">Willems, H., Zhou, Z., Zhang, B., Grafe, K.U., 1996. Stratigraphy of the upper Cretaceous and lower tertiary strata </w:t>
      </w:r>
      <w:r>
        <w:rPr>
          <w:sz w:val="13"/>
        </w:rPr>
        <w:t>in the tethyan Himalayas of Tibet (Tingri area, China).</w:t>
      </w:r>
    </w:p>
    <w:p w14:paraId="30DF5A19" w14:textId="77777777" w:rsidR="00F64F7F" w:rsidRDefault="0056380C">
      <w:pPr>
        <w:spacing w:line="256" w:lineRule="auto"/>
        <w:ind w:left="239" w:firstLine="0"/>
      </w:pPr>
      <w:r>
        <w:rPr>
          <w:sz w:val="13"/>
        </w:rPr>
        <w:t>Geol. Rundsch. 85, 723</w:t>
      </w:r>
      <w:r>
        <w:rPr>
          <w:rFonts w:ascii="Calibri" w:eastAsia="Calibri" w:hAnsi="Calibri" w:cs="Calibri"/>
          <w:sz w:val="13"/>
        </w:rPr>
        <w:t>–</w:t>
      </w:r>
      <w:r>
        <w:rPr>
          <w:sz w:val="13"/>
        </w:rPr>
        <w:t>754.</w:t>
      </w:r>
    </w:p>
    <w:p w14:paraId="03903EDD" w14:textId="77777777" w:rsidR="00F64F7F" w:rsidRDefault="0056380C">
      <w:pPr>
        <w:spacing w:line="256" w:lineRule="auto"/>
        <w:ind w:left="234" w:right="177" w:hanging="249"/>
      </w:pPr>
      <w:r>
        <w:rPr>
          <w:sz w:val="13"/>
        </w:rPr>
        <w:t xml:space="preserve">Wu, F.Y., Clift, P.D., Yang, J.H., 2007. Zircon Hf isotopic constraints on the sources of the Indus Molasse, Ladakh Himalaya, India. Tectonics 26. </w:t>
      </w:r>
      <w:r>
        <w:rPr>
          <w:color w:val="422874"/>
          <w:sz w:val="13"/>
        </w:rPr>
        <w:t xml:space="preserve">doi:10.1029/2006TC002051 </w:t>
      </w:r>
      <w:r>
        <w:rPr>
          <w:rFonts w:ascii="Calibri" w:eastAsia="Calibri" w:hAnsi="Calibri" w:cs="Calibri"/>
          <w:sz w:val="13"/>
        </w:rPr>
        <w:t>TC2014.</w:t>
      </w:r>
    </w:p>
    <w:p w14:paraId="4FC8463A" w14:textId="77777777" w:rsidR="00F64F7F" w:rsidRDefault="0056380C">
      <w:pPr>
        <w:spacing w:line="256" w:lineRule="auto"/>
        <w:ind w:left="234" w:right="178" w:hanging="249"/>
      </w:pPr>
      <w:r>
        <w:rPr>
          <w:sz w:val="13"/>
        </w:rPr>
        <w:t>Wu, F.Y., Ji, W.Q., Liu, C.Z., Chung, S.L., 2010. Detrital zircon U</w:t>
      </w:r>
      <w:r>
        <w:rPr>
          <w:rFonts w:ascii="Calibri" w:eastAsia="Calibri" w:hAnsi="Calibri" w:cs="Calibri"/>
          <w:sz w:val="13"/>
        </w:rPr>
        <w:t>–</w:t>
      </w:r>
      <w:r>
        <w:rPr>
          <w:sz w:val="13"/>
        </w:rPr>
        <w:t>Pb and Hf isotopic constraints from the Xigaze fore-arc basin on the Transhimalaya magmatic evolution in southern Tibet. Chem. Geol. 271, 13</w:t>
      </w:r>
      <w:r>
        <w:rPr>
          <w:rFonts w:ascii="Calibri" w:eastAsia="Calibri" w:hAnsi="Calibri" w:cs="Calibri"/>
          <w:sz w:val="13"/>
        </w:rPr>
        <w:t>–</w:t>
      </w:r>
      <w:r>
        <w:rPr>
          <w:sz w:val="13"/>
        </w:rPr>
        <w:t>25.</w:t>
      </w:r>
    </w:p>
    <w:p w14:paraId="513B03C6" w14:textId="77777777" w:rsidR="00F64F7F" w:rsidRDefault="0056380C">
      <w:pPr>
        <w:spacing w:line="256" w:lineRule="auto"/>
        <w:ind w:left="234" w:hanging="249"/>
      </w:pPr>
      <w:r>
        <w:rPr>
          <w:sz w:val="13"/>
        </w:rPr>
        <w:t>Yin, A., Harrison, T.M., 2000. Geol</w:t>
      </w:r>
      <w:r>
        <w:rPr>
          <w:sz w:val="13"/>
        </w:rPr>
        <w:t>ogic evolution of the Himalayan</w:t>
      </w:r>
      <w:r>
        <w:rPr>
          <w:rFonts w:ascii="Calibri" w:eastAsia="Calibri" w:hAnsi="Calibri" w:cs="Calibri"/>
          <w:sz w:val="13"/>
        </w:rPr>
        <w:t>–</w:t>
      </w:r>
      <w:r>
        <w:rPr>
          <w:sz w:val="13"/>
        </w:rPr>
        <w:t>Tibetan orogen. Ann. Rev. Earth Planet. Sci. 28, 211</w:t>
      </w:r>
      <w:r>
        <w:rPr>
          <w:rFonts w:ascii="Calibri" w:eastAsia="Calibri" w:hAnsi="Calibri" w:cs="Calibri"/>
          <w:sz w:val="13"/>
        </w:rPr>
        <w:t>–</w:t>
      </w:r>
      <w:r>
        <w:rPr>
          <w:sz w:val="13"/>
        </w:rPr>
        <w:t>280.</w:t>
      </w:r>
    </w:p>
    <w:p w14:paraId="600CA190" w14:textId="77777777" w:rsidR="00F64F7F" w:rsidRDefault="0056380C">
      <w:pPr>
        <w:spacing w:line="256" w:lineRule="auto"/>
        <w:ind w:left="234" w:right="177" w:hanging="249"/>
      </w:pPr>
      <w:r>
        <w:rPr>
          <w:sz w:val="13"/>
        </w:rPr>
        <w:t>Yin, A., 2006. Cenozoic tectonic evolution of the Himalayan orogen as constrained by along-strike variation of structural geometry, exhumation history, and foreland s</w:t>
      </w:r>
      <w:r>
        <w:rPr>
          <w:sz w:val="13"/>
        </w:rPr>
        <w:t>edimentation. Earth Sci. Rev. 76, 1</w:t>
      </w:r>
      <w:r>
        <w:rPr>
          <w:rFonts w:ascii="Calibri" w:eastAsia="Calibri" w:hAnsi="Calibri" w:cs="Calibri"/>
          <w:sz w:val="13"/>
        </w:rPr>
        <w:t>–</w:t>
      </w:r>
      <w:r>
        <w:rPr>
          <w:sz w:val="13"/>
        </w:rPr>
        <w:t>131.</w:t>
      </w:r>
    </w:p>
    <w:p w14:paraId="5F9EFAF6" w14:textId="77777777" w:rsidR="00F64F7F" w:rsidRDefault="0056380C">
      <w:pPr>
        <w:spacing w:line="256" w:lineRule="auto"/>
        <w:ind w:left="234" w:right="176" w:hanging="249"/>
      </w:pPr>
      <w:r>
        <w:rPr>
          <w:sz w:val="13"/>
        </w:rPr>
        <w:t>Yin, A., Dubey, C.S., Webb, A.A.G., Kelty, T.K., Grove, M., Gehrels, G.E., Burgess, W.P., 2010. Geologic correlation of the Himalayan orogen and Indian craton: Part 1. Structural geology, U</w:t>
      </w:r>
      <w:r>
        <w:rPr>
          <w:rFonts w:ascii="Calibri" w:eastAsia="Calibri" w:hAnsi="Calibri" w:cs="Calibri"/>
          <w:sz w:val="13"/>
        </w:rPr>
        <w:t>–</w:t>
      </w:r>
      <w:r>
        <w:rPr>
          <w:sz w:val="13"/>
        </w:rPr>
        <w:t xml:space="preserve">Pb zircon geochronology, </w:t>
      </w:r>
      <w:r>
        <w:rPr>
          <w:sz w:val="13"/>
        </w:rPr>
        <w:t>and tectonic evolution of the Shillong Plateau and its neighboring regions in NE India. Geol. Soc. Am. Bull. 122, 336</w:t>
      </w:r>
      <w:r>
        <w:rPr>
          <w:rFonts w:ascii="Calibri" w:eastAsia="Calibri" w:hAnsi="Calibri" w:cs="Calibri"/>
          <w:sz w:val="13"/>
        </w:rPr>
        <w:t>–</w:t>
      </w:r>
      <w:r>
        <w:rPr>
          <w:sz w:val="13"/>
        </w:rPr>
        <w:t>359.</w:t>
      </w:r>
    </w:p>
    <w:p w14:paraId="710E8D8D" w14:textId="77777777" w:rsidR="00F64F7F" w:rsidRDefault="0056380C">
      <w:pPr>
        <w:spacing w:line="256" w:lineRule="auto"/>
        <w:ind w:left="234" w:right="178" w:hanging="249"/>
      </w:pPr>
      <w:r>
        <w:rPr>
          <w:sz w:val="13"/>
        </w:rPr>
        <w:t>Zhang, H.F., Harris, N., Parrish, R., Kelley, S., Zhang, L., Rogers, N., Argles, T., King, J., 2004. Causes and consequences of protr</w:t>
      </w:r>
      <w:r>
        <w:rPr>
          <w:sz w:val="13"/>
        </w:rPr>
        <w:t>acted melting of the midcrust exposed in the North Himalayan antiform. Earth Planet. Sci. Lett. 228, 195</w:t>
      </w:r>
      <w:r>
        <w:rPr>
          <w:rFonts w:ascii="Calibri" w:eastAsia="Calibri" w:hAnsi="Calibri" w:cs="Calibri"/>
          <w:sz w:val="13"/>
        </w:rPr>
        <w:t>–</w:t>
      </w:r>
      <w:r>
        <w:rPr>
          <w:sz w:val="13"/>
        </w:rPr>
        <w:t>212.</w:t>
      </w:r>
    </w:p>
    <w:p w14:paraId="5659406C" w14:textId="77777777" w:rsidR="00F64F7F" w:rsidRDefault="0056380C">
      <w:pPr>
        <w:spacing w:line="256" w:lineRule="auto"/>
        <w:ind w:left="234" w:right="178" w:hanging="249"/>
      </w:pPr>
      <w:r>
        <w:rPr>
          <w:sz w:val="13"/>
        </w:rPr>
        <w:t>Zhang, H.F., Xu, W.C., Guo, J.Q., Zong, K.Q., Cai, H.M., Yuan, H.L., 2007. Zircon U</w:t>
      </w:r>
      <w:r>
        <w:rPr>
          <w:rFonts w:ascii="Calibri" w:eastAsia="Calibri" w:hAnsi="Calibri" w:cs="Calibri"/>
          <w:sz w:val="13"/>
        </w:rPr>
        <w:t>–</w:t>
      </w:r>
      <w:r>
        <w:rPr>
          <w:sz w:val="13"/>
        </w:rPr>
        <w:t>Pb and Hf isotopic composition of deformed granite in the sout</w:t>
      </w:r>
      <w:r>
        <w:rPr>
          <w:sz w:val="13"/>
        </w:rPr>
        <w:t>hern margin of the Gangdise terrane, Tibet: evidence for early Jurassic subduction of Neo-Tethyan oceanic slab. Acta Petrol. Sin. 23, 1347</w:t>
      </w:r>
      <w:r>
        <w:rPr>
          <w:rFonts w:ascii="Calibri" w:eastAsia="Calibri" w:hAnsi="Calibri" w:cs="Calibri"/>
          <w:sz w:val="13"/>
        </w:rPr>
        <w:t>–</w:t>
      </w:r>
      <w:r>
        <w:rPr>
          <w:sz w:val="13"/>
        </w:rPr>
        <w:t>1353.</w:t>
      </w:r>
    </w:p>
    <w:p w14:paraId="39096625" w14:textId="77777777" w:rsidR="00F64F7F" w:rsidRDefault="0056380C">
      <w:pPr>
        <w:spacing w:line="256" w:lineRule="auto"/>
        <w:ind w:left="234" w:right="178" w:hanging="249"/>
      </w:pPr>
      <w:r>
        <w:rPr>
          <w:sz w:val="13"/>
        </w:rPr>
        <w:t>Zhong, L.F., Xia, B., Zhou, G.Q., Wang, R., Wei, D.L., Yang, Z.Q., 2006. SHRIMP age determination of the diabas</w:t>
      </w:r>
      <w:r>
        <w:rPr>
          <w:sz w:val="13"/>
        </w:rPr>
        <w:t>e in Luobusa ophiolite, Southern Xizang (Tibet). Geol. Rev. 52, 224</w:t>
      </w:r>
      <w:r>
        <w:rPr>
          <w:rFonts w:ascii="Calibri" w:eastAsia="Calibri" w:hAnsi="Calibri" w:cs="Calibri"/>
          <w:sz w:val="13"/>
        </w:rPr>
        <w:t>–</w:t>
      </w:r>
      <w:r>
        <w:rPr>
          <w:sz w:val="13"/>
        </w:rPr>
        <w:t>229.</w:t>
      </w:r>
    </w:p>
    <w:p w14:paraId="38A07D66" w14:textId="77777777" w:rsidR="00F64F7F" w:rsidRDefault="0056380C">
      <w:pPr>
        <w:spacing w:line="256" w:lineRule="auto"/>
        <w:ind w:left="234" w:right="178" w:hanging="249"/>
      </w:pPr>
      <w:r>
        <w:rPr>
          <w:sz w:val="13"/>
        </w:rPr>
        <w:t>Zhou, M.F., Robinson, P.T., Malpas, J., Li, Z.J., 1996. Podiform chromitites in the Luobusa ophiolite (southern Tibet): implications for melt</w:t>
      </w:r>
      <w:r>
        <w:rPr>
          <w:rFonts w:ascii="Calibri" w:eastAsia="Calibri" w:hAnsi="Calibri" w:cs="Calibri"/>
          <w:sz w:val="13"/>
        </w:rPr>
        <w:t>–</w:t>
      </w:r>
      <w:r>
        <w:rPr>
          <w:sz w:val="13"/>
        </w:rPr>
        <w:t>rock interaction and chromite segregation</w:t>
      </w:r>
      <w:r>
        <w:rPr>
          <w:sz w:val="13"/>
        </w:rPr>
        <w:t xml:space="preserve"> in the upper mantle. J. Petrol. 37, 3</w:t>
      </w:r>
      <w:r>
        <w:rPr>
          <w:rFonts w:ascii="Calibri" w:eastAsia="Calibri" w:hAnsi="Calibri" w:cs="Calibri"/>
          <w:sz w:val="13"/>
        </w:rPr>
        <w:t>–</w:t>
      </w:r>
      <w:r>
        <w:rPr>
          <w:sz w:val="13"/>
        </w:rPr>
        <w:t>21.</w:t>
      </w:r>
    </w:p>
    <w:p w14:paraId="7FF7715E" w14:textId="77777777" w:rsidR="00F64F7F" w:rsidRDefault="0056380C">
      <w:pPr>
        <w:spacing w:line="256" w:lineRule="auto"/>
        <w:ind w:left="234" w:right="177" w:hanging="249"/>
      </w:pPr>
      <w:r>
        <w:rPr>
          <w:sz w:val="13"/>
        </w:rPr>
        <w:t>Zhu, D.C., Pan, G.T., Mo, X.X., 2007. Petrogenesis of volcanic rocks in the Sangxiu Formation, central segment of Tethyan Himalaya: a probable example of plume</w:t>
      </w:r>
      <w:r>
        <w:rPr>
          <w:rFonts w:ascii="Calibri" w:eastAsia="Calibri" w:hAnsi="Calibri" w:cs="Calibri"/>
          <w:sz w:val="13"/>
        </w:rPr>
        <w:t xml:space="preserve">– </w:t>
      </w:r>
      <w:r>
        <w:rPr>
          <w:sz w:val="13"/>
        </w:rPr>
        <w:t>lithosphere interaction. J. Asian Earth Sci. 29, 320</w:t>
      </w:r>
      <w:r>
        <w:rPr>
          <w:rFonts w:ascii="Calibri" w:eastAsia="Calibri" w:hAnsi="Calibri" w:cs="Calibri"/>
          <w:sz w:val="13"/>
        </w:rPr>
        <w:t>–</w:t>
      </w:r>
      <w:r>
        <w:rPr>
          <w:sz w:val="13"/>
        </w:rPr>
        <w:t>335.</w:t>
      </w:r>
    </w:p>
    <w:p w14:paraId="52C50FA5" w14:textId="77777777" w:rsidR="00F64F7F" w:rsidRDefault="0056380C">
      <w:pPr>
        <w:spacing w:line="256" w:lineRule="auto"/>
        <w:ind w:left="234" w:right="178" w:hanging="249"/>
      </w:pPr>
      <w:r>
        <w:rPr>
          <w:sz w:val="13"/>
        </w:rPr>
        <w:t>Zhu, D.C., Pan, G.T., Chung, S.L., Liao, Z.L., Wang, L.Q., Li, G.M., 2008. SHRIMP zircon age and geochemical constraints on the origin of lower Jurassic Volcanic Rocks from the Yeba Formation, southern Gangdese, South Tibet. Int. Geol. Rev. 50, 442</w:t>
      </w:r>
      <w:r>
        <w:rPr>
          <w:rFonts w:ascii="Calibri" w:eastAsia="Calibri" w:hAnsi="Calibri" w:cs="Calibri"/>
          <w:sz w:val="13"/>
        </w:rPr>
        <w:t>–</w:t>
      </w:r>
      <w:r>
        <w:rPr>
          <w:sz w:val="13"/>
        </w:rPr>
        <w:t>4</w:t>
      </w:r>
      <w:r>
        <w:rPr>
          <w:sz w:val="13"/>
        </w:rPr>
        <w:t>71.</w:t>
      </w:r>
    </w:p>
    <w:p w14:paraId="6CF60761" w14:textId="77777777" w:rsidR="00F64F7F" w:rsidRDefault="0056380C">
      <w:pPr>
        <w:spacing w:line="256" w:lineRule="auto"/>
        <w:ind w:left="234" w:right="178" w:hanging="249"/>
      </w:pPr>
      <w:r>
        <w:rPr>
          <w:sz w:val="13"/>
        </w:rPr>
        <w:t>Zhu, D.C., Mo, X.X., Niu, Y.L., Zhao, Z.D., Wang, L.Q., Liu, Y.S., Wu, F.Y., 2009. Geochemical investigation of Early Cretaceous igneous rocks along an east</w:t>
      </w:r>
      <w:r>
        <w:rPr>
          <w:rFonts w:ascii="Calibri" w:eastAsia="Calibri" w:hAnsi="Calibri" w:cs="Calibri"/>
          <w:sz w:val="13"/>
        </w:rPr>
        <w:t>–</w:t>
      </w:r>
      <w:r>
        <w:rPr>
          <w:sz w:val="13"/>
        </w:rPr>
        <w:t>west traverse throughout the central Lhasa Terrane, Tibet. Chem. Geol. 268, 298</w:t>
      </w:r>
      <w:r>
        <w:rPr>
          <w:rFonts w:ascii="Calibri" w:eastAsia="Calibri" w:hAnsi="Calibri" w:cs="Calibri"/>
          <w:sz w:val="13"/>
        </w:rPr>
        <w:t>–</w:t>
      </w:r>
      <w:r>
        <w:rPr>
          <w:sz w:val="13"/>
        </w:rPr>
        <w:t>312.</w:t>
      </w:r>
    </w:p>
    <w:p w14:paraId="3585F74B" w14:textId="77777777" w:rsidR="00F64F7F" w:rsidRDefault="0056380C">
      <w:pPr>
        <w:spacing w:line="256" w:lineRule="auto"/>
        <w:ind w:left="234" w:hanging="249"/>
      </w:pPr>
      <w:r>
        <w:rPr>
          <w:sz w:val="13"/>
        </w:rPr>
        <w:t>Zhu, B., K</w:t>
      </w:r>
      <w:r>
        <w:rPr>
          <w:sz w:val="13"/>
        </w:rPr>
        <w:t>idd, W.S.F., David, B.R., Brian, S.C., Naseer, S., 2005a. Age of Initiation of the India</w:t>
      </w:r>
      <w:r>
        <w:rPr>
          <w:rFonts w:ascii="Calibri" w:eastAsia="Calibri" w:hAnsi="Calibri" w:cs="Calibri"/>
          <w:sz w:val="13"/>
        </w:rPr>
        <w:t>–</w:t>
      </w:r>
      <w:r>
        <w:rPr>
          <w:sz w:val="13"/>
        </w:rPr>
        <w:t>Asia collision in the east</w:t>
      </w:r>
      <w:r>
        <w:rPr>
          <w:rFonts w:ascii="Calibri" w:eastAsia="Calibri" w:hAnsi="Calibri" w:cs="Calibri"/>
          <w:sz w:val="13"/>
        </w:rPr>
        <w:t>–</w:t>
      </w:r>
      <w:r>
        <w:rPr>
          <w:sz w:val="13"/>
        </w:rPr>
        <w:t>central Himalaya. J. Geol. 113, 265</w:t>
      </w:r>
      <w:r>
        <w:rPr>
          <w:rFonts w:ascii="Calibri" w:eastAsia="Calibri" w:hAnsi="Calibri" w:cs="Calibri"/>
          <w:sz w:val="13"/>
        </w:rPr>
        <w:t>–</w:t>
      </w:r>
      <w:r>
        <w:rPr>
          <w:sz w:val="13"/>
        </w:rPr>
        <w:t>285.</w:t>
      </w:r>
    </w:p>
    <w:p w14:paraId="6F6CD72D" w14:textId="77777777" w:rsidR="00F64F7F" w:rsidRDefault="0056380C">
      <w:pPr>
        <w:spacing w:line="256" w:lineRule="auto"/>
        <w:ind w:left="234" w:right="176" w:hanging="249"/>
      </w:pPr>
      <w:r>
        <w:rPr>
          <w:sz w:val="13"/>
        </w:rPr>
        <w:t>Zhu, B., Delano, J.D., Kidd, W.S.F., 2005b. Magmatic compositions and source terranes estimated from melt inclusions in detrital Cr-rich spinels: an example from midCretaceous sandstones in the eastern Tethys Himalaya. Earth Planet. Sci. Lett. 233, 295</w:t>
      </w:r>
      <w:r>
        <w:rPr>
          <w:rFonts w:ascii="Calibri" w:eastAsia="Calibri" w:hAnsi="Calibri" w:cs="Calibri"/>
          <w:sz w:val="13"/>
        </w:rPr>
        <w:t>–</w:t>
      </w:r>
      <w:r>
        <w:rPr>
          <w:sz w:val="13"/>
        </w:rPr>
        <w:t>309</w:t>
      </w:r>
      <w:r>
        <w:rPr>
          <w:sz w:val="13"/>
        </w:rPr>
        <w:t>.</w:t>
      </w:r>
    </w:p>
    <w:p w14:paraId="3D87DEDF" w14:textId="77777777" w:rsidR="00F64F7F" w:rsidRDefault="0056380C">
      <w:pPr>
        <w:spacing w:line="256" w:lineRule="auto"/>
        <w:ind w:left="-15" w:firstLine="0"/>
      </w:pPr>
      <w:r>
        <w:rPr>
          <w:sz w:val="13"/>
        </w:rPr>
        <w:t>Zuffa, G., 1980. Optical analysis of arenites: their composition and classi</w:t>
      </w:r>
      <w:r>
        <w:rPr>
          <w:rFonts w:ascii="Calibri" w:eastAsia="Calibri" w:hAnsi="Calibri" w:cs="Calibri"/>
          <w:sz w:val="13"/>
        </w:rPr>
        <w:t>fi</w:t>
      </w:r>
      <w:r>
        <w:rPr>
          <w:sz w:val="13"/>
        </w:rPr>
        <w:t>cation. J.</w:t>
      </w:r>
    </w:p>
    <w:p w14:paraId="207DDEDD" w14:textId="77777777" w:rsidR="00F64F7F" w:rsidRDefault="0056380C">
      <w:pPr>
        <w:spacing w:line="256" w:lineRule="auto"/>
        <w:ind w:left="239" w:firstLine="0"/>
      </w:pPr>
      <w:r>
        <w:rPr>
          <w:sz w:val="13"/>
        </w:rPr>
        <w:t>Sediment. Petrol. 50, 21</w:t>
      </w:r>
      <w:r>
        <w:rPr>
          <w:rFonts w:ascii="Calibri" w:eastAsia="Calibri" w:hAnsi="Calibri" w:cs="Calibri"/>
          <w:sz w:val="13"/>
        </w:rPr>
        <w:t>–</w:t>
      </w:r>
      <w:r>
        <w:rPr>
          <w:sz w:val="13"/>
        </w:rPr>
        <w:t>29.</w:t>
      </w:r>
    </w:p>
    <w:sectPr w:rsidR="00F64F7F">
      <w:type w:val="continuous"/>
      <w:pgSz w:w="11906" w:h="15874"/>
      <w:pgMar w:top="1064" w:right="673" w:bottom="967" w:left="675" w:header="720" w:footer="720" w:gutter="0"/>
      <w:cols w:num="2" w:space="3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2900C" w14:textId="77777777" w:rsidR="00000000" w:rsidRDefault="0056380C">
      <w:pPr>
        <w:spacing w:after="0" w:line="240" w:lineRule="auto"/>
      </w:pPr>
      <w:r>
        <w:separator/>
      </w:r>
    </w:p>
  </w:endnote>
  <w:endnote w:type="continuationSeparator" w:id="0">
    <w:p w14:paraId="714DD76E" w14:textId="77777777" w:rsidR="00000000" w:rsidRDefault="00563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1D7F4" w14:textId="77777777" w:rsidR="00000000" w:rsidRDefault="0056380C">
      <w:pPr>
        <w:spacing w:after="0" w:line="240" w:lineRule="auto"/>
      </w:pPr>
      <w:r>
        <w:separator/>
      </w:r>
    </w:p>
  </w:footnote>
  <w:footnote w:type="continuationSeparator" w:id="0">
    <w:p w14:paraId="34496E41" w14:textId="77777777" w:rsidR="00000000" w:rsidRDefault="005638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5D8D6" w14:textId="77777777" w:rsidR="00F64F7F" w:rsidRDefault="0056380C">
    <w:pPr>
      <w:tabs>
        <w:tab w:val="center" w:pos="5015"/>
      </w:tabs>
      <w:spacing w:after="0" w:line="259" w:lineRule="auto"/>
      <w:ind w:left="-176" w:firstLine="0"/>
      <w:jc w:val="left"/>
    </w:pPr>
    <w:r>
      <w:fldChar w:fldCharType="begin"/>
    </w:r>
    <w:r>
      <w:instrText xml:space="preserve"> PAGE   \* MERGEFORMAT </w:instrText>
    </w:r>
    <w:r>
      <w:fldChar w:fldCharType="separate"/>
    </w:r>
    <w:r>
      <w:rPr>
        <w:sz w:val="13"/>
      </w:rPr>
      <w:t>196</w:t>
    </w:r>
    <w:r>
      <w:rPr>
        <w:sz w:val="13"/>
      </w:rPr>
      <w:fldChar w:fldCharType="end"/>
    </w:r>
    <w:r>
      <w:rPr>
        <w:sz w:val="13"/>
      </w:rPr>
      <w:tab/>
    </w:r>
    <w:r>
      <w:rPr>
        <w:sz w:val="13"/>
      </w:rPr>
      <w:t>F. Cai et al. / Earth and Planetary Science Letters 305 (2011) 195</w:t>
    </w:r>
    <w:r>
      <w:rPr>
        <w:rFonts w:ascii="Calibri" w:eastAsia="Calibri" w:hAnsi="Calibri" w:cs="Calibri"/>
        <w:sz w:val="13"/>
      </w:rPr>
      <w:t>–</w:t>
    </w:r>
    <w:r>
      <w:rPr>
        <w:sz w:val="13"/>
      </w:rPr>
      <w:t>206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6CE00" w14:textId="77777777" w:rsidR="00F64F7F" w:rsidRDefault="0056380C">
    <w:pPr>
      <w:tabs>
        <w:tab w:val="center" w:pos="5190"/>
        <w:tab w:val="right" w:pos="10381"/>
      </w:tabs>
      <w:spacing w:after="0" w:line="259" w:lineRule="auto"/>
      <w:ind w:left="0" w:right="-305" w:firstLine="0"/>
      <w:jc w:val="left"/>
    </w:pPr>
    <w:r>
      <w:rPr>
        <w:rFonts w:ascii="Calibri" w:eastAsia="Calibri" w:hAnsi="Calibri" w:cs="Calibri"/>
        <w:color w:val="000000"/>
        <w:sz w:val="22"/>
      </w:rPr>
      <w:tab/>
    </w:r>
    <w:r>
      <w:rPr>
        <w:sz w:val="13"/>
      </w:rPr>
      <w:t>F. Cai et al. / Earth and Planetary Science Letters 305 (2011) 195</w:t>
    </w:r>
    <w:r>
      <w:rPr>
        <w:rFonts w:ascii="Calibri" w:eastAsia="Calibri" w:hAnsi="Calibri" w:cs="Calibri"/>
        <w:sz w:val="13"/>
      </w:rPr>
      <w:t>–</w:t>
    </w:r>
    <w:r>
      <w:rPr>
        <w:sz w:val="13"/>
      </w:rPr>
      <w:t>206</w:t>
    </w:r>
    <w:r>
      <w:rPr>
        <w:sz w:val="13"/>
      </w:rPr>
      <w:tab/>
    </w:r>
    <w:r>
      <w:fldChar w:fldCharType="begin"/>
    </w:r>
    <w:r>
      <w:instrText xml:space="preserve"> PAGE   \* MERGEFORMAT </w:instrText>
    </w:r>
    <w:r>
      <w:fldChar w:fldCharType="separate"/>
    </w:r>
    <w:r>
      <w:rPr>
        <w:sz w:val="13"/>
      </w:rPr>
      <w:t>197</w:t>
    </w:r>
    <w:r>
      <w:rPr>
        <w:sz w:val="13"/>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0EA8B" w14:textId="77777777" w:rsidR="00F64F7F" w:rsidRDefault="00F64F7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8306F"/>
    <w:multiLevelType w:val="hybridMultilevel"/>
    <w:tmpl w:val="99BEB3EE"/>
    <w:lvl w:ilvl="0" w:tplc="492ED558">
      <w:start w:val="1"/>
      <w:numFmt w:val="decimal"/>
      <w:lvlText w:val="%1."/>
      <w:lvlJc w:val="left"/>
      <w:pPr>
        <w:ind w:left="207"/>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1" w:tplc="4B2E9CA2">
      <w:start w:val="1"/>
      <w:numFmt w:val="lowerLetter"/>
      <w:lvlText w:val="%2"/>
      <w:lvlJc w:val="left"/>
      <w:pPr>
        <w:ind w:left="108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2" w:tplc="6E4A9888">
      <w:start w:val="1"/>
      <w:numFmt w:val="lowerRoman"/>
      <w:lvlText w:val="%3"/>
      <w:lvlJc w:val="left"/>
      <w:pPr>
        <w:ind w:left="180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3" w:tplc="FDEA89E0">
      <w:start w:val="1"/>
      <w:numFmt w:val="decimal"/>
      <w:lvlText w:val="%4"/>
      <w:lvlJc w:val="left"/>
      <w:pPr>
        <w:ind w:left="252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4" w:tplc="DD824F06">
      <w:start w:val="1"/>
      <w:numFmt w:val="lowerLetter"/>
      <w:lvlText w:val="%5"/>
      <w:lvlJc w:val="left"/>
      <w:pPr>
        <w:ind w:left="324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5" w:tplc="2A205182">
      <w:start w:val="1"/>
      <w:numFmt w:val="lowerRoman"/>
      <w:lvlText w:val="%6"/>
      <w:lvlJc w:val="left"/>
      <w:pPr>
        <w:ind w:left="396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6" w:tplc="3F423D9E">
      <w:start w:val="1"/>
      <w:numFmt w:val="decimal"/>
      <w:lvlText w:val="%7"/>
      <w:lvlJc w:val="left"/>
      <w:pPr>
        <w:ind w:left="468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7" w:tplc="4CFE35F8">
      <w:start w:val="1"/>
      <w:numFmt w:val="lowerLetter"/>
      <w:lvlText w:val="%8"/>
      <w:lvlJc w:val="left"/>
      <w:pPr>
        <w:ind w:left="540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8" w:tplc="F8B85D26">
      <w:start w:val="1"/>
      <w:numFmt w:val="lowerRoman"/>
      <w:lvlText w:val="%9"/>
      <w:lvlJc w:val="left"/>
      <w:pPr>
        <w:ind w:left="612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F7F"/>
    <w:rsid w:val="0056380C"/>
    <w:rsid w:val="00F64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BECF4"/>
  <w15:docId w15:val="{309405F0-661C-4720-BD0F-3BF69ABDD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77" w:lineRule="auto"/>
      <w:ind w:left="176" w:firstLine="229"/>
      <w:jc w:val="both"/>
    </w:pPr>
    <w:rPr>
      <w:rFonts w:ascii="Times New Roman" w:eastAsia="Times New Roman" w:hAnsi="Times New Roman" w:cs="Times New Roman"/>
      <w:color w:val="181717"/>
      <w:sz w:val="16"/>
    </w:rPr>
  </w:style>
  <w:style w:type="paragraph" w:styleId="1">
    <w:name w:val="heading 1"/>
    <w:next w:val="a"/>
    <w:link w:val="10"/>
    <w:uiPriority w:val="9"/>
    <w:qFormat/>
    <w:pPr>
      <w:keepNext/>
      <w:keepLines/>
      <w:spacing w:after="208" w:line="259" w:lineRule="auto"/>
      <w:ind w:left="186" w:hanging="10"/>
      <w:outlineLvl w:val="0"/>
    </w:pPr>
    <w:rPr>
      <w:rFonts w:ascii="Calibri" w:eastAsia="Calibri" w:hAnsi="Calibri" w:cs="Calibri"/>
      <w:color w:val="181717"/>
      <w:sz w:val="16"/>
    </w:rPr>
  </w:style>
  <w:style w:type="paragraph" w:styleId="2">
    <w:name w:val="heading 2"/>
    <w:next w:val="a"/>
    <w:link w:val="20"/>
    <w:uiPriority w:val="9"/>
    <w:unhideWhenUsed/>
    <w:qFormat/>
    <w:pPr>
      <w:keepNext/>
      <w:keepLines/>
      <w:spacing w:after="216" w:line="259" w:lineRule="auto"/>
      <w:ind w:left="10" w:hanging="10"/>
      <w:outlineLvl w:val="1"/>
    </w:pPr>
    <w:rPr>
      <w:rFonts w:ascii="Times New Roman" w:eastAsia="Times New Roman" w:hAnsi="Times New Roman" w:cs="Times New Roman"/>
      <w:color w:val="181717"/>
      <w:sz w:val="16"/>
    </w:rPr>
  </w:style>
  <w:style w:type="paragraph" w:styleId="3">
    <w:name w:val="heading 3"/>
    <w:next w:val="a"/>
    <w:link w:val="30"/>
    <w:uiPriority w:val="9"/>
    <w:unhideWhenUsed/>
    <w:qFormat/>
    <w:pPr>
      <w:keepNext/>
      <w:keepLines/>
      <w:spacing w:after="216" w:line="259" w:lineRule="auto"/>
      <w:ind w:left="10" w:hanging="10"/>
      <w:outlineLvl w:val="2"/>
    </w:pPr>
    <w:rPr>
      <w:rFonts w:ascii="Times New Roman" w:eastAsia="Times New Roman" w:hAnsi="Times New Roman" w:cs="Times New Roman"/>
      <w:color w:val="181717"/>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color w:val="181717"/>
      <w:sz w:val="16"/>
    </w:rPr>
  </w:style>
  <w:style w:type="character" w:customStyle="1" w:styleId="30">
    <w:name w:val="标题 3 字符"/>
    <w:link w:val="3"/>
    <w:rPr>
      <w:rFonts w:ascii="Times New Roman" w:eastAsia="Times New Roman" w:hAnsi="Times New Roman" w:cs="Times New Roman"/>
      <w:color w:val="181717"/>
      <w:sz w:val="16"/>
    </w:rPr>
  </w:style>
  <w:style w:type="character" w:customStyle="1" w:styleId="10">
    <w:name w:val="标题 1 字符"/>
    <w:link w:val="1"/>
    <w:rPr>
      <w:rFonts w:ascii="Calibri" w:eastAsia="Calibri" w:hAnsi="Calibri" w:cs="Calibri"/>
      <w:color w:val="181717"/>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dx.doi.org/10.1016/j.epsl.2011.02.055" TargetMode="External"/><Relationship Id="rId13" Type="http://schemas.openxmlformats.org/officeDocument/2006/relationships/image" Target="media/image0.jpg"/><Relationship Id="rId18" Type="http://schemas.openxmlformats.org/officeDocument/2006/relationships/hyperlink" Target="http://dx.doi.org/10.1016/j.epsl.2011.02.055" TargetMode="External"/><Relationship Id="rId26" Type="http://schemas.openxmlformats.org/officeDocument/2006/relationships/image" Target="media/image9.jpg"/><Relationship Id="rId3" Type="http://schemas.openxmlformats.org/officeDocument/2006/relationships/settings" Target="settings.xml"/><Relationship Id="hyperlink244" Type="http://schemas.openxmlformats.org/officeDocument/2006/relationships/hyperlink" Target="http://dx.doi.org/10.1016/j.epsl.2011.02.055" TargetMode="External"/><Relationship Id="rId21" Type="http://schemas.openxmlformats.org/officeDocument/2006/relationships/image" Target="media/image5.jpg"/><Relationship Id="rId7" Type="http://schemas.openxmlformats.org/officeDocument/2006/relationships/hyperlink" Target="http://dx.doi.org/10.1016/j.epsl.2011.02.055" TargetMode="External"/><Relationship Id="rId12" Type="http://schemas.openxmlformats.org/officeDocument/2006/relationships/hyperlink" Target="http://www.sciencedirect.com/science/journal/0012821X" TargetMode="External"/><Relationship Id="rId17" Type="http://schemas.openxmlformats.org/officeDocument/2006/relationships/header" Target="header3.xml"/><Relationship Id="rId25" Type="http://schemas.openxmlformats.org/officeDocument/2006/relationships/image" Target="media/image8.jpg"/><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hyperlink247" Type="http://schemas.openxmlformats.org/officeDocument/2006/relationships/hyperlink" Target="http://www.sciencedirect.com/science/journal/0012821X" TargetMode="External"/><Relationship Id="rId24" Type="http://schemas.openxmlformats.org/officeDocument/2006/relationships/image" Target="media/image7.jp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6.jpg"/><Relationship Id="rId28" Type="http://schemas.openxmlformats.org/officeDocument/2006/relationships/image" Target="media/image11.jpg"/><Relationship Id="rId10" Type="http://schemas.openxmlformats.org/officeDocument/2006/relationships/image" Target="media/image1.jpg"/><Relationship Id="rId19"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hyperlink" Target="http://dx.doi.org/10.1016/j.epsl.2011.02.055" TargetMode="External"/><Relationship Id="rId14" Type="http://schemas.openxmlformats.org/officeDocument/2006/relationships/image" Target="media/image12.jpg"/><Relationship Id="rId22" Type="http://schemas.openxmlformats.org/officeDocument/2006/relationships/hyperlink" Target="http://www.geo.arizona.edu/alc/Analysis%20Tools.htm" TargetMode="External"/><Relationship Id="rId27" Type="http://schemas.openxmlformats.org/officeDocument/2006/relationships/image" Target="media/image10.jp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10415</Words>
  <Characters>59366</Characters>
  <Application>Microsoft Office Word</Application>
  <DocSecurity>0</DocSecurity>
  <Lines>494</Lines>
  <Paragraphs>139</Paragraphs>
  <ScaleCrop>false</ScaleCrop>
  <Company/>
  <LinksUpToDate>false</LinksUpToDate>
  <CharactersWithSpaces>69642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Provenance analysis of upper Cretaceous strata in the Tethys Himalaya, southern Tibet: Implications for timing of India–Asia collision</dc:title>
  <dc:subject>Earth and Planetary Science Letters, 305 (2011) 195-206. doi:10.1016/j.epsl.2011.02.055</dc:subject>
  <dc:creator>Fulong Cai</dc:creator>
  <cp:keywords>Tethys Himalaya;  provenance analysis;  detrital zircons;  Cr–spinel;  Nd-isotopes;  initial collision</cp:keywords>
  <cp:lastModifiedBy>wang dachui</cp:lastModifiedBy>
  <cp:revision>2</cp:revision>
  <dcterms:created xsi:type="dcterms:W3CDTF">2021-01-16T09:12:00Z</dcterms:created>
  <dcterms:modified xsi:type="dcterms:W3CDTF">2021-01-16T09:12:00Z</dcterms:modified>
</cp:coreProperties>
</file>