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1A830">
      <w:pPr>
        <w:spacing w:before="480" w:after="480" w:line="288" w:lineRule="auto"/>
        <w:ind w:left="0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文旅IP全自动策划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skill</w:t>
      </w:r>
      <w:bookmarkStart w:id="19" w:name="_GoBack"/>
      <w:bookmarkEnd w:id="19"/>
    </w:p>
    <w:p w14:paraId="1994FC1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一、技能定位</w:t>
      </w:r>
      <w:bookmarkEnd w:id="0"/>
    </w:p>
    <w:p w14:paraId="3C435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技能名称</w:t>
      </w:r>
      <w:r>
        <w:rPr>
          <w:rFonts w:ascii="Arial" w:hAnsi="Arial" w:eastAsia="等线" w:cs="Arial"/>
          <w:sz w:val="22"/>
        </w:rPr>
        <w:t>：景区/文化集市IP一键全案生成技能</w:t>
      </w:r>
    </w:p>
    <w:p w14:paraId="54B5CD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技能核心能力</w:t>
      </w:r>
      <w:r>
        <w:rPr>
          <w:rFonts w:ascii="Arial" w:hAnsi="Arial" w:eastAsia="等线" w:cs="Arial"/>
          <w:sz w:val="22"/>
        </w:rPr>
        <w:t>：仅输入项目基础地域、文化、业态信息，不做凭空创意，依托文化母体+超级符号，全自动输出</w:t>
      </w:r>
      <w:r>
        <w:rPr>
          <w:rFonts w:ascii="Arial" w:hAnsi="Arial" w:eastAsia="等线" w:cs="Arial"/>
          <w:b/>
          <w:sz w:val="22"/>
        </w:rPr>
        <w:t>IP命名、超级符号、人物人设、完整文化故事、Slogan、视觉体系、场景装置、业态规划、活动玩法</w:t>
      </w:r>
      <w:r>
        <w:rPr>
          <w:rFonts w:ascii="Arial" w:hAnsi="Arial" w:eastAsia="等线" w:cs="Arial"/>
          <w:sz w:val="22"/>
        </w:rPr>
        <w:t>全套策划内容，一锅出完整落地IP方案。</w:t>
      </w:r>
    </w:p>
    <w:p w14:paraId="1BEE6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适配人群</w:t>
      </w:r>
      <w:r>
        <w:rPr>
          <w:rFonts w:ascii="Arial" w:hAnsi="Arial" w:eastAsia="等线" w:cs="Arial"/>
          <w:sz w:val="22"/>
        </w:rPr>
        <w:t>：策划小白、文旅从业者、自媒体接单、项目前期策划人员</w:t>
      </w:r>
    </w:p>
    <w:p w14:paraId="58901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适配场景</w:t>
      </w:r>
      <w:r>
        <w:rPr>
          <w:rFonts w:ascii="Arial" w:hAnsi="Arial" w:eastAsia="等线" w:cs="Arial"/>
          <w:sz w:val="22"/>
        </w:rPr>
        <w:t>：自然景区、古镇街区、乡村文旅、夜间文化集市、非遗主题市集、国风商业街</w:t>
      </w:r>
    </w:p>
    <w:p w14:paraId="0560C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核心底层（华与华铁律）</w:t>
      </w:r>
      <w:r>
        <w:rPr>
          <w:rFonts w:ascii="Arial" w:hAnsi="Arial" w:eastAsia="等线" w:cs="Arial"/>
          <w:sz w:val="22"/>
        </w:rPr>
        <w:t>：IP不原创、只唤醒；不造虚无文艺概念，只抓本地原有文化母体、超级符号、市井烟火，做到</w:t>
      </w:r>
      <w:r>
        <w:rPr>
          <w:rFonts w:ascii="Arial" w:hAnsi="Arial" w:eastAsia="等线" w:cs="Arial"/>
          <w:b/>
          <w:sz w:val="22"/>
        </w:rPr>
        <w:t>有根、好看、可落地、可变现</w:t>
      </w:r>
      <w:r>
        <w:rPr>
          <w:rFonts w:ascii="Arial" w:hAnsi="Arial" w:eastAsia="等线" w:cs="Arial"/>
          <w:sz w:val="22"/>
        </w:rPr>
        <w:t>。</w:t>
      </w:r>
    </w:p>
    <w:p w14:paraId="42E809C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二、技能核心原理</w:t>
      </w:r>
      <w:bookmarkEnd w:id="1"/>
    </w:p>
    <w:p w14:paraId="5DB3E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所有文旅IP翻车问题：凭空造人设、无文化溯源、视觉无法落地、场景不匹配、没有商业价值。本技能完全规避以上问题，死守三大核心：</w:t>
      </w:r>
    </w:p>
    <w:p w14:paraId="79E5B31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文化母体优先</w:t>
      </w:r>
      <w:r>
        <w:rPr>
          <w:rFonts w:ascii="Arial" w:hAnsi="Arial" w:eastAsia="等线" w:cs="Arial"/>
          <w:sz w:val="22"/>
        </w:rPr>
        <w:t>：一切IP源自当地自古存在的传说、神兽、名人、非遗、民俗、山水、风物，拒绝自我编造。</w:t>
      </w:r>
    </w:p>
    <w:p w14:paraId="1167C4A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超级符号可视化</w:t>
      </w:r>
      <w:r>
        <w:rPr>
          <w:rFonts w:ascii="Arial" w:hAnsi="Arial" w:eastAsia="等线" w:cs="Arial"/>
          <w:sz w:val="22"/>
        </w:rPr>
        <w:t>：所有IP必须能落地成雕塑、灯组、门头、摊位、文创、服装，看得见、摸得着、能打卡。</w:t>
      </w:r>
    </w:p>
    <w:p w14:paraId="23B3BCC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寄生传播+市井落地</w:t>
      </w:r>
      <w:r>
        <w:rPr>
          <w:rFonts w:ascii="Arial" w:hAnsi="Arial" w:eastAsia="等线" w:cs="Arial"/>
          <w:sz w:val="22"/>
        </w:rPr>
        <w:t>：IP服务场景、服务消费、服务打卡传播，不做悬空的文化包装，贴合集市烟火、景区游玩核心需求。</w:t>
      </w:r>
    </w:p>
    <w:p w14:paraId="7E9A998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三、标准化输入模板</w:t>
      </w:r>
      <w:bookmarkEnd w:id="2"/>
    </w:p>
    <w:p w14:paraId="58D18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【必填四要素输入表】</w:t>
      </w:r>
    </w:p>
    <w:p w14:paraId="0F5F88F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地域基底</w:t>
      </w:r>
      <w:r>
        <w:rPr>
          <w:rFonts w:ascii="Arial" w:hAnsi="Arial" w:eastAsia="等线" w:cs="Arial"/>
          <w:sz w:val="22"/>
        </w:rPr>
        <w:t>：所属城市/区县、古地名、核心山水、标志性建筑、地域别称</w:t>
      </w:r>
    </w:p>
    <w:p w14:paraId="5C3ED81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文化母体</w:t>
      </w:r>
      <w:r>
        <w:rPr>
          <w:rFonts w:ascii="Arial" w:hAnsi="Arial" w:eastAsia="等线" w:cs="Arial"/>
          <w:sz w:val="22"/>
        </w:rPr>
        <w:t>：本地神话传说、上古神兽、历史名人、传统民俗、节气仪式、非遗技艺、民间典故</w:t>
      </w:r>
    </w:p>
    <w:p w14:paraId="65D468E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风物载体</w:t>
      </w:r>
      <w:r>
        <w:rPr>
          <w:rFonts w:ascii="Arial" w:hAnsi="Arial" w:eastAsia="等线" w:cs="Arial"/>
          <w:sz w:val="22"/>
        </w:rPr>
        <w:t>：本地特产、特色美食、手作工艺、传统纹样、古器物、植物动物特色</w:t>
      </w:r>
    </w:p>
    <w:p w14:paraId="366EA07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项目属性</w:t>
      </w:r>
      <w:r>
        <w:rPr>
          <w:rFonts w:ascii="Arial" w:hAnsi="Arial" w:eastAsia="等线" w:cs="Arial"/>
          <w:sz w:val="22"/>
        </w:rPr>
        <w:t>：山水景区 / 古镇景区 / 夜间集市 / 非遗市集 / 乡村文旅街区 / 国风商业街（标注客群：亲子/年轻潮玩/中老年康养/全客群）</w:t>
      </w:r>
    </w:p>
    <w:p w14:paraId="6D771AA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四、全套IP全自动生成SOP</w:t>
      </w:r>
      <w:bookmarkEnd w:id="3"/>
    </w:p>
    <w:p w14:paraId="722D1FE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模块1：IP命名技能</w:t>
      </w:r>
      <w:bookmarkEnd w:id="4"/>
    </w:p>
    <w:p w14:paraId="7E661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区分景区、集市两大场景，专属公式，适配所有文旅项目：</w:t>
      </w:r>
    </w:p>
    <w:p w14:paraId="1497CDED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公式A：景区/古镇/古街专用</w:t>
      </w:r>
      <w:bookmarkEnd w:id="5"/>
    </w:p>
    <w:p w14:paraId="305A34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结构：</w:t>
      </w:r>
      <w:r>
        <w:rPr>
          <w:rFonts w:ascii="Arial" w:hAnsi="Arial" w:eastAsia="等线" w:cs="Arial"/>
          <w:b/>
          <w:sz w:val="22"/>
        </w:rPr>
        <w:t>本地文化母体（神兽/仙人名士/核心风物）+ 温柔地域字</w:t>
      </w:r>
    </w:p>
    <w:p w14:paraId="01FC8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可选后缀字：山、溪、屿、湾、城、里、渡、坞</w:t>
      </w:r>
    </w:p>
    <w:p w14:paraId="4F5C4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示例：鹿神+里=鹿里、鹤仙+溪=鹤溪、竹韵+坞=竹坞</w:t>
      </w:r>
    </w:p>
    <w:p w14:paraId="149CEF35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公式B：文化集市/夜市/非遗街区专用</w:t>
      </w:r>
      <w:bookmarkEnd w:id="6"/>
    </w:p>
    <w:p w14:paraId="54D85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结构：</w:t>
      </w:r>
      <w:r>
        <w:rPr>
          <w:rFonts w:ascii="Arial" w:hAnsi="Arial" w:eastAsia="等线" w:cs="Arial"/>
          <w:b/>
          <w:sz w:val="22"/>
        </w:rPr>
        <w:t>本地核心文化关键词 + 市井场景词</w:t>
      </w:r>
    </w:p>
    <w:p w14:paraId="7AB82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可选后缀词：集、市、巷、坊、墟、肆、街</w:t>
      </w:r>
    </w:p>
    <w:p w14:paraId="0525E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示例：青荷+集=青荷集、古窑+墟=古窑墟、茶韵+肆=茶韵肆</w:t>
      </w:r>
    </w:p>
    <w:p w14:paraId="4EE85BB2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命名审核铁律</w:t>
      </w:r>
      <w:bookmarkEnd w:id="7"/>
    </w:p>
    <w:p w14:paraId="59B1D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2-4字、无生僻字、口语好记、有画面、可做LOGO、有文化溯源、适配文旅场景</w:t>
      </w:r>
    </w:p>
    <w:p w14:paraId="3926C16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模块2：超级符号提取技能</w:t>
      </w:r>
      <w:bookmarkEnd w:id="8"/>
    </w:p>
    <w:p w14:paraId="2EB61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从输入四要素中，固定提取</w:t>
      </w:r>
      <w:r>
        <w:rPr>
          <w:rFonts w:ascii="Arial" w:hAnsi="Arial" w:eastAsia="等线" w:cs="Arial"/>
          <w:b/>
          <w:sz w:val="22"/>
        </w:rPr>
        <w:t>1主2辅</w:t>
      </w:r>
      <w:r>
        <w:rPr>
          <w:rFonts w:ascii="Arial" w:hAnsi="Arial" w:eastAsia="等线" w:cs="Arial"/>
          <w:sz w:val="22"/>
        </w:rPr>
        <w:t>超级符号，所有视觉、场景、道具全部围绕符号展开：</w:t>
      </w:r>
    </w:p>
    <w:p w14:paraId="6219FF9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核心主符号</w:t>
      </w:r>
      <w:r>
        <w:rPr>
          <w:rFonts w:ascii="Arial" w:hAnsi="Arial" w:eastAsia="等线" w:cs="Arial"/>
          <w:sz w:val="22"/>
        </w:rPr>
        <w:t>：母体神兽/人物核心形态、标志性山水轮廓、非遗核心纹样</w:t>
      </w:r>
    </w:p>
    <w:p w14:paraId="56CF4D4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辅助符号1</w:t>
      </w:r>
      <w:r>
        <w:rPr>
          <w:rFonts w:ascii="Arial" w:hAnsi="Arial" w:eastAsia="等线" w:cs="Arial"/>
          <w:sz w:val="22"/>
        </w:rPr>
        <w:t>：本地建筑元素（屋檐、窗花、青砖、瓦当）</w:t>
      </w:r>
    </w:p>
    <w:p w14:paraId="287F577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辅助符号2</w:t>
      </w:r>
      <w:r>
        <w:rPr>
          <w:rFonts w:ascii="Arial" w:hAnsi="Arial" w:eastAsia="等线" w:cs="Arial"/>
          <w:sz w:val="22"/>
        </w:rPr>
        <w:t>：特色风物（美食、植物、器物）</w:t>
      </w:r>
    </w:p>
    <w:p w14:paraId="482BA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落地用途：IP造型、LOGO、门头、打卡雕塑、灯组、摊位包装、导视、文创周边</w:t>
      </w:r>
    </w:p>
    <w:p w14:paraId="793E48F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模块3：IP人设设定技能</w:t>
      </w:r>
      <w:bookmarkEnd w:id="9"/>
    </w:p>
    <w:p w14:paraId="38AF1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根据项目属性，三选一固定人设，拒绝人设模糊、不贴合场景：</w:t>
      </w:r>
    </w:p>
    <w:p w14:paraId="374AD3F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神兽祥瑞IP</w:t>
      </w:r>
      <w:r>
        <w:rPr>
          <w:rFonts w:ascii="Arial" w:hAnsi="Arial" w:eastAsia="等线" w:cs="Arial"/>
          <w:sz w:val="22"/>
        </w:rPr>
        <w:t>：定位山林祥瑞、守护一方山水，寓意平安、顺遂、纳福，适配康养、祈福、山水游玩场景</w:t>
      </w:r>
    </w:p>
    <w:p w14:paraId="2E0495F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市井仙童/小仙IP</w:t>
      </w:r>
      <w:r>
        <w:rPr>
          <w:rFonts w:ascii="Arial" w:hAnsi="Arial" w:eastAsia="等线" w:cs="Arial"/>
          <w:sz w:val="22"/>
        </w:rPr>
        <w:t>：活泼温柔、治愈烟火，负责守护市井热闹、传承民俗烟火，适配夜游、亲子打卡、轻体验场景</w:t>
      </w:r>
    </w:p>
    <w:p w14:paraId="1B28482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风物拟人IP</w:t>
      </w:r>
      <w:r>
        <w:rPr>
          <w:rFonts w:ascii="Arial" w:hAnsi="Arial" w:eastAsia="等线" w:cs="Arial"/>
          <w:sz w:val="22"/>
        </w:rPr>
        <w:t>：以本地特产、非遗、美食拟人，自带商业属性，最易做文创、做业态、做传播</w:t>
      </w:r>
    </w:p>
    <w:p w14:paraId="57D8EA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人设固定标配：姓名+身份+性格+核心寓意+专属道具（道具取自本地风物）</w:t>
      </w:r>
    </w:p>
    <w:p w14:paraId="3B01F75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模块4：文化故事生成技能</w:t>
      </w:r>
      <w:bookmarkEnd w:id="10"/>
    </w:p>
    <w:p w14:paraId="30257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固定四段结构，填空即可生成官方完整品牌文化故事，适配方案上报、宣传推文、现场文案展示：</w:t>
      </w:r>
    </w:p>
    <w:p w14:paraId="154DDE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第一段：地域溯源</w:t>
      </w:r>
      <w:r>
        <w:rPr>
          <w:rFonts w:ascii="Arial" w:hAnsi="Arial" w:eastAsia="等线" w:cs="Arial"/>
          <w:sz w:val="22"/>
        </w:rPr>
        <w:t>：简述项目属地千年山水底蕴、地域特色、古往今来的人文气质与市井风貌。</w:t>
      </w:r>
    </w:p>
    <w:p w14:paraId="2A372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第二段：母体起源</w:t>
      </w:r>
      <w:r>
        <w:rPr>
          <w:rFonts w:ascii="Arial" w:hAnsi="Arial" w:eastAsia="等线" w:cs="Arial"/>
          <w:sz w:val="22"/>
        </w:rPr>
        <w:t>：提炼本地经典传说、民俗、神兽、名人典故，说明IP文化的原生根基，证明IP有历史依据，非凭空创作。</w:t>
      </w:r>
    </w:p>
    <w:p w14:paraId="3C609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第三段：IP诞生与内核</w:t>
      </w:r>
      <w:r>
        <w:rPr>
          <w:rFonts w:ascii="Arial" w:hAnsi="Arial" w:eastAsia="等线" w:cs="Arial"/>
          <w:sz w:val="22"/>
        </w:rPr>
        <w:t>：结合项目场景，定义IP角色身份、性格，提炼核心价值（烟火治愈、文化传承、祥瑞祈福、山野自在、市井欢愉等）。</w:t>
      </w:r>
    </w:p>
    <w:p w14:paraId="7C891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第四段：当代新生落地</w:t>
      </w:r>
      <w:r>
        <w:rPr>
          <w:rFonts w:ascii="Arial" w:hAnsi="Arial" w:eastAsia="等线" w:cs="Arial"/>
          <w:sz w:val="22"/>
        </w:rPr>
        <w:t>：链接景区/集市业态，说明IP如何活化传统文化，转化为可游玩、可打卡、可消费、可传播的沉浸式文旅体验，赋能项目运营。</w:t>
      </w:r>
    </w:p>
    <w:p w14:paraId="7E107C9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模块5：Slogan创作技能</w:t>
      </w:r>
      <w:bookmarkEnd w:id="11"/>
    </w:p>
    <w:p w14:paraId="21626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固定两句式，一底一面，高级不空洞，适配所有宣传场景：</w:t>
      </w:r>
    </w:p>
    <w:p w14:paraId="75E832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上句：文化底蕴句（讲根）</w:t>
      </w:r>
      <w:r>
        <w:rPr>
          <w:rFonts w:ascii="Arial" w:hAnsi="Arial" w:eastAsia="等线" w:cs="Arial"/>
          <w:sz w:val="22"/>
        </w:rPr>
        <w:t>——提炼山水/古韵/人文</w:t>
      </w:r>
    </w:p>
    <w:p w14:paraId="1F88F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下句：场景体验句（讲玩）</w:t>
      </w:r>
      <w:r>
        <w:rPr>
          <w:rFonts w:ascii="Arial" w:hAnsi="Arial" w:eastAsia="等线" w:cs="Arial"/>
          <w:sz w:val="22"/>
        </w:rPr>
        <w:t>——提炼烟火/市集/游玩/治愈</w:t>
      </w:r>
    </w:p>
    <w:p w14:paraId="3C997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万能公式：地域文化关键词 + 意境词 ｜ 场景体验关键词 + 价值词</w:t>
      </w:r>
    </w:p>
    <w:p w14:paraId="73A79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示例：鹿隐青山古韵，集藏人间烟火</w:t>
      </w:r>
    </w:p>
    <w:p w14:paraId="0B5C6F0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模块6：全案落地策划技能</w:t>
      </w:r>
      <w:bookmarkEnd w:id="12"/>
    </w:p>
    <w:p w14:paraId="1AEB7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基于以上所有IP内容，自动匹配三大落地板块，直接用于策划方案：</w:t>
      </w:r>
    </w:p>
    <w:p w14:paraId="531AEB60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1. 视觉场景落地</w:t>
      </w:r>
      <w:bookmarkEnd w:id="13"/>
    </w:p>
    <w:p w14:paraId="72DC9F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IP主题门头、入口打卡雕塑、主题灯组、步道装饰、摊位统一包装、导视系统、墙面彩绘、网红打卡点</w:t>
      </w:r>
    </w:p>
    <w:p w14:paraId="3FFB54E5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2. 业态分区落地</w:t>
      </w:r>
      <w:bookmarkEnd w:id="14"/>
    </w:p>
    <w:p w14:paraId="683E1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结合IP内核划分：非遗手作区、本地风物美食区、国风文创区、休闲体验区、主题打卡区、亲子互动区</w:t>
      </w:r>
    </w:p>
    <w:p w14:paraId="06670119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 常态化活动玩法</w:t>
      </w:r>
      <w:bookmarkEnd w:id="15"/>
    </w:p>
    <w:p w14:paraId="191C6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IP人偶巡游、非遗体验工坊、节气主题市集、国风展演、祈福互动、风物品鉴、亲子手工活动</w:t>
      </w:r>
    </w:p>
    <w:p w14:paraId="3C6F4DE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五、技能标准化输出成果清单</w:t>
      </w:r>
      <w:bookmarkEnd w:id="16"/>
    </w:p>
    <w:p w14:paraId="3DE022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输入4项基础信息后，本技能可</w:t>
      </w:r>
      <w:r>
        <w:rPr>
          <w:rFonts w:ascii="Arial" w:hAnsi="Arial" w:eastAsia="等线" w:cs="Arial"/>
          <w:b/>
          <w:sz w:val="22"/>
        </w:rPr>
        <w:t>一次性完整输出</w:t>
      </w:r>
      <w:r>
        <w:rPr>
          <w:rFonts w:ascii="Arial" w:hAnsi="Arial" w:eastAsia="等线" w:cs="Arial"/>
          <w:sz w:val="22"/>
        </w:rPr>
        <w:t>以下10项内容：</w:t>
      </w:r>
    </w:p>
    <w:p w14:paraId="6EE84D9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IP正式名称+别名</w:t>
      </w:r>
    </w:p>
    <w:p w14:paraId="36F37A0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核心超级符号体系</w:t>
      </w:r>
    </w:p>
    <w:p w14:paraId="6877469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完整IP人物/神兽人设设定</w:t>
      </w:r>
    </w:p>
    <w:p w14:paraId="51C5238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官方完整版文化故事</w:t>
      </w:r>
    </w:p>
    <w:p w14:paraId="398BCFA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主副双Slogan宣传语</w:t>
      </w:r>
    </w:p>
    <w:p w14:paraId="10233BA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整体视觉风格定位</w:t>
      </w:r>
    </w:p>
    <w:p w14:paraId="22868C4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核心打卡场景设计方案</w:t>
      </w:r>
    </w:p>
    <w:p w14:paraId="03889833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市集/景区业态分区规划</w:t>
      </w:r>
    </w:p>
    <w:p w14:paraId="3DA461D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常态化主题活动体系</w:t>
      </w:r>
    </w:p>
    <w:p w14:paraId="58718EA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文创衍生开发方向</w:t>
      </w:r>
    </w:p>
    <w:p w14:paraId="5ABDEEB3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六、小白极速操作流程</w:t>
      </w:r>
      <w:bookmarkEnd w:id="17"/>
    </w:p>
    <w:p w14:paraId="71E2F88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第一步：信息采集</w:t>
      </w:r>
      <w:r>
        <w:rPr>
          <w:rFonts w:ascii="Arial" w:hAnsi="Arial" w:eastAsia="等线" w:cs="Arial"/>
          <w:sz w:val="22"/>
        </w:rPr>
        <w:t xml:space="preserve"> 填写4项必填输入要素，梳理本地核心文化素材，剔除小众、无落地性的冷门文化。</w:t>
      </w:r>
    </w:p>
    <w:p w14:paraId="6D7DE88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第二步：公式套用</w:t>
      </w:r>
      <w:r>
        <w:rPr>
          <w:rFonts w:ascii="Arial" w:hAnsi="Arial" w:eastAsia="等线" w:cs="Arial"/>
          <w:sz w:val="22"/>
        </w:rPr>
        <w:t xml:space="preserve"> 依次套用命名、符号、人设、故事、slogan、落地策划公式，拼接完整内容。</w:t>
      </w:r>
    </w:p>
    <w:p w14:paraId="7AFD4FF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第三步：合规优化</w:t>
      </w:r>
      <w:r>
        <w:rPr>
          <w:rFonts w:ascii="Arial" w:hAnsi="Arial" w:eastAsia="等线" w:cs="Arial"/>
          <w:sz w:val="22"/>
        </w:rPr>
        <w:t xml:space="preserve"> 检查无生僻字、无虚无文案、所有内容均可落地、贴合项目客群，完成终版方案。</w:t>
      </w:r>
    </w:p>
    <w:p w14:paraId="771C724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七、技能避雷准则</w:t>
      </w:r>
      <w:bookmarkEnd w:id="18"/>
    </w:p>
    <w:p w14:paraId="05C1CE0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禁止凭空创造文化、自创神兽传说，一切溯源本地母体</w:t>
      </w:r>
    </w:p>
    <w:p w14:paraId="354AFF9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禁止文艺空洞、无落地性的抽象IP概念</w:t>
      </w:r>
    </w:p>
    <w:p w14:paraId="7B5E5EB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禁止IP形象与场景割裂</w:t>
      </w:r>
    </w:p>
    <w:p w14:paraId="4EFAA00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禁止复杂难记、难落地、难做文创的命名与符号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7E4B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A6C4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FA2B9"/>
    <w:multiLevelType w:val="singleLevel"/>
    <w:tmpl w:val="979FA2B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">
    <w:nsid w:val="B6F68906"/>
    <w:multiLevelType w:val="singleLevel"/>
    <w:tmpl w:val="B6F689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BDF25E3"/>
    <w:multiLevelType w:val="singleLevel"/>
    <w:tmpl w:val="BBDF25E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F7599E9"/>
    <w:multiLevelType w:val="singleLevel"/>
    <w:tmpl w:val="BF7599E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F7F5305"/>
    <w:multiLevelType w:val="singleLevel"/>
    <w:tmpl w:val="BF7F53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7FEAAC7"/>
    <w:multiLevelType w:val="singleLevel"/>
    <w:tmpl w:val="C7FEAAC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">
    <w:nsid w:val="D2B920E4"/>
    <w:multiLevelType w:val="singleLevel"/>
    <w:tmpl w:val="D2B92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6F7958C"/>
    <w:multiLevelType w:val="singleLevel"/>
    <w:tmpl w:val="D6F7958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">
    <w:nsid w:val="D7EEED51"/>
    <w:multiLevelType w:val="singleLevel"/>
    <w:tmpl w:val="D7EEED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8BE5AA7"/>
    <w:multiLevelType w:val="singleLevel"/>
    <w:tmpl w:val="D8BE5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F6CE04C"/>
    <w:multiLevelType w:val="singleLevel"/>
    <w:tmpl w:val="DF6CE04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DF74FA3B"/>
    <w:multiLevelType w:val="singleLevel"/>
    <w:tmpl w:val="DF74FA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DF7C1950"/>
    <w:multiLevelType w:val="singleLevel"/>
    <w:tmpl w:val="DF7C19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E2A51D15"/>
    <w:multiLevelType w:val="singleLevel"/>
    <w:tmpl w:val="E2A51D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ECFE3D13"/>
    <w:multiLevelType w:val="singleLevel"/>
    <w:tmpl w:val="ECFE3D1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EE2F4374"/>
    <w:multiLevelType w:val="singleLevel"/>
    <w:tmpl w:val="EE2F437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6">
    <w:nsid w:val="EFED2027"/>
    <w:multiLevelType w:val="singleLevel"/>
    <w:tmpl w:val="EFED202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F15F1D81"/>
    <w:multiLevelType w:val="singleLevel"/>
    <w:tmpl w:val="F15F1D8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F6FEE979"/>
    <w:multiLevelType w:val="singleLevel"/>
    <w:tmpl w:val="F6FEE9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F7F6618B"/>
    <w:multiLevelType w:val="singleLevel"/>
    <w:tmpl w:val="F7F6618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FB5D5F9B"/>
    <w:multiLevelType w:val="singleLevel"/>
    <w:tmpl w:val="FB5D5F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D0D8EDD"/>
    <w:multiLevelType w:val="singleLevel"/>
    <w:tmpl w:val="FD0D8ED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FFA7D583"/>
    <w:multiLevelType w:val="singleLevel"/>
    <w:tmpl w:val="FFA7D58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FFF349A8"/>
    <w:multiLevelType w:val="singleLevel"/>
    <w:tmpl w:val="FFF349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FFFB211"/>
    <w:multiLevelType w:val="singleLevel"/>
    <w:tmpl w:val="FFFFB21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3A3BC4F5"/>
    <w:multiLevelType w:val="singleLevel"/>
    <w:tmpl w:val="3A3BC4F5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6">
    <w:nsid w:val="4F7ECA23"/>
    <w:multiLevelType w:val="singleLevel"/>
    <w:tmpl w:val="4F7ECA2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63EE5046"/>
    <w:multiLevelType w:val="singleLevel"/>
    <w:tmpl w:val="63EE504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A37771F"/>
    <w:multiLevelType w:val="singleLevel"/>
    <w:tmpl w:val="6A37771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736E1D76"/>
    <w:multiLevelType w:val="singleLevel"/>
    <w:tmpl w:val="736E1D76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14"/>
  </w:num>
  <w:num w:numId="3">
    <w:abstractNumId w:val="18"/>
  </w:num>
  <w:num w:numId="4">
    <w:abstractNumId w:val="11"/>
  </w:num>
  <w:num w:numId="5">
    <w:abstractNumId w:val="28"/>
  </w:num>
  <w:num w:numId="6">
    <w:abstractNumId w:val="22"/>
  </w:num>
  <w:num w:numId="7">
    <w:abstractNumId w:val="24"/>
  </w:num>
  <w:num w:numId="8">
    <w:abstractNumId w:val="1"/>
  </w:num>
  <w:num w:numId="9">
    <w:abstractNumId w:val="8"/>
  </w:num>
  <w:num w:numId="10">
    <w:abstractNumId w:val="20"/>
  </w:num>
  <w:num w:numId="11">
    <w:abstractNumId w:val="10"/>
  </w:num>
  <w:num w:numId="12">
    <w:abstractNumId w:val="26"/>
  </w:num>
  <w:num w:numId="13">
    <w:abstractNumId w:val="21"/>
  </w:num>
  <w:num w:numId="14">
    <w:abstractNumId w:val="13"/>
  </w:num>
  <w:num w:numId="15">
    <w:abstractNumId w:val="16"/>
  </w:num>
  <w:num w:numId="16">
    <w:abstractNumId w:val="6"/>
  </w:num>
  <w:num w:numId="17">
    <w:abstractNumId w:val="12"/>
  </w:num>
  <w:num w:numId="18">
    <w:abstractNumId w:val="19"/>
  </w:num>
  <w:num w:numId="19">
    <w:abstractNumId w:val="7"/>
  </w:num>
  <w:num w:numId="20">
    <w:abstractNumId w:val="0"/>
  </w:num>
  <w:num w:numId="21">
    <w:abstractNumId w:val="15"/>
  </w:num>
  <w:num w:numId="22">
    <w:abstractNumId w:val="5"/>
  </w:num>
  <w:num w:numId="23">
    <w:abstractNumId w:val="25"/>
  </w:num>
  <w:num w:numId="24">
    <w:abstractNumId w:val="29"/>
  </w:num>
  <w:num w:numId="25">
    <w:abstractNumId w:val="17"/>
  </w:num>
  <w:num w:numId="26">
    <w:abstractNumId w:val="2"/>
  </w:num>
  <w:num w:numId="27">
    <w:abstractNumId w:val="9"/>
  </w:num>
  <w:num w:numId="28">
    <w:abstractNumId w:val="4"/>
  </w:num>
  <w:num w:numId="29">
    <w:abstractNumId w:val="23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FBF56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57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2026-06-01T23:10:00Z</dcterms:created>
  <dc:creator>Apache POI</dc:creator>
  <cp:lastModifiedBy>FILAFS</cp:lastModifiedBy>
  <dcterms:modified xsi:type="dcterms:W3CDTF">2026-06-02T00:38:08Z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{"Label":"1","ContentProducer":"001191110102MACQD9K64010000","ProduceID":"7646444550487592145","ReservedCode1":"","ContentPropagator":"","PropagateID":"","ReservedCode2":""}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B45E22EE6B762BB670B51D6AA1D933DC_42</vt:lpwstr>
  </property>
</Properties>
</file>