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README,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 what the setup creates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1"/>
          <w:numId w:val="1002"/>
        </w:numPr>
      </w:pPr>
      <w:hyperlink w:anchor="X90f35153956b9ced73b03b2d904028e67edfc8e">
        <w:r>
          <w:rPr>
            <w:rStyle w:val="Hyperlink"/>
          </w:rPr>
          <w:t xml:space="preserve">1.3 What the setup creates</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53f38a644c195c26de836fb4e5bfd21d7f92adc">
        <w:r>
          <w:rPr>
            <w:rStyle w:val="Hyperlink"/>
          </w:rPr>
          <w:t xml:space="preserve">2.6 Dry run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3"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Length</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3 hours 35 minutes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spacing w:before="200"/>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spacing w:before="200"/>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 Section 1 of Part 3 tells the full story, as participants read it.</w: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spacing w:before="200"/>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bookmarkEnd w:id="11"/>
    <w:bookmarkStart w:id="12" w:name="X90f35153956b9ced73b03b2d904028e67edfc8e"/>
    <w:p>
      <w:pPr>
        <w:pStyle w:val="Heading2"/>
      </w:pPr>
      <w:r>
        <w:t xml:space="preserve">1.3 What the setup creates</w:t>
      </w:r>
    </w:p>
    <w:p>
      <w:pPr>
        <w:pStyle w:val="FirstParagraph"/>
      </w:pPr>
      <w:r>
        <w:rPr>
          <w:rStyle w:val="VerbatimChar"/>
        </w:rPr>
        <w:t xml:space="preserve">setup/00_master_setup</w:t>
      </w:r>
      <w:r>
        <w:t xml:space="preserve"> </w:t>
      </w:r>
      <w:r>
        <w:t xml:space="preserve">creates these in the workshop workspace; section 4 of Part 4 has the steps.</w:t>
      </w:r>
    </w:p>
    <w:tbl>
      <w:tblPr>
        <w:tblStyle w:val="Table"/>
        <w:tblW w:type="pct" w:w="5000"/>
        <w:tblLayout w:type="fixed"/>
        <w:tblLook w:firstRow="1" w:lastRow="0" w:firstColumn="0" w:lastColumn="0" w:noHBand="0" w:noVBand="0" w:val="0020"/>
      </w:tblPr>
      <w:tblGrid>
        <w:gridCol w:w="2953"/>
        <w:gridCol w:w="3343"/>
        <w:gridCol w:w="3343"/>
      </w:tblGrid>
      <w:tr>
        <w:trPr>
          <w:tblHeader w:val="on"/>
        </w:trPr>
        <w:tc>
          <w:tcPr>
            <w:tcW w:w="29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Asset</w:t>
            </w:r>
          </w:p>
        </w:tc>
        <w:tc>
          <w:tcPr>
            <w:tcW w:w="334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c>
          <w:tcPr>
            <w:tcW w:w="334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Its part in the story</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four system extracts and the limits spreadsheet as the source systems deliver them, plus an optional ESG file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Monday morning's inbox</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tables; the cleaned data, with rejected rows in</w:t>
            </w:r>
            <w:r>
              <w:t xml:space="preserve"> </w:t>
            </w:r>
            <w:r>
              <w:rPr>
                <w:rStyle w:val="VerbatimChar"/>
              </w:rPr>
              <w:t xml:space="preserve">silver.quarantine_facilities</w:t>
            </w:r>
            <w:r>
              <w:t xml:space="preserve">; and</w:t>
            </w:r>
            <w:r>
              <w:t xml:space="preserve"> </w:t>
            </w:r>
            <w:r>
              <w:rPr>
                <w:rStyle w:val="VerbatimChar"/>
              </w:rPr>
              <w:t xml:space="preserve">gold.group_exposure</w:t>
            </w:r>
            <w:r>
              <w:t xml:space="preserve"> </w:t>
            </w:r>
            <w:r>
              <w:t xml:space="preserve">and</w:t>
            </w:r>
            <w:r>
              <w:t xml:space="preserve"> </w:t>
            </w:r>
            <w:r>
              <w:rPr>
                <w:rStyle w:val="VerbatimChar"/>
              </w:rPr>
              <w:t xml:space="preserve">gold.facility_exposure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trusted tables: Lab 1's reference answer, and the source for everything below</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Dashboard</w:t>
            </w:r>
            <w:r>
              <w:t xml:space="preserve"> </w:t>
            </w:r>
            <w:r>
              <w:rPr>
                <w:b/>
                <w:bCs/>
              </w:rPr>
              <w:t xml:space="preserve">Credit Committee: APAC exposure (reference)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the groups above 80% and 90% of their limits, the top 10 groups, the monthly trend, exposure by country, the five largest groups' utilisation, a watchlist and trade-finance arrears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Monday report, on one page</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w:t>
            </w:r>
            <w:r>
              <w:t xml:space="preserve"> </w:t>
            </w:r>
            <w:r>
              <w:rPr>
                <w:b/>
                <w:bCs/>
              </w:rPr>
              <w:t xml:space="preserve">Credit Risk (reference)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Plain-language questions over the gold tables, with the bank's definitions and fiscal-year rules, example SQL and benchmark questions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nobody has asked yet</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w:t>
            </w:r>
            <w:r>
              <w:t xml:space="preserve"> </w:t>
            </w:r>
            <w:r>
              <w:rPr>
                <w:b/>
                <w:bCs/>
              </w:rPr>
              <w:t xml:space="preserve">Credit Risk (secured demo)</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same data behind a Unity Catalog row filter and column mask</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Proof that permissions follow the data into AI answers</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Job</w:t>
            </w:r>
            <w:r>
              <w:t xml:space="preserve"> </w:t>
            </w:r>
            <w:r>
              <w:rPr>
                <w:b/>
                <w:bCs/>
              </w:rPr>
              <w:t xml:space="preserve">SMBC Workshop: daily data refresh</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Regenerates the extracts, then rebuilds and validates the tables, every day at 06:00 Singapore time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report is ready every morning</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Folder</w:t>
            </w:r>
            <w:r>
              <w:t xml:space="preserve"> </w:t>
            </w:r>
            <w:r>
              <w:rPr>
                <w:b/>
                <w:bCs/>
              </w:rPr>
              <w:t xml:space="preserve">Labs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five attendee notebooks;</w:t>
            </w:r>
            <w:r>
              <w:t xml:space="preserve"> </w:t>
            </w:r>
            <w:r>
              <w:rPr>
                <w:i/>
                <w:iCs/>
              </w:rPr>
              <w:t xml:space="preserve">00 Start here</w:t>
            </w:r>
            <w:r>
              <w:t xml:space="preserve"> </w:t>
            </w:r>
            <w:r>
              <w:t xml:space="preserve">opens with this story</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Where attendees follow it</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Dashboard</w:t>
            </w:r>
            <w:r>
              <w:t xml:space="preserve"> </w:t>
            </w:r>
            <w:r>
              <w:rPr>
                <w:b/>
                <w:bCs/>
              </w:rPr>
              <w:t xml:space="preserve">SMBC Workshop: progress board</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Check-ins and lab progress, live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For the facilitators, on the projector</w:t>
            </w:r>
          </w:p>
        </w:tc>
      </w:tr>
    </w:tbl>
    <w:bookmarkEnd w:id="12"/>
    <w:bookmarkEnd w:id="13"/>
    <w:bookmarkStart w:id="41"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4"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2.8)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4"/>
    <w:bookmarkStart w:id="15"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636"/>
        <w:gridCol w:w="7012"/>
        <w:gridCol w:w="990"/>
      </w:tblGrid>
      <w:tr>
        <w:trPr>
          <w:tblHeader w:val="on"/>
        </w:trPr>
        <w:tc>
          <w:tcPr>
            <w:tcW w:w="163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01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Done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Reference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A week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3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2.6)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2.7)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(section 2.11), the polls and the survey (section 2.12)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2.3). Start the workshop's SQL warehouse (the one</w:t>
            </w:r>
            <w:r>
              <w:t xml:space="preserve"> </w:t>
            </w:r>
            <w:r>
              <w:rPr>
                <w:rStyle w:val="VerbatimChar"/>
              </w:rPr>
              <w:t xml:space="preserve">00_master_setup</w:t>
            </w:r>
            <w:r>
              <w:t xml:space="preserve"> </w:t>
            </w:r>
            <w:r>
              <w:t xml:space="preserve">named) and, if you manage it, lengthen its auto-stop for the day. In</w:t>
            </w:r>
            <w:r>
              <w:t xml:space="preserve"> </w:t>
            </w:r>
            <w:r>
              <w:rPr>
                <w:b/>
                <w:bCs/>
              </w:rPr>
              <w:t xml:space="preserve">Jobs &amp; Pipelines</w:t>
            </w:r>
            <w:r>
              <w:t xml:space="preserve">, check that the 06:00 run of</w:t>
            </w:r>
            <w:r>
              <w:t xml:space="preserve"> </w:t>
            </w:r>
            <w:r>
              <w:rPr>
                <w:b/>
                <w:bCs/>
              </w:rPr>
              <w:t xml:space="preserve">SMBC Workshop: daily data refresh</w:t>
            </w:r>
            <w:r>
              <w:t xml:space="preserve"> </w:t>
            </w:r>
            <w:r>
              <w:t xml:space="preserve">succeeded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5"/>
    <w:bookmarkStart w:id="16"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6"/>
    <w:bookmarkStart w:id="17"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2.7).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gold reference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(section 2.11).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spacing w:before="200"/>
      </w:pPr>
      <w:r>
        <w:t xml:space="preserve">If the organisers swap the last two slots (guide §2), the prizes close the session and the raffle draw comes straight after the survey.</w:t>
      </w:r>
    </w:p>
    <w:bookmarkEnd w:id="17"/>
    <w:bookmarkStart w:id="18"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653"/>
        <w:gridCol w:w="4985"/>
      </w:tblGrid>
      <w:tr>
        <w:trPr>
          <w:tblHeader w:val="on"/>
        </w:trPr>
        <w:tc>
          <w:tcPr>
            <w:tcW w:w="46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49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The daily data job's 06:00 run failed (you get an email)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Open the run to see which task failed. If it's</w:t>
            </w:r>
            <w:r>
              <w:t xml:space="preserve"> </w:t>
            </w:r>
            <w:r>
              <w:rPr>
                <w:rStyle w:val="VerbatimChar"/>
              </w:rPr>
              <w:t xml:space="preserve">generate_data</w:t>
            </w:r>
            <w:r>
              <w:t xml:space="preserve">, the tables weren't touched. Otherwise fix the cause and click</w:t>
            </w:r>
            <w:r>
              <w:t xml:space="preserve"> </w:t>
            </w:r>
            <w:r>
              <w:rPr>
                <w:b/>
                <w:bCs/>
              </w:rPr>
              <w:t xml:space="preserve">Run now</w:t>
            </w:r>
            <w:r>
              <w:t xml:space="preserve">, or run</w:t>
            </w:r>
            <w:r>
              <w:t xml:space="preserve"> </w:t>
            </w:r>
            <w:r>
              <w:rPr>
                <w:rStyle w:val="VerbatimChar"/>
              </w:rPr>
              <w:t xml:space="preserve">00_master_setup</w:t>
            </w:r>
            <w:r>
              <w:t xml:space="preserve"> </w:t>
            </w:r>
            <w:r>
              <w:t xml:space="preserve">again;</w:t>
            </w:r>
            <w:r>
              <w:t xml:space="preserve"> </w:t>
            </w:r>
            <w:r>
              <w:rPr>
                <w:rStyle w:val="VerbatimChar"/>
              </w:rPr>
              <w:t xml:space="preserve">07_check_requirements</w:t>
            </w:r>
            <w:r>
              <w:t xml:space="preserve"> </w:t>
            </w:r>
            <w:r>
              <w:t xml:space="preserve">confirms the tables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gold reference tables; Lab 2 doesn't depend on Lab 1</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spacing w:before="200"/>
      </w:pPr>
      <w:r>
        <w:rPr>
          <w:b/>
          <w:bCs/>
        </w:rPr>
        <w:t xml:space="preserve">Recordings to make the day before</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8"/>
    <w:bookmarkStart w:id="19" w:name="X53f38a644c195c26de836fb4e5bfd21d7f92adc"/>
    <w:p>
      <w:pPr>
        <w:pStyle w:val="Heading2"/>
      </w:pPr>
      <w:r>
        <w:t xml:space="preserve">2.6 Dry run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Genie Code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spacing w:before="200"/>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9"/>
    <w:bookmarkStart w:id="20" w:name="X47c3c66b80dccacc9bb53089ebce152d0f6d4c1"/>
    <w:p>
      <w:pPr>
        <w:pStyle w:val="Heading2"/>
      </w:pPr>
      <w:r>
        <w:t xml:space="preserve">2.7 Executive briefing: notes for Richard and Peter</w:t>
      </w:r>
    </w:p>
    <w:p>
      <w:pPr>
        <w:pStyle w:val="FirstParagraph"/>
      </w:pPr>
      <w:r>
        <w:t xml:space="preserve">Agree these two days before the workshop.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20"/>
    <w:bookmarkStart w:id="21"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spacing w:before="200"/>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spacing w:before="200"/>
      </w:pPr>
      <w:r>
        <w:rPr>
          <w:b/>
          <w:bCs/>
        </w:rPr>
        <w:t xml:space="preserve">Catching up:</w:t>
      </w:r>
      <w:r>
        <w:t xml:space="preserve"> </w:t>
      </w:r>
      <w:r>
        <w:t xml:space="preserve">anyone can carry on from the reference tables in</w:t>
      </w:r>
      <w:r>
        <w:t xml:space="preserve"> </w:t>
      </w:r>
      <w:r>
        <w:rPr>
          <w:rStyle w:val="VerbatimChar"/>
        </w:rPr>
        <w:t xml:space="preserve">smbc_workshop.gold</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1"/>
    <w:bookmarkStart w:id="25"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2"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bookmarkEnd w:id="22"/>
    <w:bookmarkStart w:id="23"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3"/>
    <w:bookmarkStart w:id="24"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bookmarkEnd w:id="24"/>
    <w:bookmarkEnd w:id="25"/>
    <w:bookmarkStart w:id="33"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6"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6"/>
    <w:bookmarkStart w:id="27"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7"/>
    <w:bookmarkStart w:id="28"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8"/>
    <w:bookmarkStart w:id="29"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9"/>
    <w:bookmarkStart w:id="30"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30"/>
    <w:bookmarkStart w:id="31"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1"/>
    <w:bookmarkStart w:id="32"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2"/>
    <w:bookmarkEnd w:id="33"/>
    <w:bookmarkStart w:id="34"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 business users open dashboards and ask questions, without the rest of the workspace?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Users with only Consumer access land there, and see only what's been shared with them.</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spacing w:before="200"/>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4"/>
    <w:bookmarkStart w:id="37" w:name="Xef549c501c4442434b464fb58e0447ef79c1b92"/>
    <w:p>
      <w:pPr>
        <w:pStyle w:val="Heading2"/>
      </w:pPr>
      <w:r>
        <w:t xml:space="preserve">2.12 Polls and survey</w:t>
      </w:r>
    </w:p>
    <w:p>
      <w:pPr>
        <w:pStyle w:val="FirstParagraph"/>
      </w:pPr>
      <w:r>
        <w:t xml:space="preserve">Set these up</w:t>
      </w:r>
      <w:r>
        <w:t xml:space="preserve"> </w:t>
      </w:r>
      <w:r>
        <w:rPr>
          <w:b/>
          <w:bCs/>
        </w:rPr>
        <w:t xml:space="preserve">the day before the workshop</w:t>
      </w:r>
      <w:r>
        <w:t xml:space="preserve">: polls and Q&amp;A in Slido, and the survey in Slido or Microsoft Forms, whichever SMBC allows. The quiz runs in Slido too: enter the 12 questions from section 2.11 as a Slido quiz.</w:t>
      </w:r>
    </w:p>
    <w:bookmarkStart w:id="35"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5"/>
    <w:bookmarkStart w:id="36"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spacing w:before="200"/>
      </w:pPr>
      <w:r>
        <w:t xml:space="preserve">Say on the survey how emails will be used (the raffle draw and the recap email only). Draw the winners from respondents who left an email, and announce them at the close, or in the recap email if the survey stays open.</w:t>
      </w:r>
    </w:p>
    <w:bookmarkEnd w:id="36"/>
    <w:bookmarkEnd w:id="37"/>
    <w:bookmarkStart w:id="40"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spacing w:before="200"/>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time with us.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8">
        <w:r>
          <w:rPr>
            <w:rStyle w:val="Hyperlink"/>
          </w:rPr>
          <w:t xml:space="preserve">https://www.databricks.com/learn/training</w:t>
        </w:r>
      </w:hyperlink>
      <w:r>
        <w:t xml:space="preserve">, and Databricks Free Edition at</w:t>
      </w:r>
      <w:r>
        <w:t xml:space="preserve"> </w:t>
      </w:r>
      <w:hyperlink r:id="rId39">
        <w:r>
          <w:rPr>
            <w:rStyle w:val="Hyperlink"/>
          </w:rPr>
          <w:t xml:space="preserve">https://www.databricks.com/learn/free-edition</w:t>
        </w:r>
      </w:hyperlink>
    </w:p>
    <w:p>
      <w:pPr>
        <w:pStyle w:val="BlockText"/>
        <w:spacing w:before="200"/>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40"/>
    <w:bookmarkEnd w:id="41"/>
    <w:bookmarkStart w:id="73"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2"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 The workshop's</w:t>
      </w:r>
      <w:r>
        <w:t xml:space="preserve"> </w:t>
      </w:r>
      <w:r>
        <w:rPr>
          <w:b/>
          <w:bCs/>
        </w:rPr>
        <w:t xml:space="preserve">Labs</w:t>
      </w:r>
      <w:r>
        <w:t xml:space="preserve"> </w:t>
      </w:r>
      <w:r>
        <w:t xml:space="preserve">folder has one notebook per session, from</w:t>
      </w:r>
      <w:r>
        <w:t xml:space="preserve"> </w:t>
      </w:r>
      <w:r>
        <w:rPr>
          <w:i/>
          <w:iCs/>
        </w:rPr>
        <w:t xml:space="preserve">00 Start here</w:t>
      </w:r>
      <w:r>
        <w:t xml:space="preserve"> </w:t>
      </w:r>
      <w:r>
        <w:t xml:space="preserve">to</w:t>
      </w:r>
      <w:r>
        <w:t xml:space="preserve"> </w:t>
      </w:r>
      <w:r>
        <w:rPr>
          <w:i/>
          <w:iCs/>
        </w:rPr>
        <w:t xml:space="preserve">04 Kit and help</w:t>
      </w:r>
      <w:r>
        <w:t xml:space="preserve">; clone one (</w:t>
      </w:r>
      <w:r>
        <w:rPr>
          <w:b/>
          <w:bCs/>
        </w:rPr>
        <w:t xml:space="preserve">File → Clone</w:t>
      </w:r>
      <w:r>
        <w:t xml:space="preserve">) to run its cells.</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spacing w:before="200"/>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reference tables in</w:t>
      </w:r>
      <w:r>
        <w:t xml:space="preserve"> </w:t>
      </w:r>
      <w:r>
        <w:rPr>
          <w:rStyle w:val="VerbatimChar"/>
        </w:rPr>
        <w:t xml:space="preserve">smbc_workshop.gold</w:t>
      </w:r>
      <w:r>
        <w:t xml:space="preserve"> </w:t>
      </w:r>
      <w:r>
        <w:t xml:space="preserve">hold the Lab 1 result, so you can carry on with Lab 2 and the Genie Code segment whatever happens in Lab 1.</w:t>
      </w:r>
    </w:p>
    <w:bookmarkEnd w:id="42"/>
    <w:bookmarkStart w:id="47"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3" w:name="the-story-the-monday-exposure-report"/>
    <w:p>
      <w:pPr>
        <w:pStyle w:val="Heading3"/>
      </w:pPr>
      <w:r>
        <w:t xml:space="preserve">The story: the Monday exposure report</w:t>
      </w:r>
    </w:p>
    <w:p>
      <w:pPr>
        <w:pStyle w:val="FirstParagraph"/>
      </w:pPr>
      <w:r>
        <w:t xml:space="preserve">It's 8:00 on Monday at the APAC hub. The Credit Committee meets at 10:00 and wants the top counterparty-group exposures across all 12 booking branches, in USD and JPY. Behind it is the question the CDAO asks the room at the start of the day:</w:t>
      </w:r>
      <w:r>
        <w:t xml:space="preserve"> </w:t>
      </w:r>
      <w:r>
        <w:rPr>
          <w:i/>
          <w:iCs/>
        </w:rPr>
        <w:t xml:space="preserve">"Which client groups are closest to their limits, and why?"</w:t>
      </w:r>
    </w:p>
    <w:p>
      <w:pPr>
        <w:pStyle w:val="BodyText"/>
      </w:pPr>
      <w:r>
        <w:rPr>
          <w:b/>
          <w:bCs/>
        </w:rPr>
        <w:t xml:space="preserve">Why that's hard today.</w:t>
      </w:r>
      <w:r>
        <w:t xml:space="preserve"> </w:t>
      </w:r>
      <w:r>
        <w:t xml:space="preserve">A group's exposure is spread across subsidiaries in several countries, booked in different branches and currencies, so no single system adds it up. Answering means four system extracts, the risk team's spreadsheet of limits and days of reconciliation, and the extracts have the problems in the notes below. A group can creep towards its limit without any one report showing it. And the committee asks in the bank's own terms, such as</w:t>
      </w:r>
      <w:r>
        <w:t xml:space="preserve"> </w:t>
      </w:r>
      <w:r>
        <w:rPr>
          <w:i/>
          <w:iCs/>
        </w:rPr>
        <w:t xml:space="preserve">"the end of FY2026 H1"</w:t>
      </w:r>
      <w:r>
        <w:t xml:space="preserve">, which a tool that assumes a calendar year gets wrong.</w:t>
      </w:r>
    </w:p>
    <w:p>
      <w:pPr>
        <w:pStyle w:val="BodyText"/>
      </w:pPr>
      <w:r>
        <w:rPr>
          <w:b/>
          <w:bCs/>
        </w:rPr>
        <w:t xml:space="preserve">How you solve it, one session at a time:</w:t>
      </w:r>
    </w:p>
    <w:tbl>
      <w:tblPr>
        <w:tblStyle w:val="Table"/>
        <w:tblW w:type="pct" w:w="5000"/>
        <w:tblLayout w:type="fixed"/>
        <w:tblLook w:firstRow="1" w:lastRow="0" w:firstColumn="0" w:lastColumn="0" w:noHBand="0" w:noVBand="0" w:val="0020"/>
      </w:tblPr>
      <w:tblGrid>
        <w:gridCol w:w="1770"/>
        <w:gridCol w:w="3934"/>
        <w:gridCol w:w="3934"/>
      </w:tblGrid>
      <w:tr>
        <w:trPr>
          <w:tblHeader w:val="on"/>
        </w:trPr>
        <w:tc>
          <w:tcPr>
            <w:tcW w:w="177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Session</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you build or use</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solves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1: automate it</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Lakeflow Designer</w:t>
            </w:r>
            <w:r>
              <w:t xml:space="preserve"> </w:t>
            </w:r>
            <w:r>
              <w:t xml:space="preserve">pipeline from the raw extracts to your own</w:t>
            </w:r>
            <w:r>
              <w:t xml:space="preserve"> </w:t>
            </w:r>
            <w:r>
              <w:rPr>
                <w:rStyle w:val="VerbatimChar"/>
              </w:rPr>
              <w:t xml:space="preserve">gold_group_exposure</w:t>
            </w:r>
            <w:r>
              <w:t xml:space="preserve"> </w:t>
            </w:r>
            <w:r>
              <w:t xml:space="preserve">table, scheduled daily with</w:t>
            </w:r>
            <w:r>
              <w:t xml:space="preserve"> </w:t>
            </w:r>
            <w:r>
              <w:rPr>
                <w:b/>
                <w:bCs/>
              </w:rPr>
              <w:t xml:space="preserve">Lakeflow Jobs</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One trusted figure per group and month: duplicates removed; currencies, dates and FX rates fixed; bad rows held back with a reason; every step visible as code and as lineage</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2: make it self-service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An</w:t>
            </w:r>
            <w:r>
              <w:t xml:space="preserve"> </w:t>
            </w:r>
            <w:r>
              <w:rPr>
                <w:b/>
                <w:bCs/>
              </w:rPr>
              <w:t xml:space="preserve">AI/BI dashboard</w:t>
            </w:r>
            <w:r>
              <w:t xml:space="preserve"> </w:t>
            </w:r>
            <w:r>
              <w:t xml:space="preserve">for the Credit Committee and a</w:t>
            </w:r>
            <w:r>
              <w:t xml:space="preserve"> </w:t>
            </w:r>
            <w:r>
              <w:rPr>
                <w:b/>
                <w:bCs/>
              </w:rPr>
              <w:t xml:space="preserve">Genie Agent</w:t>
            </w:r>
            <w:r>
              <w:t xml:space="preserve">, shared through</w:t>
            </w:r>
            <w:r>
              <w:t xml:space="preserve"> </w:t>
            </w:r>
            <w:r>
              <w:rPr>
                <w:b/>
                <w:bCs/>
              </w:rPr>
              <w:t xml:space="preserve">Genie One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the committee always asks, on one page: total exposure, the largest groups and how close each is to its limit, the trend, and a watchlist. New questions answered in plain English or Japanese, using the April-to-March fiscal year you teach the agent, with the SQL behind every answer</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Genie Code: find out why</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in a notebook</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What changed since April; how much of a group's rise is currency movement rather than new lending; and a legacy SQL procedure rewritten for Databricks, with you in control of what runs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All day: governance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Unity Catalog</w:t>
            </w:r>
            <w:r>
              <w:t xml:space="preserve">, under everything you build</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Lineage, data-quality checks and permissions that follow the data: a Genie Agent shows each person only the branches and borrower names they're allowed to see</w:t>
            </w:r>
          </w:p>
        </w:tc>
      </w:tr>
    </w:tbl>
    <w:p>
      <w:pPr>
        <w:pStyle w:val="BodyText"/>
        <w:spacing w:before="200"/>
      </w:pPr>
      <w:r>
        <w:t xml:space="preserve">By the end of the day you can answer the CDAO's question yourself, with numbers you can trace back to the source files. The quiz checks what you found.</w:t>
      </w:r>
    </w:p>
    <w:bookmarkEnd w:id="43"/>
    <w:bookmarkStart w:id="44"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4"/>
    <w:bookmarkStart w:id="45"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5"/>
    <w:bookmarkStart w:id="46" w:name="reference-tables-bronze-silver-and-gold"/>
    <w:p>
      <w:pPr>
        <w:pStyle w:val="Heading3"/>
      </w:pPr>
      <w:r>
        <w:t xml:space="preserve">Reference tables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w:t>
      </w:r>
    </w:p>
    <w:p>
      <w:pPr>
        <w:pStyle w:val="FirstParagraph"/>
      </w:pPr>
      <w:r>
        <w:t xml:space="preserve">The reference solution to Lab 1, in the medallion layout. Anyone can use the gold tables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w:t>
            </w:r>
            <w:r>
              <w:t xml:space="preserve">, including</w:t>
            </w:r>
            <w:r>
              <w:t xml:space="preserve"> </w:t>
            </w:r>
            <w:r>
              <w:rPr>
                <w:rStyle w:val="VerbatimChar"/>
              </w:rPr>
              <w:t xml:space="preserve">silver.quarantine_facilities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delivered, as tables</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Where the cleaning starts</w:t>
            </w:r>
          </w:p>
        </w:tc>
      </w:tr>
    </w:tbl>
    <w:bookmarkEnd w:id="46"/>
    <w:bookmarkEnd w:id="47"/>
    <w:bookmarkStart w:id="50"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gold reference tables have the same result. Work in pairs, ideally one analyst and one engineer, with the engineer driving.</w:t>
      </w:r>
    </w:p>
    <w:bookmarkStart w:id="48" w:name="core-path"/>
    <w:p>
      <w:pPr>
        <w:pStyle w:val="Heading3"/>
      </w:pPr>
      <w:r>
        <w:t xml:space="preserve">Core path</w:t>
      </w:r>
    </w:p>
    <w:p>
      <w:pPr>
        <w:pStyle w:val="FirstParagraph"/>
      </w:pPr>
      <w:r>
        <w:rPr>
          <w:b/>
          <w:bCs/>
        </w:rPr>
        <w:t xml:space="preserve">0. Find your schema (1 min).</w:t>
      </w:r>
      <w:r>
        <w:t xml:space="preserve"> </w:t>
      </w:r>
      <w:r>
        <w:t xml:space="preserve">Your check-in created it and showed its name: the part of your email address before the @, for example</w:t>
      </w:r>
      <w:r>
        <w:t xml:space="preserve"> </w:t>
      </w:r>
      <w:r>
        <w:rPr>
          <w:rStyle w:val="VerbatimChar"/>
        </w:rPr>
        <w:t xml:space="preserve">jane_tan</w:t>
      </w:r>
      <w:r>
        <w:t xml:space="preserve">. Find it in</w:t>
      </w:r>
      <w:r>
        <w:t xml:space="preserve"> </w:t>
      </w:r>
      <w:r>
        <w:rPr>
          <w:b/>
          <w:bCs/>
        </w:rPr>
        <w:t xml:space="preserve">Catalog Explorer</w:t>
      </w:r>
      <w:r>
        <w:t xml:space="preserve"> </w:t>
      </w:r>
      <w:r>
        <w:t xml:space="preserve">→</w:t>
      </w:r>
      <w:r>
        <w:t xml:space="preserve"> </w:t>
      </w:r>
      <w:r>
        <w:rPr>
          <w:rStyle w:val="VerbatimChar"/>
        </w:rPr>
        <w:t xml:space="preserve">smbc_workshop</w:t>
      </w:r>
      <w:r>
        <w:t xml:space="preserve">. Not there? Run the check-in block (A.1) again.</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spacing w:before="200"/>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spacing w:before="200"/>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spacing w:before="200"/>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spacing w:before="200"/>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(notebook</w:t>
      </w:r>
      <w:r>
        <w:t xml:space="preserve"> </w:t>
      </w:r>
      <w:r>
        <w:rPr>
          <w:i/>
          <w:iCs/>
        </w:rPr>
        <w:t xml:space="preserve">01</w:t>
      </w:r>
      <w:r>
        <w:t xml:space="preserve"> </w:t>
      </w:r>
      <w:r>
        <w:t xml:space="preserve">in the Labs folder works out your schema for you);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smbc_workshop.gold.group_exposure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8"/>
    <w:bookmarkStart w:id="49"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bookmarkEnd w:id="49"/>
    <w:bookmarkEnd w:id="50"/>
    <w:bookmarkStart w:id="53"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gold</w:t>
      </w:r>
      <w:r>
        <w:t xml:space="preserve"> </w:t>
      </w:r>
      <w:r>
        <w:t xml:space="preserve">reference tables (</w:t>
      </w:r>
      <w:r>
        <w:rPr>
          <w:rStyle w:val="VerbatimChar"/>
        </w:rPr>
        <w:t xml:space="preserve">smbc_workshop.gold.group_exposure</w:t>
      </w:r>
      <w:r>
        <w:t xml:space="preserve"> </w:t>
      </w:r>
      <w:r>
        <w:t xml:space="preserve">and</w:t>
      </w:r>
      <w:r>
        <w:t xml:space="preserve"> </w:t>
      </w:r>
      <w:r>
        <w:rPr>
          <w:rStyle w:val="VerbatimChar"/>
        </w:rPr>
        <w:t xml:space="preserve">smbc_workshop.gold.facility_exposure</w:t>
      </w:r>
      <w:r>
        <w:t xml:space="preserve">) so everyone's answers match. If you finished Lab 1, your own tables give the same numbers.</w:t>
      </w:r>
    </w:p>
    <w:bookmarkStart w:id="51"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gold tables.</w:t>
      </w:r>
    </w:p>
    <w:p>
      <w:pPr>
        <w:pStyle w:val="Compact"/>
        <w:numPr>
          <w:ilvl w:val="0"/>
          <w:numId w:val="1029"/>
        </w:numPr>
      </w:pPr>
      <w:r>
        <w:t xml:space="preserve">On the canvas, ask Genie Code:</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spacing w:before="200"/>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gold tables (</w:t>
      </w:r>
      <w:r>
        <w:rPr>
          <w:rStyle w:val="VerbatimChar"/>
        </w:rPr>
        <w:t xml:space="preserve">group_exposure</w:t>
      </w:r>
      <w:r>
        <w:t xml:space="preserve"> </w:t>
      </w:r>
      <w:r>
        <w:t xml:space="preserve">and</w:t>
      </w:r>
      <w:r>
        <w:t xml:space="preserve"> </w:t>
      </w:r>
      <w:r>
        <w:rPr>
          <w:rStyle w:val="VerbatimChar"/>
        </w:rPr>
        <w:t xml:space="preserve">facility_exposure</w:t>
      </w:r>
      <w:r>
        <w:t xml:space="preserve">),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31"/>
        </w:numPr>
      </w:pPr>
      <w:r>
        <w:t xml:space="preserve">Add the starter instructions (A.3), the two example SQL queries (A.5) and the common questions (A.6).</w:t>
      </w:r>
    </w:p>
    <w:p>
      <w:pPr>
        <w:pStyle w:val="FirstParagraph"/>
        <w:spacing w:before="200"/>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spacing w:before="200"/>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51"/>
    <w:bookmarkStart w:id="52"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bookmarkEnd w:id="52"/>
    <w:bookmarkEnd w:id="53"/>
    <w:bookmarkStart w:id="54"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notebook</w:t>
      </w:r>
      <w:r>
        <w:t xml:space="preserve"> </w:t>
      </w:r>
      <w:r>
        <w:rPr>
          <w:i/>
          <w:iCs/>
        </w:rPr>
        <w:t xml:space="preserve">03</w:t>
      </w:r>
      <w:r>
        <w:t xml:space="preserve"> </w:t>
      </w:r>
      <w:r>
        <w:t xml:space="preserve">in the Labs folder, which has the prompts (A.8) and the legacy procedure (A.9).</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bookmarkEnd w:id="54"/>
    <w:bookmarkStart w:id="61"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9">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9">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60">
              <w:r>
                <w:rPr>
                  <w:rStyle w:val="Hyperlink"/>
                </w:rPr>
                <w:t xml:space="preserve">https://learn.microsoft.com/azure/databricks/genie-code/</w:t>
              </w:r>
            </w:hyperlink>
          </w:p>
        </w:tc>
      </w:tr>
    </w:tbl>
    <w:bookmarkEnd w:id="61"/>
    <w:bookmarkStart w:id="71" w:name="appendix-a-copy-paste-kit"/>
    <w:p>
      <w:pPr>
        <w:pStyle w:val="Heading2"/>
      </w:pPr>
      <w:r>
        <w:t xml:space="preserve">Appendix A: Copy-paste kit</w:t>
      </w:r>
    </w:p>
    <w:bookmarkStart w:id="62"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2"/>
    <w:bookmarkStart w:id="63"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3"/>
    <w:bookmarkStart w:id="64"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4"/>
    <w:bookmarkStart w:id="65"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5"/>
    <w:bookmarkStart w:id="66"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smbc_workshop.gold.group_exposure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smbc_workshop.gold.group_exposure)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spacing w:before="200"/>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smbc_workshop.gold.facility_exposure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6"/>
    <w:bookmarkStart w:id="67"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7"/>
    <w:bookmarkStart w:id="68"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smbc_workshop.gold.facility_exposure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smbc_workshop.gold.group_exposure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smbc_workshop.gold.group_exposure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smbc_workshop.gold.group_exposure WHERE parent_group_id = (SELECT parent_group_id FROM smbc_workshop.gold.group_exposure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smbc_workshop.gold.facility_exposure WHERE as_of_date = '2026-09-30' AND booking_branch = 'SGN' AND source_system = 'TRADE_FIN'</w:t>
            </w:r>
          </w:p>
        </w:tc>
      </w:tr>
    </w:tbl>
    <w:bookmarkEnd w:id="68"/>
    <w:bookmarkStart w:id="69" w:name="Xb3d8e474c82359234fd09f77a8d7b31c614c80c"/>
    <w:p>
      <w:pPr>
        <w:pStyle w:val="Heading3"/>
      </w:pPr>
      <w:r>
        <w:t xml:space="preserve">A.8 Genie Code prompts (AI-assisted development segment)</w:t>
      </w:r>
    </w:p>
    <w:p>
      <w:pPr>
        <w:pStyle w:val="SourceCode"/>
      </w:pPr>
      <w:r>
        <w:rPr>
          <w:rStyle w:val="VerbatimChar"/>
        </w:rPr>
        <w:t xml:space="preserve">Profile smbc_workshop.gold.group_exposure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smbc_workshop.gold.facility_exposure.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smbc_workshop.gold tables. Just explain first, don't run any code.</w:t>
      </w:r>
      <w:r>
        <w:br/>
      </w:r>
      <w:r>
        <w:rPr>
          <w:rStyle w:val="VerbatimChar"/>
        </w:rPr>
        <w:t xml:space="preserve">&lt;paste A.9&gt;</w:t>
      </w:r>
    </w:p>
    <w:bookmarkEnd w:id="69"/>
    <w:bookmarkStart w:id="70"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bookmarkEnd w:id="70"/>
    <w:bookmarkEnd w:id="71"/>
    <w:bookmarkStart w:id="72"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 Genie Agent's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2"/>
    <w:bookmarkEnd w:id="73"/>
    <w:bookmarkStart w:id="89"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6"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w:t>
      </w:r>
      <w:r>
        <w:t xml:space="preserve"> </w:t>
      </w:r>
      <w:r>
        <w:rPr>
          <w:b/>
          <w:bCs/>
        </w:rPr>
        <w:t xml:space="preserve">at least two days before the workshop</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4"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64"/>
        <w:gridCol w:w="2002"/>
        <w:gridCol w:w="1766"/>
        <w:gridCol w:w="1411"/>
        <w:gridCol w:w="1292"/>
        <w:gridCol w:w="1766"/>
        <w:gridCol w:w="937"/>
      </w:tblGrid>
      <w:tr>
        <w:trPr>
          <w:tblHeader w:val="on"/>
        </w:trPr>
        <w:tc>
          <w:tcPr>
            <w:tcW w:w="46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200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176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4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9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6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its prompts in Designer and on dashboards)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mode and Agent mode), chat in Genie One, Genie Code's agentic features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4"/>
    <w:bookmarkStart w:id="76"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and Genie Code's agentic capabilities, including dashboard authoring and Designer's prompts,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5">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spacing w:before="200"/>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spacing w:before="200"/>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6"/>
    <w:bookmarkStart w:id="77"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spacing w:before="200"/>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7"/>
    <w:bookmarkStart w:id="78"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8"/>
    <w:bookmarkStart w:id="79"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spacing w:before="200"/>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Labs folder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9"/>
    <w:bookmarkStart w:id="80"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(the tag is skipped if a governed tag policy rejects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smbc_workshop.bronze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reference tables (the Lab 1 solution): the extracts as tables, cleaned tables, and the gold tables Lab 2 uses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spacing w:before="200"/>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spacing w:before="200"/>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80"/>
    <w:bookmarkStart w:id="81"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81"/>
    <w:bookmarkStart w:id="82"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101"/>
        <w:gridCol w:w="2946"/>
        <w:gridCol w:w="3101"/>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10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29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310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Code's agentic capabilities)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smbc_workshop.gold.group_exposure</w:t>
            </w:r>
            <w:r>
              <w:t xml:space="preserve">; ask Genie Code for a bar chart;</w:t>
            </w:r>
            <w:r>
              <w:t xml:space="preserve"> </w:t>
            </w:r>
            <w:r>
              <w:rPr>
                <w:b/>
                <w:bCs/>
              </w:rPr>
              <w:t xml:space="preserve">Publish</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gold tables (</w:t>
            </w:r>
            <w:r>
              <w:rPr>
                <w:rStyle w:val="VerbatimChar"/>
              </w:rPr>
              <w:t xml:space="preserve">group_exposure</w:t>
            </w:r>
            <w:r>
              <w:t xml:space="preserve">,</w:t>
            </w:r>
            <w:r>
              <w:t xml:space="preserve"> </w:t>
            </w:r>
            <w:r>
              <w:rPr>
                <w:rStyle w:val="VerbatimChar"/>
              </w:rPr>
              <w:t xml:space="preserve">facility_exposure</w:t>
            </w:r>
            <w:r>
              <w:t xml:space="preserve">); ask</w:t>
            </w:r>
            <w:r>
              <w:t xml:space="preserve"> </w:t>
            </w:r>
            <w:r>
              <w:rPr>
                <w:i/>
                <w:iCs/>
              </w:rPr>
              <w:t xml:space="preserve">"Top 5 groups by exposure at the latest month end"</w:t>
            </w:r>
            <w:r>
              <w:t xml:space="preserve">, then try</w:t>
            </w:r>
            <w:r>
              <w:t xml:space="preserve"> </w:t>
            </w:r>
            <w:r>
              <w:rPr>
                <w:b/>
                <w:bCs/>
              </w:rPr>
              <w:t xml:space="preserve">Agent mode</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 mode report</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smbc_workshop.gold.group_exposure"</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Genie Code's agentic capabilities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2"/>
    <w:bookmarkStart w:id="85" w:name="Xa5d620a28da4d36d3a4410e0035cdfeb40b6c47"/>
    <w:p>
      <w:pPr>
        <w:pStyle w:val="Heading3"/>
      </w:pPr>
      <w:r>
        <w:t xml:space="preserve">3.9 What processes data where</w:t>
      </w:r>
    </w:p>
    <w:p>
      <w:pPr>
        <w:pStyle w:val="FirstParagraph"/>
      </w:pPr>
      <w:r>
        <w:t xml:space="preserve">From the</w:t>
      </w:r>
      <w:r>
        <w:t xml:space="preserve"> </w:t>
      </w:r>
      <w:hyperlink r:id="rId83">
        <w:r>
          <w:rPr>
            <w:rStyle w:val="Hyperlink"/>
          </w:rPr>
          <w:t xml:space="preserve">Designated Services</w:t>
        </w:r>
      </w:hyperlink>
      <w:r>
        <w:t xml:space="preserve"> </w:t>
      </w:r>
      <w:r>
        <w:t xml:space="preserve">page (updated 14 October 2026) and the</w:t>
      </w:r>
      <w:r>
        <w:t xml:space="preserve"> </w:t>
      </w:r>
      <w:hyperlink r:id="rId84">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spacing w:before="200"/>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bookmarkEnd w:id="85"/>
    <w:bookmarkEnd w:id="86"/>
    <w:bookmarkStart w:id="87"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3"/>
        </w:numPr>
      </w:pPr>
      <w:r>
        <w:t xml:space="preserve">a SQL warehouse to use (blank: the first pro or serverless warehouse you can use, serverless and running ones first);</w:t>
      </w:r>
    </w:p>
    <w:p>
      <w:pPr>
        <w:pStyle w:val="Compact"/>
        <w:numPr>
          <w:ilvl w:val="0"/>
          <w:numId w:val="1043"/>
        </w:numPr>
      </w:pPr>
      <w:r>
        <w:t xml:space="preserve">the other facilitators' emails (you're always included);</w:t>
      </w:r>
    </w:p>
    <w:p>
      <w:pPr>
        <w:pStyle w:val="Compact"/>
        <w:numPr>
          <w:ilvl w:val="0"/>
          <w:numId w:val="1043"/>
        </w:numPr>
      </w:pPr>
      <w:r>
        <w:t xml:space="preserve">a managed location, only if creating a catalog asks for one;</w:t>
      </w:r>
    </w:p>
    <w:p>
      <w:pPr>
        <w:pStyle w:val="Compact"/>
        <w:numPr>
          <w:ilvl w:val="0"/>
          <w:numId w:val="1043"/>
        </w:numPr>
      </w:pPr>
      <w:r>
        <w:t xml:space="preserve">who to share the dashboards, Genie Agents and Labs folder with (default</w:t>
      </w:r>
      <w:r>
        <w:t xml:space="preserve"> </w:t>
      </w:r>
      <w:r>
        <w:rPr>
          <w:rStyle w:val="VerbatimChar"/>
        </w:rPr>
        <w:t xml:space="preserve">users</w:t>
      </w:r>
      <w:r>
        <w:t xml:space="preserve">: everyone in the workspace).</w:t>
      </w:r>
    </w:p>
    <w:p>
      <w:pPr>
        <w:pStyle w:val="FirstParagraph"/>
        <w:spacing w:before="200"/>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setup/02_build_bronze_silver_gold</w:t>
            </w:r>
            <w:r>
              <w:t xml:space="preserve"> </w:t>
            </w:r>
            <w:r>
              <w:t xml:space="preserve">(SQL): builds the reference tables in the</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 </w:t>
            </w:r>
            <w:r>
              <w:t xml:space="preserve">schemas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setup/03_validate_bronze_silver_gold</w:t>
            </w:r>
            <w:r>
              <w:t xml:space="preserve">: compares those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attendee notebooks in</w:t>
            </w:r>
            <w:r>
              <w:t xml:space="preserve"> </w:t>
            </w:r>
            <w:r>
              <w:rPr>
                <w:rStyle w:val="VerbatimChar"/>
              </w:rPr>
              <w:t xml:space="preserve">labs/</w:t>
            </w:r>
            <w:r>
              <w:t xml:space="preserve"> </w:t>
            </w:r>
            <w:r>
              <w:t xml:space="preserve">into a</w:t>
            </w:r>
            <w:r>
              <w:t xml:space="preserve"> </w:t>
            </w:r>
            <w:r>
              <w:rPr>
                <w:b/>
                <w:bCs/>
              </w:rPr>
              <w:t xml:space="preserve">Labs</w:t>
            </w:r>
            <w:r>
              <w:t xml:space="preserve"> </w:t>
            </w:r>
            <w:r>
              <w:t xml:space="preserve">folder; and shares all of them with everyone in the workspace. It also creates the job</w:t>
            </w:r>
            <w:r>
              <w:t xml:space="preserve"> </w:t>
            </w:r>
            <w:r>
              <w:rPr>
                <w:b/>
                <w:bCs/>
              </w:rPr>
              <w:t xml:space="preserve">SMBC Workshop: daily data refresh</w:t>
            </w:r>
            <w:r>
              <w:t xml:space="preserve">, which regenerates the data and rebuilds and validates the reference tables every day at 06:00 Singapore time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spacing w:before="200"/>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w:t>
      </w:r>
      <w:r>
        <w:t xml:space="preserve"> </w:t>
      </w:r>
      <w:r>
        <w:rPr>
          <w:rStyle w:val="VerbatimChar"/>
        </w:rPr>
        <w:t xml:space="preserve">genie_agents.py</w:t>
      </w:r>
      <w:r>
        <w:t xml:space="preserve"> </w:t>
      </w:r>
      <w:r>
        <w:t xml:space="preserve">and</w:t>
      </w:r>
      <w:r>
        <w:t xml:space="preserve"> </w:t>
      </w:r>
      <w:r>
        <w:rPr>
          <w:rStyle w:val="VerbatimChar"/>
        </w:rPr>
        <w:t xml:space="preserve">data_job.py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and so is the daily data job: each morning it writes the same files and tables, an hour before the 07:00 schedule attendees give their Lab 1 pipeline. If a run fails, whoever ran step 6 gets an email. Late registrations need nothing from the setup: once they can sign in and have access to the catalog, their check-in creates their schema.</w:t>
      </w:r>
    </w:p>
    <w:bookmarkEnd w:id="87"/>
    <w:bookmarkStart w:id="88" w:name="X619fa5f6e8179904930625f3a8be4545e9a5b1d"/>
    <w:p>
      <w:pPr>
        <w:pStyle w:val="Heading2"/>
      </w:pPr>
      <w:r>
        <w:t xml:space="preserve">5. Participant pre-work</w:t>
      </w:r>
    </w:p>
    <w:p>
      <w:pPr>
        <w:pStyle w:val="FirstParagraph"/>
      </w:pPr>
      <w:r>
        <w:t xml:space="preserve">Send</w:t>
      </w:r>
      <w:r>
        <w:t xml:space="preserve"> </w:t>
      </w:r>
      <w:r>
        <w:rPr>
          <w:b/>
          <w:bCs/>
        </w:rPr>
        <w:t xml:space="preserve">two days before the workshop</w:t>
      </w:r>
      <w:r>
        <w:t xml:space="preserve">:</w:t>
      </w:r>
    </w:p>
    <w:p>
      <w:pPr>
        <w:pStyle w:val="BlockText"/>
      </w:pPr>
      <w:r>
        <w:rPr>
          <w:b/>
          <w:bCs/>
        </w:rPr>
        <w:t xml:space="preserve">Subject: Before the Databricks workshop: 2-minute login check</w:t>
      </w:r>
    </w:p>
    <w:p>
      <w:pPr>
        <w:pStyle w:val="BlockText"/>
      </w:pPr>
      <w:r>
        <w:t xml:space="preserve">Hi all, we're looking forward to seeing you at the workshop.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spacing w:before="200"/>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bookmarkEnd w:id="88"/>
    <w:bookmarkEnd w:id="89"/>
    <w:bookmarkStart w:id="147"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6" w:name="welcome-and-check-in--000"/>
    <w:p>
      <w:pPr>
        <w:pStyle w:val="Heading2"/>
      </w:pPr>
      <w:r>
        <w:t xml:space="preserve">Welcome and check-in · 0:00</w:t>
      </w:r>
    </w:p>
    <w:bookmarkStart w:id="90"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90"/>
    <w:bookmarkStart w:id="91"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Fill in the warehouse name that 00_master_setup printed at the end.</w:t>
      </w:r>
    </w:p>
    <w:p>
      <w:pPr>
        <w:pStyle w:val="Compact"/>
        <w:numPr>
          <w:ilvl w:val="0"/>
          <w:numId w:val="1046"/>
        </w:numPr>
      </w:pPr>
      <w:r>
        <w:t xml:space="preserve">The check-in block writes one row to smbc_workshop.ops.checkin and creates the attendee's Lab 1 schema; the progress board shows both live. Put the board on the second screen.</w:t>
      </w:r>
    </w:p>
    <w:p>
      <w:pPr>
        <w:pStyle w:val="Compact"/>
        <w:numPr>
          <w:ilvl w:val="0"/>
          <w:numId w:val="1046"/>
        </w:numPr>
      </w:pPr>
      <w:r>
        <w:t xml:space="preserve">A permission error means the person doesn't have access to smbc_workshop yet (guide 3.6): a facilitator fixes it.</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91"/>
    <w:bookmarkStart w:id="92"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The reference tables in bronze, silver and gold mean nobody gets stuck: if Lab 1 runs long, Lab 2 still works.</w:t>
      </w:r>
    </w:p>
    <w:p>
      <w:pPr>
        <w:pStyle w:val="Compact"/>
        <w:numPr>
          <w:ilvl w:val="0"/>
          <w:numId w:val="1047"/>
        </w:numPr>
      </w:pPr>
      <w:r>
        <w:t xml:space="preserve">Times are relative to the start time.</w:t>
      </w:r>
    </w:p>
    <w:bookmarkEnd w:id="92"/>
    <w:bookmarkStart w:id="93"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3"/>
    <w:bookmarkStart w:id="94"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4"/>
    <w:bookmarkStart w:id="95"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5"/>
    <w:bookmarkEnd w:id="96"/>
    <w:bookmarkStart w:id="102" w:name="data-engineering-with-lakeflow--025"/>
    <w:p>
      <w:pPr>
        <w:pStyle w:val="Heading2"/>
      </w:pPr>
      <w:r>
        <w:t xml:space="preserve">Data engineering with Lakeflow · 0:25</w:t>
      </w:r>
    </w:p>
    <w:bookmarkStart w:id="97"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7"/>
    <w:bookmarkStart w:id="98"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8"/>
    <w:bookmarkStart w:id="99"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9"/>
    <w:bookmarkStart w:id="100"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100"/>
    <w:bookmarkStart w:id="101"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spacing w:before="200"/>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101"/>
    <w:bookmarkEnd w:id="102"/>
    <w:bookmarkStart w:id="115" w:name="lab-1--045"/>
    <w:p>
      <w:pPr>
        <w:pStyle w:val="Heading2"/>
      </w:pPr>
      <w:r>
        <w:t xml:space="preserve">Lab 1 · 0:45</w:t>
      </w:r>
    </w:p>
    <w:bookmarkStart w:id="103"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gold reference tables have the same result.</w:t>
      </w:r>
    </w:p>
    <w:p>
      <w:pPr>
        <w:pStyle w:val="Compact"/>
        <w:numPr>
          <w:ilvl w:val="0"/>
          <w:numId w:val="1057"/>
        </w:numPr>
      </w:pPr>
      <w:r>
        <w:t xml:space="preserve">The full steps are in the lab workbook PDF and in the Labs folder in the workspace: notebook 01 is Lab 1.</w:t>
      </w:r>
    </w:p>
    <w:p>
      <w:pPr>
        <w:pStyle w:val="Compact"/>
        <w:numPr>
          <w:ilvl w:val="0"/>
          <w:numId w:val="1057"/>
        </w:numPr>
      </w:pPr>
      <w:r>
        <w:t xml:space="preserve">Helpers: watch for red cards, and for anyone who hasn't added a Source after five minutes.</w:t>
      </w:r>
    </w:p>
    <w:bookmarkEnd w:id="103"/>
    <w:bookmarkStart w:id="104"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4"/>
    <w:bookmarkStart w:id="105"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5"/>
    <w:bookmarkStart w:id="106"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6"/>
    <w:bookmarkStart w:id="107"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7"/>
    <w:bookmarkStart w:id="108"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8"/>
    <w:bookmarkStart w:id="109"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9"/>
    <w:bookmarkStart w:id="110"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10"/>
    <w:bookmarkStart w:id="111"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Notebook 01 in the Labs folder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gold reference tables.</w:t>
      </w:r>
    </w:p>
    <w:bookmarkEnd w:id="111"/>
    <w:bookmarkStart w:id="112"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the Lakeflow Pipelines Editor, with expectations, for example CONSTRAINT valid_commitment EXPECT (committed_amount &gt; 0) ON VIOLATION DROP ROW. Compare the data-quality metrics with the Guardrails output.</w:t>
      </w:r>
    </w:p>
    <w:p>
      <w:pPr>
        <w:pStyle w:val="Compact"/>
        <w:numPr>
          <w:ilvl w:val="0"/>
          <w:numId w:val="1066"/>
        </w:numPr>
      </w:pPr>
      <w:r>
        <w:t xml:space="preserve">Document it: better metadata means better Genie answers in Lab 2.</w:t>
      </w:r>
    </w:p>
    <w:bookmarkEnd w:id="112"/>
    <w:bookmarkStart w:id="113"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3"/>
    <w:bookmarkStart w:id="114"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4"/>
    <w:bookmarkEnd w:id="115"/>
    <w:bookmarkStart w:id="121" w:name="self-service-analytics--140"/>
    <w:p>
      <w:pPr>
        <w:pStyle w:val="Heading2"/>
      </w:pPr>
      <w:r>
        <w:t xml:space="preserve">Self-service analytics · 1:40</w:t>
      </w:r>
    </w:p>
    <w:bookmarkStart w:id="116"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6"/>
    <w:bookmarkStart w:id="117"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bookmarkEnd w:id="117"/>
    <w:bookmarkStart w:id="118"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8"/>
    <w:bookmarkStart w:id="119"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9"/>
    <w:bookmarkStart w:id="120"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spacing w:before="200"/>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spacing w:before="200"/>
      </w:pPr>
      <w:r>
        <w:t xml:space="preserve">Fallback: if the Consumer-access user or Genie One chat fails, use the agent from Genie Agents in your own session.</w:t>
      </w:r>
    </w:p>
    <w:bookmarkEnd w:id="120"/>
    <w:bookmarkEnd w:id="121"/>
    <w:bookmarkStart w:id="133" w:name="lab-2--200"/>
    <w:p>
      <w:pPr>
        <w:pStyle w:val="Heading2"/>
      </w:pPr>
      <w:r>
        <w:t xml:space="preserve">Lab 2 · 2:00</w:t>
      </w:r>
    </w:p>
    <w:bookmarkStart w:id="122"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smbc_workshop.gold.group_exposure and smbc_workshop.gold.facility_exposure.</w:t>
      </w:r>
    </w:p>
    <w:bookmarkEnd w:id="122"/>
    <w:bookmarkStart w:id="123"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3"/>
    <w:bookmarkStart w:id="124"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Genie Code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4"/>
    <w:bookmarkStart w:id="125"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5"/>
    <w:bookmarkStart w:id="126"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6"/>
    <w:bookmarkStart w:id="127"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7"/>
    <w:bookmarkStart w:id="128"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8"/>
    <w:bookmarkStart w:id="129"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9"/>
    <w:bookmarkStart w:id="130"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30"/>
    <w:bookmarkStart w:id="131"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31"/>
    <w:bookmarkStart w:id="132"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2"/>
    <w:bookmarkEnd w:id="133"/>
    <w:bookmarkStart w:id="140" w:name="genie-code--255"/>
    <w:p>
      <w:pPr>
        <w:pStyle w:val="Heading2"/>
      </w:pPr>
      <w:r>
        <w:t xml:space="preserve">Genie Code · 2:55</w:t>
      </w:r>
    </w:p>
    <w:bookmarkStart w:id="134"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what it does as an agent, the legacy-SQL conversion and the approval settings.</w:t>
      </w:r>
    </w:p>
    <w:bookmarkEnd w:id="134"/>
    <w:bookmarkStart w:id="135"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Genie Code works as an agent: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5"/>
    <w:bookmarkStart w:id="136"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6"/>
    <w:bookmarkStart w:id="137"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7"/>
    <w:bookmarkStart w:id="138"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8"/>
    <w:bookmarkStart w:id="139"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9"/>
    <w:bookmarkEnd w:id="140"/>
    <w:bookmarkStart w:id="146" w:name="quiz-and-close--310"/>
    <w:p>
      <w:pPr>
        <w:pStyle w:val="Heading2"/>
      </w:pPr>
      <w:r>
        <w:t xml:space="preserve">Quiz and close · 3:10</w:t>
      </w:r>
    </w:p>
    <w:bookmarkStart w:id="141"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41"/>
    <w:bookmarkStart w:id="142"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2"/>
    <w:bookmarkStart w:id="143"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3"/>
    <w:bookmarkStart w:id="144"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4"/>
    <w:bookmarkStart w:id="145"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240" w:before="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120" w:before="48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3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ccounts.azuredatabricks.net" TargetMode="External" /><Relationship Type="http://schemas.openxmlformats.org/officeDocument/2006/relationships/hyperlink" Id="rId57" Target="https://learn.microsoft.com/azure/databricks/designer/what-is-lakeflow-designer" TargetMode="External" /><Relationship Type="http://schemas.openxmlformats.org/officeDocument/2006/relationships/hyperlink" Id="rId58" Target="https://learn.microsoft.com/azure/databricks/genie-agents/" TargetMode="External" /><Relationship Type="http://schemas.openxmlformats.org/officeDocument/2006/relationships/hyperlink" Id="rId60" Target="https://learn.microsoft.com/azure/databricks/genie-code/" TargetMode="External" /><Relationship Type="http://schemas.openxmlformats.org/officeDocument/2006/relationships/hyperlink" Id="rId59" Target="https://learn.microsoft.com/azure/databricks/genie-one/" TargetMode="External" /><Relationship Type="http://schemas.openxmlformats.org/officeDocument/2006/relationships/hyperlink" Id="rId84" Target="https://learn.microsoft.com/en-us/azure/databricks/databricks-ai/partner-powered" TargetMode="External" /><Relationship Type="http://schemas.openxmlformats.org/officeDocument/2006/relationships/hyperlink" Id="rId83" Target="https://learn.microsoft.com/en-us/azure/databricks/resources/designated-services" TargetMode="External" /><Relationship Type="http://schemas.openxmlformats.org/officeDocument/2006/relationships/hyperlink" Id="rId55" Target="https://www.databricks.com/learn/certification" TargetMode="External" /><Relationship Type="http://schemas.openxmlformats.org/officeDocument/2006/relationships/hyperlink" Id="rId39" Target="https://www.databricks.com/learn/free-edition" TargetMode="External" /><Relationship Type="http://schemas.openxmlformats.org/officeDocument/2006/relationships/hyperlink" Id="rId38" Target="https://www.databricks.com/learn/training" TargetMode="External" /><Relationship Type="http://schemas.openxmlformats.org/officeDocument/2006/relationships/hyperlink" Id="rId56"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5" Target="https://accounts.azuredatabricks.net" TargetMode="External" /><Relationship Type="http://schemas.openxmlformats.org/officeDocument/2006/relationships/hyperlink" Id="rId57" Target="https://learn.microsoft.com/azure/databricks/designer/what-is-lakeflow-designer" TargetMode="External" /><Relationship Type="http://schemas.openxmlformats.org/officeDocument/2006/relationships/hyperlink" Id="rId58" Target="https://learn.microsoft.com/azure/databricks/genie-agents/" TargetMode="External" /><Relationship Type="http://schemas.openxmlformats.org/officeDocument/2006/relationships/hyperlink" Id="rId60" Target="https://learn.microsoft.com/azure/databricks/genie-code/" TargetMode="External" /><Relationship Type="http://schemas.openxmlformats.org/officeDocument/2006/relationships/hyperlink" Id="rId59" Target="https://learn.microsoft.com/azure/databricks/genie-one/" TargetMode="External" /><Relationship Type="http://schemas.openxmlformats.org/officeDocument/2006/relationships/hyperlink" Id="rId84" Target="https://learn.microsoft.com/en-us/azure/databricks/databricks-ai/partner-powered" TargetMode="External" /><Relationship Type="http://schemas.openxmlformats.org/officeDocument/2006/relationships/hyperlink" Id="rId83" Target="https://learn.microsoft.com/en-us/azure/databricks/resources/designated-services" TargetMode="External" /><Relationship Type="http://schemas.openxmlformats.org/officeDocument/2006/relationships/hyperlink" Id="rId55" Target="https://www.databricks.com/learn/certification" TargetMode="External" /><Relationship Type="http://schemas.openxmlformats.org/officeDocument/2006/relationships/hyperlink" Id="rId39" Target="https://www.databricks.com/learn/free-edition" TargetMode="External" /><Relationship Type="http://schemas.openxmlformats.org/officeDocument/2006/relationships/hyperlink" Id="rId38" Target="https://www.databricks.com/learn/training" TargetMode="External" /><Relationship Type="http://schemas.openxmlformats.org/officeDocument/2006/relationships/hyperlink" Id="rId56"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2026-10-22T14:55:21Z</dcterms:created>
  <dcterms:modified xsi:type="dcterms:W3CDTF">2026-10-22T14:55:21Z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Facilitator guide, attendee guide and workspace setup</vt:lpwstr>
  </property>
</Properties>
</file>