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Microsoft YaHei"/>
          <w:b/>
          <w:color w:val="000000"/>
          <w:sz w:val="42"/>
        </w:rPr>
        <w:t>论文正文测试报告片段</w:t>
      </w:r>
    </w:p>
    <w:p>
      <w:pPr>
        <w:spacing w:after="280"/>
      </w:pPr>
      <w:r>
        <w:rPr>
          <w:rFonts w:ascii="Calibri" w:hAnsi="Calibri" w:eastAsia="Microsoft YaHei"/>
          <w:b w:val="0"/>
          <w:color w:val="666666"/>
          <w:sz w:val="24"/>
        </w:rPr>
        <w:t>论文正文候选片段 · Release APK 与独立逻辑压力测试</w:t>
      </w:r>
    </w:p>
    <w:p>
      <w:pPr>
        <w:spacing w:after="240"/>
      </w:pPr>
      <w:r>
        <w:rPr>
          <w:rFonts w:ascii="Calibri" w:hAnsi="Calibri" w:eastAsia="Microsoft YaHei"/>
          <w:b/>
          <w:color w:val="666666"/>
          <w:sz w:val="20"/>
        </w:rPr>
        <w:t>测试日期：2026-07-31　分支：7-31-compress　提交：ba0a443</w:t>
      </w:r>
    </w:p>
    <w:p>
      <w:pPr>
        <w:pStyle w:val="Heading3"/>
      </w:pPr>
      <w:r>
        <w:t>5.X 多轮递进式压力测试与统计验证</w:t>
      </w:r>
    </w:p>
    <w:p>
      <w:pPr>
        <w:jc w:val="both"/>
      </w:pPr>
      <w:r>
        <w:rPr>
          <w:rFonts w:ascii="Calibri" w:hAnsi="Calibri" w:eastAsia="Microsoft YaHei"/>
          <w:b w:val="0"/>
          <w:sz w:val="22"/>
        </w:rPr>
        <w:t>为提高实验结论的可信度，本研究在初始功能验证的基础上设计了四轮递进式测试。测试从 Release APK 的单批集成验证开始，随后引入独立 Ground Truth 的 Monte Carlo 随机测试、阈值边界对抗测试以及 APK 端连续耐久回归。评价指标包括 TP、FP、TN、FN、Precision、Recall、F1-score、95% Wilson 置信区间、内存占用和帧性能。对于零误判样本，另采用“3/N”规则估计真实错误率的 95% 上界。各轮样本生成机制不同，因此本文分别报告每轮结果，不将全部样本简单视为同分布独立样本。</w:t>
      </w:r>
    </w:p>
    <w:p>
      <w:pPr>
        <w:jc w:val="both"/>
      </w:pPr>
      <w:r>
        <w:rPr>
          <w:rFonts w:ascii="Calibri" w:hAnsi="Calibri" w:eastAsia="Microsoft YaHei"/>
          <w:b w:val="0"/>
          <w:sz w:val="22"/>
        </w:rPr>
        <w:t>第一轮在经 R8 和资源压缩的 Release APK 中执行 50 轮合规模拟，得到 TP=40、FP=0、TN=10、FN=0，Precision、Recall 和 F1-score 均为 100%。APK 冷启动耗时为 948 ms，审计完成后的三次 PSS 稳定在 87.92–87.99 MB。尽管该轮验证了端到端基本链路，但 N=50 时 95% Wilson 准确率下限仅为 92.865%，说明该结果更适合作为功能基线，而非充分的统计证据。</w:t>
      </w:r>
    </w:p>
    <w:p>
      <w:pPr>
        <w:jc w:val="both"/>
      </w:pPr>
      <w:r>
        <w:rPr>
          <w:rFonts w:ascii="Calibri" w:hAnsi="Calibri" w:eastAsia="Microsoft YaHei"/>
          <w:b w:val="0"/>
          <w:sz w:val="22"/>
        </w:rPr>
        <w:t>第二轮采用固定随机种子生成 1,000 个独立样本，覆盖 LOCATION、MICROPHONE 和 CONTACTS 三类权限及 0–300 次访问计数。与应用内模拟器不同，本轮由独立判定器生成 Ground Truth，以降低同源判定偏差。结果为 TP=930、FP=0、TN=70、FN=0，Precision、Recall 和 F1-score 均为 100%，95% Wilson 准确率下限提高至 99.617%，零观测错误对应的真实错误率 95% 上界约为 0.3%。</w:t>
      </w:r>
    </w:p>
    <w:p>
      <w:pPr>
        <w:jc w:val="both"/>
      </w:pPr>
      <w:r>
        <w:rPr>
          <w:rFonts w:ascii="Calibri" w:hAnsi="Calibri" w:eastAsia="Microsoft YaHei"/>
          <w:b w:val="0"/>
          <w:sz w:val="22"/>
        </w:rPr>
        <w:t>第三轮重点考察阈值附近的规避行为。测试在每类权限阈值的 -2、-1、0、+1 和 +2 位置分别重复采样，共形成 6,000 个分层样本。结果为 TP=2,400、FP=0、TN=3,600、FN=0，95% Wilson 准确率下限为 99.936%。该结果表明当前实现不存在阈值比较的 off-by-one 错误：访问次数等于阈值时保持合规，严格超过阈值时触发预警。第二、三轮合计 7,000 个独立逻辑样本无误判，准确率为 100%，95% Wilson 下限为 99.945%。</w:t>
      </w:r>
    </w:p>
    <w:p>
      <w:pPr>
        <w:jc w:val="both"/>
      </w:pPr>
      <w:r>
        <w:rPr>
          <w:rFonts w:ascii="Calibri" w:hAnsi="Calibri" w:eastAsia="Microsoft YaHei"/>
          <w:b w:val="0"/>
          <w:sz w:val="22"/>
        </w:rPr>
        <w:t>在扩大分类样本的同时，本研究进一步测试了上一轮未覆盖的攻击方向。3,000 组配对样本分别采用 24 小时均匀分布和 1 分钟突发分布，但保持总访问次数相同，所有配对均得到相同判定。这说明当前引擎只基于日总访问量，不具备短时峰值检测能力。倒置、负值、零长度和远未来时间窗同样未被拒绝；NaN、未知权限及特殊属性键等畸形输入还会导致静默正常判定、NaN 结果或运行时异常。上述现象不属于现有总量阈值规则内部的误分类，而是威胁模型与输入验证的覆盖缺口。未来版本应增加滑动时间窗或峰值速率特征，并在引擎入口实施权限白名单、有限非负整数和合法时间窗校验。</w:t>
      </w:r>
    </w:p>
    <w:p>
      <w:pPr>
        <w:jc w:val="both"/>
      </w:pPr>
      <w:r>
        <w:rPr>
          <w:rFonts w:ascii="Calibri" w:hAnsi="Calibri" w:eastAsia="Microsoft YaHei"/>
          <w:b w:val="0"/>
          <w:sz w:val="22"/>
        </w:rPr>
        <w:t>第四轮在 Release APK 中连续运行 30 批 50 轮模拟，共得到 1,500 个结构化集成样本。累计 TP=1,200、FP=0、TN=300、FN=0，Precision、Recall 和 F1-score 均为 100%，95% Wilson 准确率下限为 99.746%。测试历时 19.17 秒，期间未发生崩溃、ANR 或 JavaScript 异常。六个内存采样点的 PSS 为 92.97–115.16 MB，平均 103.61 MB，满足低于 150 MB 的设计目标，且没有呈现随批次单调增长的短时泄漏趋势。在高频自动点击压力下，630 帧中有 66 帧被标记为卡顿帧，卡顿率为 10.48%，P50、P90 和 P95 帧时长分别为 21、31 和 34 ms。由于该交互频率远高于系统正常的低频审计场景，该结果应视为压力上界，但仍提示批量计算与界面刷新之间存在进一步解耦优化空间。</w:t>
      </w:r>
    </w:p>
    <w:p>
      <w:pPr>
        <w:jc w:val="both"/>
      </w:pPr>
      <w:r>
        <w:rPr>
          <w:rFonts w:ascii="Calibri" w:hAnsi="Calibri" w:eastAsia="Microsoft YaHei"/>
          <w:b w:val="0"/>
          <w:sz w:val="22"/>
        </w:rPr>
        <w:t>综上，四轮测试共形成 8,550 个分类观察，未发现 FP 或 FN；其中 7,000 个独立逻辑样本提供了最强的统计证据。实验结果支持本框架在已实现的三类敏感权限日总量阈值判定范围内具有正确、稳定且低内存开销的实现。然而，结果同时表明高分类准确率不能替代攻击面覆盖分析。短时突发、时间窗伪造、异常反序列化输入、真实设备上的 Doze 与厂商日志清理仍需在后续工作中通过峰值检测、运行时 schema 校验和长期实体设备实验进一步验证。</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Microsoft YaHei"/>
        <w:b w:val="0"/>
        <w:color w:val="666666"/>
        <w:sz w:val="18"/>
      </w:rPr>
      <w:t xml:space="preserve">第 </w:t>
      <w:fldChar w:fldCharType="begin"/>
      <w:instrText xml:space="preserve"> PAGE </w:instrText>
      <w:fldChar w:fldCharType="end"/>
    </w:r>
    <w:r>
      <w:rPr>
        <w:rFonts w:ascii="Calibri" w:hAnsi="Calibri" w:eastAsia="Microsoft YaHei"/>
        <w:b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Microsoft YaHei"/>
        <w:b/>
        <w:color w:val="666666"/>
        <w:sz w:val="18"/>
      </w:rPr>
      <w:t>GDPR 权限审计框架 | 多轮测试报告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权限审计框架多轮递进测试与结果解读</dc:title>
  <dc:subject>论文正文候选测试报告片段</dc:subject>
  <dc:creator>Codex</dc:creator>
  <cp:keywords>Android, GDPR, permission audit, Monte Carlo, stress testing</cp:keywords>
  <dc:description>generated by python-docx</dc:description>
  <cp:lastModifiedBy/>
  <cp:revision>1</cp:revision>
  <dcterms:created xsi:type="dcterms:W3CDTF">2013-12-23T23:15:00Z</dcterms:created>
  <dcterms:modified xsi:type="dcterms:W3CDTF">2013-12-23T23:15:00Z</dcterms:modified>
  <cp:category/>
</cp:coreProperties>
</file>