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440" w:after="440" w:line="300" w:lineRule="auto"/>
        <w:jc w:val="center"/>
      </w:pPr>
      <w:r>
        <w:rPr>
          <w:rFonts w:ascii="Arial" w:hAnsi="Arial" w:eastAsia="PingFang SC"/>
          <w:b/>
          <w:color w:val="176B57"/>
          <w:sz w:val="18"/>
        </w:rPr>
        <w:t>ZHUATECH  ·  PRODUCT GUIDE</w:t>
      </w:r>
    </w:p>
    <w:p>
      <w:pPr>
        <w:keepNext w:val="0"/>
        <w:spacing w:before="0" w:after="160" w:line="300" w:lineRule="auto"/>
        <w:jc w:val="center"/>
      </w:pPr>
      <w:r>
        <w:rPr>
          <w:rFonts w:ascii="Arial" w:hAnsi="Arial" w:eastAsia="PingFang SC"/>
          <w:b/>
          <w:color w:val="173C33"/>
          <w:sz w:val="30"/>
        </w:rPr>
        <w:t>知华科技</w:t>
      </w:r>
    </w:p>
    <w:p>
      <w:pPr>
        <w:keepNext w:val="0"/>
        <w:spacing w:before="0" w:after="140" w:line="300" w:lineRule="auto"/>
        <w:jc w:val="center"/>
      </w:pPr>
      <w:r>
        <w:rPr>
          <w:rFonts w:ascii="Arial" w:hAnsi="Arial" w:eastAsia="PingFang SC"/>
          <w:b/>
          <w:color w:val="173C33"/>
          <w:sz w:val="62"/>
        </w:rPr>
        <w:t>ZhuaTech VMS</w:t>
      </w:r>
    </w:p>
    <w:p>
      <w:pPr>
        <w:keepNext w:val="0"/>
        <w:spacing w:before="0" w:after="240" w:line="300" w:lineRule="auto"/>
        <w:jc w:val="center"/>
      </w:pPr>
      <w:r>
        <w:rPr>
          <w:rFonts w:ascii="Arial" w:hAnsi="Arial" w:eastAsia="PingFang SC"/>
          <w:b/>
          <w:color w:val="176B57"/>
          <w:sz w:val="36"/>
        </w:rPr>
        <w:t>访客预约与通行管理平台</w:t>
      </w:r>
    </w:p>
    <w:p>
      <w:pPr>
        <w:keepNext w:val="0"/>
        <w:spacing w:before="0" w:after="800" w:line="300" w:lineRule="auto"/>
        <w:jc w:val="center"/>
      </w:pPr>
      <w:r>
        <w:rPr>
          <w:rFonts w:ascii="Arial" w:hAnsi="Arial" w:eastAsia="PingFang SC"/>
          <w:b w:val="0"/>
          <w:color w:val="65736E"/>
          <w:sz w:val="26"/>
        </w:rPr>
        <w:t>产品使用手册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3EF"/>
            <w:vAlign w:val="center"/>
          </w:tcPr>
          <w:p>
            <w:pPr>
              <w:spacing w:after="60"/>
            </w:pPr>
            <w:r>
              <w:rPr>
                <w:rFonts w:ascii="Arial" w:hAnsi="Arial" w:eastAsia="PingFang SC"/>
                <w:b/>
                <w:color w:val="176B57"/>
                <w:sz w:val="21"/>
              </w:rPr>
              <w:t>从预约到离场的可追踪闭环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PingFang SC"/>
                <w:b w:val="0"/>
                <w:color w:val="18221F"/>
                <w:sz w:val="19"/>
              </w:rPr>
              <w:t>适用于园区前台、行政接待、内部接待人、安保人员和系统管理员。本文档以社区源码版 V1.1 的实际页面与已实现功能为准。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keepNext w:val="0"/>
        <w:spacing w:before="840" w:after="80" w:line="300" w:lineRule="auto"/>
        <w:jc w:val="center"/>
      </w:pPr>
      <w:r>
        <w:rPr>
          <w:rFonts w:ascii="Arial" w:hAnsi="Arial" w:eastAsia="PingFang SC"/>
          <w:b w:val="0"/>
          <w:color w:val="65736E"/>
          <w:sz w:val="20"/>
        </w:rPr>
        <w:t>版本  V1.1</w:t>
      </w:r>
    </w:p>
    <w:p>
      <w:pPr>
        <w:keepNext w:val="0"/>
        <w:spacing w:before="0" w:after="80" w:line="300" w:lineRule="auto"/>
        <w:jc w:val="center"/>
      </w:pPr>
      <w:r>
        <w:rPr>
          <w:rFonts w:ascii="Arial" w:hAnsi="Arial" w:eastAsia="PingFang SC"/>
          <w:b w:val="0"/>
          <w:color w:val="65736E"/>
          <w:sz w:val="20"/>
        </w:rPr>
        <w:t>发布日期  2026 年 8 月</w:t>
      </w:r>
    </w:p>
    <w:p>
      <w:pPr>
        <w:keepNext w:val="0"/>
        <w:spacing w:before="320" w:after="100" w:line="300" w:lineRule="auto"/>
        <w:jc w:val="center"/>
      </w:pPr>
      <w:r>
        <w:rPr>
          <w:rFonts w:ascii="Arial" w:hAnsi="Arial" w:eastAsia="PingFang SC"/>
          <w:b/>
          <w:color w:val="173C33"/>
          <w:sz w:val="21"/>
        </w:rPr>
        <w:t>上海如静知华信息科技有限公司</w:t>
      </w:r>
    </w:p>
    <w:p>
      <w:pPr>
        <w:keepNext w:val="0"/>
        <w:spacing w:before="0" w:after="0" w:line="300" w:lineRule="auto"/>
        <w:jc w:val="center"/>
      </w:pPr>
      <w:hyperlink r:id="rId11">
        <w:r>
          <w:rPr>
            <w:color w:val="176B57"/>
            <w:u w:val="single"/>
          </w:rPr>
          <w:t>https://www.zhuatech.cn/</w:t>
        </w:r>
      </w:hyperlink>
    </w:p>
    <w:p>
      <w:r>
        <w:br w:type="page"/>
      </w: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76B57"/>
          <w:sz w:val="17"/>
        </w:rPr>
        <w:t>READ THIS FIRST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176B57"/>
          <w:sz w:val="32"/>
        </w:rPr>
        <w:t>开始使用前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本手册面向日常使用人员，重点说明每个模块解决什么问题、由谁使用、如何操作，以及不同状态代表什么。技术接口和二次开发细节请参见项目 docs/API.md 与 docs/ARCHITECTURE.md。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E1"/>
            <w:vAlign w:val="center"/>
          </w:tcPr>
          <w:p>
            <w:pPr>
              <w:spacing w:after="60"/>
            </w:pPr>
            <w:r>
              <w:rPr>
                <w:rFonts w:ascii="Arial" w:hAnsi="Arial" w:eastAsia="PingFang SC"/>
                <w:b/>
                <w:color w:val="D5A044"/>
                <w:sz w:val="21"/>
              </w:rPr>
              <w:t>开源版本使用边界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PingFang SC"/>
                <w:b w:val="0"/>
                <w:color w:val="18221F"/>
                <w:sz w:val="19"/>
              </w:rPr>
              <w:t>本工程仅能用于个人非商业学习、研究和技术交流。未经上海如静知华信息科技有限公司书面授权，不得商用、对外收费部署、SaaS 运营、外包交付或投标。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角色与工作入口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700"/>
        <w:gridCol w:w="61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主要入口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典型工作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系统管理员</w:t>
            </w:r>
          </w:p>
        </w:tc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管理端</w:t>
            </w:r>
          </w:p>
        </w:tc>
        <w:tc>
          <w:tcPr>
            <w:tcW w:type="dxa" w:w="61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基础设置、账号权限、风险规则与运营查看</w:t>
            </w:r>
          </w:p>
        </w:tc>
      </w:tr>
      <w:tr>
        <w:trPr>
          <w:cantSplit/>
        </w:trPr>
        <w:tc>
          <w:tcPr>
            <w:tcW w:type="dxa" w:w="15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前台 / 行政</w:t>
            </w:r>
          </w:p>
        </w:tc>
        <w:tc>
          <w:tcPr>
            <w:tcW w:type="dxa" w:w="17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管理端</w:t>
            </w:r>
          </w:p>
        </w:tc>
        <w:tc>
          <w:tcPr>
            <w:tcW w:type="dxa" w:w="61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新建预约、资料核对、签到与离场确认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内部接待人</w:t>
            </w:r>
          </w:p>
        </w:tc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移动端</w:t>
            </w:r>
          </w:p>
        </w:tc>
        <w:tc>
          <w:tcPr>
            <w:tcW w:type="dxa" w:w="61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预约审批、接待提醒、访客状态跟进</w:t>
            </w:r>
          </w:p>
        </w:tc>
      </w:tr>
      <w:tr>
        <w:trPr>
          <w:cantSplit/>
        </w:trPr>
        <w:tc>
          <w:tcPr>
            <w:tcW w:type="dxa" w:w="15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安保人员</w:t>
            </w:r>
          </w:p>
        </w:tc>
        <w:tc>
          <w:tcPr>
            <w:tcW w:type="dxa" w:w="17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管理端 / 移动端</w:t>
            </w:r>
          </w:p>
        </w:tc>
        <w:tc>
          <w:tcPr>
            <w:tcW w:type="dxa" w:w="61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身份复核、通行异常、黑名单和应急清点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访客</w:t>
            </w:r>
          </w:p>
        </w:tc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移动端</w:t>
            </w:r>
          </w:p>
        </w:tc>
        <w:tc>
          <w:tcPr>
            <w:tcW w:type="dxa" w:w="61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提交信息、展示通行码、配合签到与签退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章节导航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本手册内容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运营总览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指标、流程进度、现场接待状态与最近预约</w:t>
            </w:r>
          </w:p>
        </w:tc>
      </w:tr>
      <w:tr>
        <w:trPr>
          <w:cantSplit/>
        </w:trPr>
        <w:tc>
          <w:tcPr>
            <w:tcW w:type="dxa" w:w="19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业务协同</w:t>
            </w:r>
          </w:p>
        </w:tc>
        <w:tc>
          <w:tcPr>
            <w:tcW w:type="dxa" w:w="74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预约新增、审批、驳回、签到、通行与离场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资源中心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访客档案、黑名单、接待人、区域与门禁点</w:t>
            </w:r>
          </w:p>
        </w:tc>
      </w:tr>
      <w:tr>
        <w:trPr>
          <w:cantSplit/>
        </w:trPr>
        <w:tc>
          <w:tcPr>
            <w:tcW w:type="dxa" w:w="19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风险预警</w:t>
            </w:r>
          </w:p>
        </w:tc>
        <w:tc>
          <w:tcPr>
            <w:tcW w:type="dxa" w:w="74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准入判断、异常上报、处置留痕与应急清点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基础设置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园区、审批、通行、通知、数据留存与账号权限</w:t>
            </w:r>
          </w:p>
        </w:tc>
      </w:tr>
      <w:tr>
        <w:trPr>
          <w:cantSplit/>
        </w:trPr>
        <w:tc>
          <w:tcPr>
            <w:tcW w:type="dxa" w:w="19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移动工作台</w:t>
            </w:r>
          </w:p>
        </w:tc>
        <w:tc>
          <w:tcPr>
            <w:tcW w:type="dxa" w:w="74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预约、签到、通行码、待办、消息与异常上报</w:t>
            </w:r>
          </w:p>
        </w:tc>
      </w:tr>
    </w:tbl>
    <w:p>
      <w:r>
        <w:br w:type="page"/>
      </w: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76B57"/>
          <w:sz w:val="17"/>
        </w:rPr>
        <w:t>END-TO-END FLOW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176B57"/>
          <w:sz w:val="32"/>
        </w:rPr>
        <w:t>1. 来访业务全流程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ZhuaTech VMS 用一条状态链连接访客、接待人、前台和安保。每次关键操作都会改变预约状态，操作者可据此判断下一步。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1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提交预约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填写访客、单位、手机、接待人、到访时间、访问区域和事由。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2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接待审批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接待人确认来访目的；受限区域或风险关注记录由安保复核。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3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身份核验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到访时核对预约编号、证件信息和人员名单。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4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签发通行码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审批通过后生成一次性数字通行码，并绑定区域与有效时段。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5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访客签到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核验通过后确认入园，状态变为“已到访”。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6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离场确认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访客离场后签退，系统回收通行权限并保留记录。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状态快速判断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850"/>
        <w:gridCol w:w="401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下一步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待审批</w:t>
            </w:r>
          </w:p>
        </w:tc>
        <w:tc>
          <w:tcPr>
            <w:tcW w:type="dxa" w:w="385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预约已提交，尚未同意</w:t>
            </w:r>
          </w:p>
        </w:tc>
        <w:tc>
          <w:tcPr>
            <w:tcW w:type="dxa" w:w="401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通过并发码 / 驳回 / 取消</w:t>
            </w:r>
          </w:p>
        </w:tc>
      </w:tr>
      <w:tr>
        <w:trPr>
          <w:cantSplit/>
        </w:trPr>
        <w:tc>
          <w:tcPr>
            <w:tcW w:type="dxa" w:w="15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已审批</w:t>
            </w:r>
          </w:p>
        </w:tc>
        <w:tc>
          <w:tcPr>
            <w:tcW w:type="dxa" w:w="385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接待已确认，通行码可用</w:t>
            </w:r>
          </w:p>
        </w:tc>
        <w:tc>
          <w:tcPr>
            <w:tcW w:type="dxa" w:w="401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身份核验后签到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已到访</w:t>
            </w:r>
          </w:p>
        </w:tc>
        <w:tc>
          <w:tcPr>
            <w:tcW w:type="dxa" w:w="385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访客当前在园</w:t>
            </w:r>
          </w:p>
        </w:tc>
        <w:tc>
          <w:tcPr>
            <w:tcW w:type="dxa" w:w="401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关注超时与异常，离场时签退</w:t>
            </w:r>
          </w:p>
        </w:tc>
      </w:tr>
      <w:tr>
        <w:trPr>
          <w:cantSplit/>
        </w:trPr>
        <w:tc>
          <w:tcPr>
            <w:tcW w:type="dxa" w:w="15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已离场</w:t>
            </w:r>
          </w:p>
        </w:tc>
        <w:tc>
          <w:tcPr>
            <w:tcW w:type="dxa" w:w="385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访问结束，权限已回收</w:t>
            </w:r>
          </w:p>
        </w:tc>
        <w:tc>
          <w:tcPr>
            <w:tcW w:type="dxa" w:w="401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归档或查询历史记录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已驳回 / 已取消</w:t>
            </w:r>
          </w:p>
        </w:tc>
        <w:tc>
          <w:tcPr>
            <w:tcW w:type="dxa" w:w="385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预约不再生效</w:t>
            </w:r>
          </w:p>
        </w:tc>
        <w:tc>
          <w:tcPr>
            <w:tcW w:type="dxa" w:w="401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补充资料后重新发起</w:t>
            </w:r>
          </w:p>
        </w:tc>
      </w:tr>
    </w:tbl>
    <w:p>
      <w:r>
        <w:br w:type="page"/>
      </w: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76B57"/>
          <w:sz w:val="17"/>
        </w:rPr>
        <w:t>MODULE 01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176B57"/>
          <w:sz w:val="32"/>
        </w:rPr>
        <w:t>2. 运营总览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运营总览是管理员、前台与安保人员进入系统后的第一工作面。它用于快速回答：今天有多少预约、还有多少待审批、当前多少人在园、有哪些预警需要处理。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294728"/>
            <wp:docPr id="1" name="Picture 1" descr="图 2-1  管理端运营总览：指标、流程进度、健康度与最近预约" title="图 2-1  管理端运营总览：指标、流程进度、健康度与最近预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ms-reception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4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before="60" w:after="160" w:line="300" w:lineRule="auto"/>
        <w:jc w:val="center"/>
      </w:pPr>
      <w:r>
        <w:rPr>
          <w:rFonts w:ascii="Arial" w:hAnsi="Arial" w:eastAsia="PingFang SC"/>
          <w:b w:val="0"/>
          <w:color w:val="65736E"/>
          <w:sz w:val="17"/>
        </w:rPr>
        <w:t>图 2-1  管理端运营总览：指标、流程进度、健康度与最近预约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主要信息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今日预约：当前预约总量，用于判断前台接待压力。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待审批：尚未完成接待确认的预约，应优先处理。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当前在园：已经签到但尚未离场的访客人数。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待处理预警：超时、资料缺失、通行异常等未闭环事项。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3EF"/>
            <w:vAlign w:val="center"/>
          </w:tcPr>
          <w:p>
            <w:pPr>
              <w:spacing w:after="60"/>
            </w:pPr>
            <w:r>
              <w:rPr>
                <w:rFonts w:ascii="Arial" w:hAnsi="Arial" w:eastAsia="PingFang SC"/>
                <w:b/>
                <w:color w:val="176B57"/>
                <w:sz w:val="21"/>
              </w:rPr>
              <w:t>推荐工作习惯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PingFang SC"/>
                <w:b w:val="0"/>
                <w:color w:val="18221F"/>
                <w:sz w:val="19"/>
              </w:rPr>
              <w:t>每天上班后先查看待审批和预警，下班前核对“当前在园”是否仍有访客未签退。</w:t>
            </w:r>
          </w:p>
        </w:tc>
      </w:tr>
    </w:tbl>
    <w:p>
      <w:pPr>
        <w:keepNext w:val="0"/>
        <w:spacing w:before="0" w:after="80" w:line="300" w:lineRule="auto"/>
      </w:pPr>
    </w:p>
    <w:p>
      <w:r>
        <w:br w:type="page"/>
      </w: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76B57"/>
          <w:sz w:val="17"/>
        </w:rPr>
        <w:t>MODULE 02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176B57"/>
          <w:sz w:val="32"/>
        </w:rPr>
        <w:t>3. 业务协同：预约管理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业务协同集中展示预约编号、访客信息、来访时间、接待人、访问区域、风险等级和当前状态。支持关键词搜索和状态筛选。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2" name="Picture 2" descr="图 3-1  预约与接待协同列表：风险和状态一屏可见" title="图 3-1  预约与接待协同列表：风险和状态一屏可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ms-appointment-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before="60" w:after="160" w:line="300" w:lineRule="auto"/>
        <w:jc w:val="center"/>
      </w:pPr>
      <w:r>
        <w:rPr>
          <w:rFonts w:ascii="Arial" w:hAnsi="Arial" w:eastAsia="PingFang SC"/>
          <w:b w:val="0"/>
          <w:color w:val="65736E"/>
          <w:sz w:val="17"/>
        </w:rPr>
        <w:t>图 3-1  预约与接待协同列表：风险和状态一屏可见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新建预约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1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点击“新建预约”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管理端右上角和移动端快捷服务均可进入。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2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填写访客资料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至少填写姓名、手机、单位、接待人和来访事由。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3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安排访问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选择日期、时段、访问区域和来访人数。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4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提交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系统生成预约编号，初始状态为“待审批”。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DE9"/>
            <w:vAlign w:val="center"/>
          </w:tcPr>
          <w:p>
            <w:pPr>
              <w:spacing w:after="60"/>
            </w:pPr>
            <w:r>
              <w:rPr>
                <w:rFonts w:ascii="Arial" w:hAnsi="Arial" w:eastAsia="PingFang SC"/>
                <w:b/>
                <w:color w:val="A64235"/>
                <w:sz w:val="21"/>
              </w:rPr>
              <w:t>风险提醒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PingFang SC"/>
                <w:b w:val="0"/>
                <w:color w:val="18221F"/>
                <w:sz w:val="19"/>
              </w:rPr>
              <w:t>受限区域、多人来访、夜间访问、身份未核验或黑名单命中会提高风险等级；黑名单命中应停止预约并由安保复核。</w:t>
            </w:r>
          </w:p>
        </w:tc>
      </w:tr>
    </w:tbl>
    <w:p>
      <w:pPr>
        <w:keepNext w:val="0"/>
        <w:spacing w:before="0" w:after="80" w:line="300" w:lineRule="auto"/>
      </w:pPr>
    </w:p>
    <w:p>
      <w:r>
        <w:br w:type="page"/>
      </w: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76B57"/>
          <w:sz w:val="17"/>
        </w:rPr>
        <w:t>WORKFLOW ACTIONS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176B57"/>
          <w:sz w:val="32"/>
        </w:rPr>
        <w:t>4. 审批、签到、通行与离场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4.1 审批或驳回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在预约列表点击“处理”进入详情。确认访客、接待人、时间、区域和来访事由后，选择“通过并发码”或“驳回”。审批通过后系统签发六位数字通行码。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53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允许状态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通过并发码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待审批</w:t>
            </w:r>
          </w:p>
        </w:tc>
        <w:tc>
          <w:tcPr>
            <w:tcW w:type="dxa" w:w="53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状态变为已审批，并生成通行码</w:t>
            </w:r>
          </w:p>
        </w:tc>
      </w:tr>
      <w:tr>
        <w:trPr>
          <w:cantSplit/>
        </w:trPr>
        <w:tc>
          <w:tcPr>
            <w:tcW w:type="dxa" w:w="18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驳回</w:t>
            </w:r>
          </w:p>
        </w:tc>
        <w:tc>
          <w:tcPr>
            <w:tcW w:type="dxa" w:w="22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待审批</w:t>
            </w:r>
          </w:p>
        </w:tc>
        <w:tc>
          <w:tcPr>
            <w:tcW w:type="dxa" w:w="53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状态变为已驳回，不允许签到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取消预约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未离场且未取消</w:t>
            </w:r>
          </w:p>
        </w:tc>
        <w:tc>
          <w:tcPr>
            <w:tcW w:type="dxa" w:w="53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状态变为已取消，通行码失效</w:t>
            </w:r>
          </w:p>
        </w:tc>
      </w:tr>
      <w:tr>
        <w:trPr>
          <w:cantSplit/>
        </w:trPr>
        <w:tc>
          <w:tcPr>
            <w:tcW w:type="dxa" w:w="18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确认签到</w:t>
            </w:r>
          </w:p>
        </w:tc>
        <w:tc>
          <w:tcPr>
            <w:tcW w:type="dxa" w:w="22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已审批</w:t>
            </w:r>
          </w:p>
        </w:tc>
        <w:tc>
          <w:tcPr>
            <w:tcW w:type="dxa" w:w="53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状态变为已到访，计入在园人数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确认离场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已到访</w:t>
            </w:r>
          </w:p>
        </w:tc>
        <w:tc>
          <w:tcPr>
            <w:tcW w:type="dxa" w:w="53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状态变为已离场，回收通行权限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4.2 到访核验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查询预约编号或手机后四位，确认访客与预约记录一致。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核对访问区域和有效时段；受限区域由安保人员再次确认。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核验完成后点击“确认签到”，不得在未审批状态下强制签到。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4.3 离场签退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访客离开园区时由前台或接待人确认离场。签退后系统不再将其计入在园人数；如超过预约时段仍未签退，应在风险预警中跟进。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3EF"/>
            <w:vAlign w:val="center"/>
          </w:tcPr>
          <w:p>
            <w:pPr>
              <w:spacing w:after="60"/>
            </w:pPr>
            <w:r>
              <w:rPr>
                <w:rFonts w:ascii="Arial" w:hAnsi="Arial" w:eastAsia="PingFang SC"/>
                <w:b/>
                <w:color w:val="176B57"/>
                <w:sz w:val="21"/>
              </w:rPr>
              <w:t>系统校验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PingFang SC"/>
                <w:b w:val="0"/>
                <w:color w:val="18221F"/>
                <w:sz w:val="19"/>
              </w:rPr>
              <w:t>后端会校验状态顺序。例如“待审批”不能直接签到，“已审批”不能直接离场，错误操作返回冲突提示。</w:t>
            </w:r>
          </w:p>
        </w:tc>
      </w:tr>
    </w:tbl>
    <w:p>
      <w:pPr>
        <w:keepNext w:val="0"/>
        <w:spacing w:before="0" w:after="80" w:line="300" w:lineRule="auto"/>
      </w:pPr>
    </w:p>
    <w:p>
      <w:r>
        <w:br w:type="page"/>
      </w: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76B57"/>
          <w:sz w:val="17"/>
        </w:rPr>
        <w:t>MODULE 03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176B57"/>
          <w:sz w:val="32"/>
        </w:rPr>
        <w:t>5. 资源中心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资源中心分为访客档案和接待人与区域两类信息。日常人员通常只查询；黑名单维护和基础资源变更应由授权管理员执行。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3" name="Picture 3" descr="图 5-1  访客档案：身份核验、来访次数与黑名单状态" title="图 5-1  访客档案：身份核验、来访次数与黑名单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ms-resource-cen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before="60" w:after="160" w:line="300" w:lineRule="auto"/>
        <w:jc w:val="center"/>
      </w:pPr>
      <w:r>
        <w:rPr>
          <w:rFonts w:ascii="Arial" w:hAnsi="Arial" w:eastAsia="PingFang SC"/>
          <w:b w:val="0"/>
          <w:color w:val="65736E"/>
          <w:sz w:val="17"/>
        </w:rPr>
        <w:t>图 5-1  访客档案：身份核验、来访次数与黑名单状态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5.1 访客档案与黑名单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档案显示访客单位、脱敏手机、身份核验状态、累计来访次数和最近到访日期。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加入黑名单后，后续预约应触发拦截或人工复核。解除前需要记录复核原因。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5.2 接待人、区域与门禁点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400"/>
        <w:gridCol w:w="22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资源类型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示例状态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接待人</w:t>
            </w:r>
          </w:p>
        </w:tc>
        <w:tc>
          <w:tcPr>
            <w:tcW w:type="dxa" w:w="54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绑定内部责任人和所属部门</w:t>
            </w:r>
          </w:p>
        </w:tc>
        <w:tc>
          <w:tcPr>
            <w:tcW w:type="dxa" w:w="22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启用</w:t>
            </w:r>
          </w:p>
        </w:tc>
      </w:tr>
      <w:tr>
        <w:trPr>
          <w:cantSplit/>
        </w:trPr>
        <w:tc>
          <w:tcPr>
            <w:tcW w:type="dxa" w:w="17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访问区域</w:t>
            </w:r>
          </w:p>
        </w:tc>
        <w:tc>
          <w:tcPr>
            <w:tcW w:type="dxa" w:w="54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限制访客可进入的空间范围</w:t>
            </w:r>
          </w:p>
        </w:tc>
        <w:tc>
          <w:tcPr>
            <w:tcW w:type="dxa" w:w="22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开放 / 审批开放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门禁点</w:t>
            </w:r>
          </w:p>
        </w:tc>
        <w:tc>
          <w:tcPr>
            <w:tcW w:type="dxa" w:w="54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标记闸机或前台核验点</w:t>
            </w:r>
          </w:p>
        </w:tc>
        <w:tc>
          <w:tcPr>
            <w:tcW w:type="dxa" w:w="22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在线 / 离线</w:t>
            </w:r>
          </w:p>
        </w:tc>
      </w:tr>
    </w:tbl>
    <w:p>
      <w:r>
        <w:br w:type="page"/>
      </w: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76B57"/>
          <w:sz w:val="17"/>
        </w:rPr>
        <w:t>MODULE 04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176B57"/>
          <w:sz w:val="32"/>
        </w:rPr>
        <w:t>6. 风险预警与异常处置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风险预警用于集中处理超时未离场、资料待补充、通行异常、证件异常和现场异常。每条记录包含关联预约、等级、责任人、状态和处置结果。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4" name="Picture 4" descr="图 6-1  风险预警：待处理、高风险、闭环数和异常明细" title="图 6-1  风险预警：待处理、高风险、闭环数和异常明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ms-risk-aler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before="60" w:after="160" w:line="300" w:lineRule="auto"/>
        <w:jc w:val="center"/>
      </w:pPr>
      <w:r>
        <w:rPr>
          <w:rFonts w:ascii="Arial" w:hAnsi="Arial" w:eastAsia="PingFang SC"/>
          <w:b w:val="0"/>
          <w:color w:val="65736E"/>
          <w:sz w:val="17"/>
        </w:rPr>
        <w:t>图 6-1  风险预警：待处理、高风险、闭环数和异常明细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处置步骤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1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判断等级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高风险优先处理；中风险应在当班内闭环。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2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核对关联预约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确认访客、接待人、最后状态和访问区域。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3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线下处置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联系接待人、前台或安保人员核实现场情况。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4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完成处置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填写处置结果并点击完成，系统保留操作留痕。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DE9"/>
            <w:vAlign w:val="center"/>
          </w:tcPr>
          <w:p>
            <w:pPr>
              <w:spacing w:after="60"/>
            </w:pPr>
            <w:r>
              <w:rPr>
                <w:rFonts w:ascii="Arial" w:hAnsi="Arial" w:eastAsia="PingFang SC"/>
                <w:b/>
                <w:color w:val="A64235"/>
                <w:sz w:val="21"/>
              </w:rPr>
              <w:t>应急疏散访客清点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PingFang SC"/>
                <w:b w:val="0"/>
                <w:color w:val="18221F"/>
                <w:sz w:val="19"/>
              </w:rPr>
              <w:t>系统可根据已入场、已离场、集合点签到和接待人确认人数计算未清点访客。紧急情况下应结合门禁最后位置和现场查找流程使用。</w:t>
            </w:r>
          </w:p>
        </w:tc>
      </w:tr>
    </w:tbl>
    <w:p>
      <w:pPr>
        <w:keepNext w:val="0"/>
        <w:spacing w:before="0" w:after="80" w:line="300" w:lineRule="auto"/>
      </w:pPr>
    </w:p>
    <w:p>
      <w:r>
        <w:br w:type="page"/>
      </w: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76B57"/>
          <w:sz w:val="17"/>
        </w:rPr>
        <w:t>MODULE 05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176B57"/>
          <w:sz w:val="32"/>
        </w:rPr>
        <w:t>7. 基础设置与权限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基础设置决定预约审批方式、通行码有效范围、消息渠道和数据留存期限，仅系统管理员可修改。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5" name="Picture 5" descr="图 7-1  基础设置：园区审批、数据通知和演示账号" title="图 7-1  基础设置：园区审批、数据通知和演示账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ms-settin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before="60" w:after="160" w:line="300" w:lineRule="auto"/>
        <w:jc w:val="center"/>
      </w:pPr>
      <w:r>
        <w:rPr>
          <w:rFonts w:ascii="Arial" w:hAnsi="Arial" w:eastAsia="PingFang SC"/>
          <w:b w:val="0"/>
          <w:color w:val="65736E"/>
          <w:sz w:val="17"/>
        </w:rPr>
        <w:t>图 7-1  基础设置：园区审批、数据通知和演示账号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800"/>
        <w:gridCol w:w="3560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设置项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社区源码版默认值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园区名称</w:t>
            </w:r>
          </w:p>
        </w:tc>
        <w:tc>
          <w:tcPr>
            <w:tcW w:type="dxa" w:w="38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显示当前管理范围</w:t>
            </w:r>
          </w:p>
        </w:tc>
        <w:tc>
          <w:tcPr>
            <w:tcW w:type="dxa" w:w="35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上海创新园区</w:t>
            </w:r>
          </w:p>
        </w:tc>
      </w:tr>
      <w:tr>
        <w:trPr>
          <w:cantSplit/>
        </w:trPr>
        <w:tc>
          <w:tcPr>
            <w:tcW w:type="dxa" w:w="20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审批模式</w:t>
            </w:r>
          </w:p>
        </w:tc>
        <w:tc>
          <w:tcPr>
            <w:tcW w:type="dxa" w:w="38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决定预约由谁批准</w:t>
            </w:r>
          </w:p>
        </w:tc>
        <w:tc>
          <w:tcPr>
            <w:tcW w:type="dxa" w:w="35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接待人审批 + 安保复核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通行码有效范围</w:t>
            </w:r>
          </w:p>
        </w:tc>
        <w:tc>
          <w:tcPr>
            <w:tcW w:type="dxa" w:w="38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限制可通行时段</w:t>
            </w:r>
          </w:p>
        </w:tc>
        <w:tc>
          <w:tcPr>
            <w:tcW w:type="dxa" w:w="35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预约时段前后 30 分钟</w:t>
            </w:r>
          </w:p>
        </w:tc>
      </w:tr>
      <w:tr>
        <w:trPr>
          <w:cantSplit/>
        </w:trPr>
        <w:tc>
          <w:tcPr>
            <w:tcW w:type="dxa" w:w="20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访客记录保留天数</w:t>
            </w:r>
          </w:p>
        </w:tc>
        <w:tc>
          <w:tcPr>
            <w:tcW w:type="dxa" w:w="38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控制隐私数据保存周期</w:t>
            </w:r>
          </w:p>
        </w:tc>
        <w:tc>
          <w:tcPr>
            <w:tcW w:type="dxa" w:w="35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180 天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通知渠道</w:t>
            </w:r>
          </w:p>
        </w:tc>
        <w:tc>
          <w:tcPr>
            <w:tcW w:type="dxa" w:w="38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发送待办与提醒</w:t>
            </w:r>
          </w:p>
        </w:tc>
        <w:tc>
          <w:tcPr>
            <w:tcW w:type="dxa" w:w="35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站内消息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3EF"/>
            <w:vAlign w:val="center"/>
          </w:tcPr>
          <w:p>
            <w:pPr>
              <w:spacing w:after="60"/>
            </w:pPr>
            <w:r>
              <w:rPr>
                <w:rFonts w:ascii="Arial" w:hAnsi="Arial" w:eastAsia="PingFang SC"/>
                <w:b/>
                <w:color w:val="176B57"/>
                <w:sz w:val="21"/>
              </w:rPr>
              <w:t>账号说明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PingFang SC"/>
                <w:b w:val="0"/>
                <w:color w:val="18221F"/>
                <w:sz w:val="19"/>
              </w:rPr>
              <w:t>演示账号 admin 拥有全部模块权限；operator 可处理预约、访客与预警，但不能访问管理员设置。上线前必须更换默认密码。</w:t>
            </w:r>
          </w:p>
        </w:tc>
      </w:tr>
    </w:tbl>
    <w:p>
      <w:pPr>
        <w:keepNext w:val="0"/>
        <w:spacing w:before="0" w:after="80" w:line="300" w:lineRule="auto"/>
      </w:pPr>
    </w:p>
    <w:p>
      <w:r>
        <w:br w:type="page"/>
      </w: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76B57"/>
          <w:sz w:val="17"/>
        </w:rPr>
        <w:t>MOBILE WORKSPACE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176B57"/>
          <w:sz w:val="32"/>
        </w:rPr>
        <w:t>8. 移动工作台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移动端面向接待人、前台和访客。首页聚合今日接待任务、待审批、提醒和风险关注，并提供四个高频入口。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4062984"/>
                  <wp:docPr id="6" name="Picture 6" descr="移动工作台首页" title="移动工作台首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ms-mobile-workbench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06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 w:eastAsia="PingFang SC"/>
                <w:b/>
                <w:color w:val="65736E"/>
                <w:sz w:val="17"/>
              </w:rPr>
              <w:t>移动工作台首页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4062984"/>
                  <wp:docPr id="7" name="Picture 7" descr="访客通行码" title="访客通行码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ms-mobile-pas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06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 w:eastAsia="PingFang SC"/>
                <w:b/>
                <w:color w:val="65736E"/>
                <w:sz w:val="17"/>
              </w:rPr>
              <w:t>访客通行码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快捷服务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用户可以完成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发起预约</w:t>
            </w:r>
          </w:p>
        </w:tc>
        <w:tc>
          <w:tcPr>
            <w:tcW w:type="dxa" w:w="75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填写访客、接待、时间、区域和事由并提交</w:t>
            </w:r>
          </w:p>
        </w:tc>
      </w:tr>
      <w:tr>
        <w:trPr>
          <w:cantSplit/>
        </w:trPr>
        <w:tc>
          <w:tcPr>
            <w:tcW w:type="dxa" w:w="18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访客签到</w:t>
            </w:r>
          </w:p>
        </w:tc>
        <w:tc>
          <w:tcPr>
            <w:tcW w:type="dxa" w:w="75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扫描预约码或输入预约编号，进入身份核验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通行码</w:t>
            </w:r>
          </w:p>
        </w:tc>
        <w:tc>
          <w:tcPr>
            <w:tcW w:type="dxa" w:w="75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查看六位通行码、有效时间、访问区域和接待人</w:t>
            </w:r>
          </w:p>
        </w:tc>
      </w:tr>
      <w:tr>
        <w:trPr>
          <w:cantSplit/>
        </w:trPr>
        <w:tc>
          <w:tcPr>
            <w:tcW w:type="dxa" w:w="18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异常上报</w:t>
            </w:r>
          </w:p>
        </w:tc>
        <w:tc>
          <w:tcPr>
            <w:tcW w:type="dxa" w:w="75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记录异常类型、等级、关联预约和责任人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事项</w:t>
            </w:r>
          </w:p>
        </w:tc>
        <w:tc>
          <w:tcPr>
            <w:tcW w:type="dxa" w:w="75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查看待审批、已审批、已到访等接待任务</w:t>
            </w:r>
          </w:p>
        </w:tc>
      </w:tr>
      <w:tr>
        <w:trPr>
          <w:cantSplit/>
        </w:trPr>
        <w:tc>
          <w:tcPr>
            <w:tcW w:type="dxa" w:w="18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消息</w:t>
            </w:r>
          </w:p>
        </w:tc>
        <w:tc>
          <w:tcPr>
            <w:tcW w:type="dxa" w:w="75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查看接待提醒和风险通知</w:t>
            </w:r>
          </w:p>
        </w:tc>
      </w:tr>
    </w:tbl>
    <w:p>
      <w:r>
        <w:br w:type="page"/>
      </w: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76B57"/>
          <w:sz w:val="17"/>
        </w:rPr>
        <w:t>MOBILE PROCEDURES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176B57"/>
          <w:sz w:val="32"/>
        </w:rPr>
        <w:t>9. 移动端操作说明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9.1 接待人审批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1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打开待办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首页点击待办事项或底部“事项”。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2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查看详情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核对访客、时间、区域、人数和风险提示。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3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作出决定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选择通过审批、驳回或返回补充资料。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9.2 展示通行码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审批通过后进入“通行码”。页面显示数字通行码、有效日期、有效时段、访问区域和接待人。通行码仅限本人使用，不应截屏转发。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9.3 异常上报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选择异常类型和风险等级，说明时间、地点和具体情况，尽量关联预约编号。提交后由安保中心或指定责任人处理。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9.4 到访与离场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到访：前台核验身份和预约后确认签到。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在园：访客按授权区域和时段通行，接待人持续负责。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离场：由前台或接待人确认签退，通行权限随即回收。</w:t>
      </w:r>
    </w:p>
    <w:p>
      <w:r>
        <w:br w:type="page"/>
      </w: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76B57"/>
          <w:sz w:val="17"/>
        </w:rPr>
        <w:t>RISK RULES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176B57"/>
          <w:sz w:val="32"/>
        </w:rPr>
        <w:t>10. 准入风险判断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社区源码版内置可解释的规则示例，用于帮助学习如何把业务条件转换为准入决定。它不是专业安防产品，不替代人工核验。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风险条件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系统处理建议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黑名单命中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直接 REJECT，停止预约并交由安保复核</w:t>
            </w:r>
          </w:p>
        </w:tc>
      </w:tr>
      <w:tr>
        <w:trPr>
          <w:cantSplit/>
        </w:trPr>
        <w:tc>
          <w:tcPr>
            <w:tcW w:type="dxa" w:w="25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夜间访问</w:t>
            </w:r>
          </w:p>
        </w:tc>
        <w:tc>
          <w:tcPr>
            <w:tcW w:type="dxa" w:w="68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提高风险分；配置夜间通行时段并通知值班安保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受限区域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提高风险分；限定门禁权限并要求陪同</w:t>
            </w:r>
          </w:p>
        </w:tc>
      </w:tr>
      <w:tr>
        <w:trPr>
          <w:cantSplit/>
        </w:trPr>
        <w:tc>
          <w:tcPr>
            <w:tcW w:type="dxa" w:w="25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接待人未确认</w:t>
            </w:r>
          </w:p>
        </w:tc>
        <w:tc>
          <w:tcPr>
            <w:tcW w:type="dxa" w:w="68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进入人工复核；联系内部接待人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身份未核验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进入人工复核；到访前完成实名与证件核验</w:t>
            </w:r>
          </w:p>
        </w:tc>
      </w:tr>
      <w:tr>
        <w:trPr>
          <w:cantSplit/>
        </w:trPr>
        <w:tc>
          <w:tcPr>
            <w:tcW w:type="dxa" w:w="25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普通预约且资料完整</w:t>
            </w:r>
          </w:p>
        </w:tc>
        <w:tc>
          <w:tcPr>
            <w:tcW w:type="dxa" w:w="68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APPROVE；按预约时段签发一次性通行码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输出结果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决定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APPROVE</w:t>
            </w:r>
          </w:p>
        </w:tc>
        <w:tc>
          <w:tcPr>
            <w:tcW w:type="dxa" w:w="71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风险较低，可以按预约规则继续</w:t>
            </w:r>
          </w:p>
        </w:tc>
      </w:tr>
      <w:tr>
        <w:trPr>
          <w:cantSplit/>
        </w:trPr>
        <w:tc>
          <w:tcPr>
            <w:tcW w:type="dxa" w:w="22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MANUAL_REVIEW</w:t>
            </w:r>
          </w:p>
        </w:tc>
        <w:tc>
          <w:tcPr>
            <w:tcW w:type="dxa" w:w="71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需要接待人或安保人工复核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REJECT</w:t>
            </w:r>
          </w:p>
        </w:tc>
        <w:tc>
          <w:tcPr>
            <w:tcW w:type="dxa" w:w="71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高风险或黑名单命中，不允许继续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3EF"/>
            <w:vAlign w:val="center"/>
          </w:tcPr>
          <w:p>
            <w:pPr>
              <w:spacing w:after="60"/>
            </w:pPr>
            <w:r>
              <w:rPr>
                <w:rFonts w:ascii="Arial" w:hAnsi="Arial" w:eastAsia="PingFang SC"/>
                <w:b/>
                <w:color w:val="176B57"/>
                <w:sz w:val="21"/>
              </w:rPr>
              <w:t>外部能力预留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PingFang SC"/>
                <w:b w:val="0"/>
                <w:color w:val="18221F"/>
                <w:sz w:val="19"/>
              </w:rPr>
              <w:t>身份证件核验、闸机门禁、访客机、企业微信和短信均为预留对接能力，社区源码版未集成真实第三方设备或商业服务。</w:t>
            </w:r>
          </w:p>
        </w:tc>
      </w:tr>
    </w:tbl>
    <w:p>
      <w:pPr>
        <w:keepNext w:val="0"/>
        <w:spacing w:before="0" w:after="80" w:line="300" w:lineRule="auto"/>
      </w:pPr>
    </w:p>
    <w:p>
      <w:r>
        <w:br w:type="page"/>
      </w: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76B57"/>
          <w:sz w:val="17"/>
        </w:rPr>
        <w:t>DATA &amp; PRIVACY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176B57"/>
          <w:sz w:val="32"/>
        </w:rPr>
        <w:t>11. 数据、隐私与安全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11.1 建议收集的信息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仅收集完成访问管理所必需的信息。手机号在列表中默认脱敏展示；证件照片、生物特征等敏感数据不应在未具备合规条件时采集。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4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建议保护措施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姓名、手机、单位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预约联系与身份核对</w:t>
            </w:r>
          </w:p>
        </w:tc>
        <w:tc>
          <w:tcPr>
            <w:tcW w:type="dxa" w:w="41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脱敏展示、权限控制、到期删除</w:t>
            </w:r>
          </w:p>
        </w:tc>
      </w:tr>
      <w:tr>
        <w:trPr>
          <w:cantSplit/>
        </w:trPr>
        <w:tc>
          <w:tcPr>
            <w:tcW w:type="dxa" w:w="22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访问时间与区域</w:t>
            </w:r>
          </w:p>
        </w:tc>
        <w:tc>
          <w:tcPr>
            <w:tcW w:type="dxa" w:w="30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通行授权和事件追溯</w:t>
            </w:r>
          </w:p>
        </w:tc>
        <w:tc>
          <w:tcPr>
            <w:tcW w:type="dxa" w:w="41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按岗位授权、保留审计记录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状态与异常记录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接待闭环和风险处置</w:t>
            </w:r>
          </w:p>
        </w:tc>
        <w:tc>
          <w:tcPr>
            <w:tcW w:type="dxa" w:w="41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限定管理员和安保人员访问</w:t>
            </w:r>
          </w:p>
        </w:tc>
      </w:tr>
      <w:tr>
        <w:trPr>
          <w:cantSplit/>
        </w:trPr>
        <w:tc>
          <w:tcPr>
            <w:tcW w:type="dxa" w:w="22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证件 / 照片（预留）</w:t>
            </w:r>
          </w:p>
        </w:tc>
        <w:tc>
          <w:tcPr>
            <w:tcW w:type="dxa" w:w="30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实名或人证核验</w:t>
            </w:r>
          </w:p>
        </w:tc>
        <w:tc>
          <w:tcPr>
            <w:tcW w:type="dxa" w:w="41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加密存储、单独授权、短期保存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11.2 上线检查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更换 admin、operator 的默认密码，不对公网暴露演示账号。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启用 HTTPS，限制数据库和后端端口的网络访问范围。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根据本组织隐私政策配置保存期限和删除机制。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接入真实门禁、短信、企业微信前完成供应商安全评估。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定期检查超时未离场、黑名单变更和风险处置记录。</w:t>
      </w:r>
    </w:p>
    <w:p>
      <w:r>
        <w:br w:type="page"/>
      </w: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76B57"/>
          <w:sz w:val="17"/>
        </w:rPr>
        <w:t>FAQ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176B57"/>
          <w:sz w:val="32"/>
        </w:rPr>
        <w:t>12. 常见问题</w:t>
      </w:r>
    </w:p>
    <w:p>
      <w:pPr>
        <w:keepNext/>
        <w:spacing w:before="140" w:after="60" w:line="300" w:lineRule="auto"/>
      </w:pPr>
      <w:r>
        <w:rPr>
          <w:rFonts w:ascii="Arial" w:hAnsi="Arial" w:eastAsia="PingFang SC"/>
          <w:b/>
          <w:color w:val="173C33"/>
          <w:sz w:val="22"/>
        </w:rPr>
        <w:t>为什么预约不能直接签到？</w:t>
      </w:r>
    </w:p>
    <w:p>
      <w:pPr>
        <w:keepNext w:val="0"/>
        <w:spacing w:before="0" w:after="140" w:line="300" w:lineRule="auto"/>
      </w:pPr>
      <w:r>
        <w:rPr>
          <w:rFonts w:ascii="Arial" w:hAnsi="Arial" w:eastAsia="PingFang SC"/>
          <w:b w:val="0"/>
          <w:color w:val="65736E"/>
          <w:sz w:val="21"/>
        </w:rPr>
        <w:t>预约必须先处于“已审批”状态。请由接待人确认来访目的；受限区域还需安保复核。</w:t>
      </w:r>
    </w:p>
    <w:p>
      <w:pPr>
        <w:keepNext/>
        <w:spacing w:before="140" w:after="60" w:line="300" w:lineRule="auto"/>
      </w:pPr>
      <w:r>
        <w:rPr>
          <w:rFonts w:ascii="Arial" w:hAnsi="Arial" w:eastAsia="PingFang SC"/>
          <w:b/>
          <w:color w:val="173C33"/>
          <w:sz w:val="22"/>
        </w:rPr>
        <w:t>审批通过后在哪里查看通行码？</w:t>
      </w:r>
    </w:p>
    <w:p>
      <w:pPr>
        <w:keepNext w:val="0"/>
        <w:spacing w:before="0" w:after="140" w:line="300" w:lineRule="auto"/>
      </w:pPr>
      <w:r>
        <w:rPr>
          <w:rFonts w:ascii="Arial" w:hAnsi="Arial" w:eastAsia="PingFang SC"/>
          <w:b w:val="0"/>
          <w:color w:val="65736E"/>
          <w:sz w:val="21"/>
        </w:rPr>
        <w:t>移动端点击“通行码”。管理端预约详情也会显示已签发的六位数字码。</w:t>
      </w:r>
    </w:p>
    <w:p>
      <w:pPr>
        <w:keepNext/>
        <w:spacing w:before="140" w:after="60" w:line="300" w:lineRule="auto"/>
      </w:pPr>
      <w:r>
        <w:rPr>
          <w:rFonts w:ascii="Arial" w:hAnsi="Arial" w:eastAsia="PingFang SC"/>
          <w:b/>
          <w:color w:val="173C33"/>
          <w:sz w:val="22"/>
        </w:rPr>
        <w:t>访客已经离开但仍显示在园怎么办？</w:t>
      </w:r>
    </w:p>
    <w:p>
      <w:pPr>
        <w:keepNext w:val="0"/>
        <w:spacing w:before="0" w:after="140" w:line="300" w:lineRule="auto"/>
      </w:pPr>
      <w:r>
        <w:rPr>
          <w:rFonts w:ascii="Arial" w:hAnsi="Arial" w:eastAsia="PingFang SC"/>
          <w:b w:val="0"/>
          <w:color w:val="65736E"/>
          <w:sz w:val="21"/>
        </w:rPr>
        <w:t>在预约详情中执行“确认离场”。若已超时，可在风险预警中先完成现场核对再签退。</w:t>
      </w:r>
    </w:p>
    <w:p>
      <w:pPr>
        <w:keepNext/>
        <w:spacing w:before="140" w:after="60" w:line="300" w:lineRule="auto"/>
      </w:pPr>
      <w:r>
        <w:rPr>
          <w:rFonts w:ascii="Arial" w:hAnsi="Arial" w:eastAsia="PingFang SC"/>
          <w:b/>
          <w:color w:val="173C33"/>
          <w:sz w:val="22"/>
        </w:rPr>
        <w:t>如何处理黑名单访客？</w:t>
      </w:r>
    </w:p>
    <w:p>
      <w:pPr>
        <w:keepNext w:val="0"/>
        <w:spacing w:before="0" w:after="140" w:line="300" w:lineRule="auto"/>
      </w:pPr>
      <w:r>
        <w:rPr>
          <w:rFonts w:ascii="Arial" w:hAnsi="Arial" w:eastAsia="PingFang SC"/>
          <w:b w:val="0"/>
          <w:color w:val="65736E"/>
          <w:sz w:val="21"/>
        </w:rPr>
        <w:t>在资源中心确认黑名单状态，不应继续审批；由安保人员核实原因后决定是否解除。</w:t>
      </w:r>
    </w:p>
    <w:p>
      <w:pPr>
        <w:keepNext/>
        <w:spacing w:before="140" w:after="60" w:line="300" w:lineRule="auto"/>
      </w:pPr>
      <w:r>
        <w:rPr>
          <w:rFonts w:ascii="Arial" w:hAnsi="Arial" w:eastAsia="PingFang SC"/>
          <w:b/>
          <w:color w:val="173C33"/>
          <w:sz w:val="22"/>
        </w:rPr>
        <w:t>企业微信、短信和闸机可以直接用吗？</w:t>
      </w:r>
    </w:p>
    <w:p>
      <w:pPr>
        <w:keepNext w:val="0"/>
        <w:spacing w:before="0" w:after="140" w:line="300" w:lineRule="auto"/>
      </w:pPr>
      <w:r>
        <w:rPr>
          <w:rFonts w:ascii="Arial" w:hAnsi="Arial" w:eastAsia="PingFang SC"/>
          <w:b w:val="0"/>
          <w:color w:val="65736E"/>
          <w:sz w:val="21"/>
        </w:rPr>
        <w:t>社区源码版只预留对接方式，没有真实对接。需要自行开发配置或联系知华科技授权定制。</w:t>
      </w:r>
    </w:p>
    <w:p>
      <w:pPr>
        <w:keepNext/>
        <w:spacing w:before="140" w:after="60" w:line="300" w:lineRule="auto"/>
      </w:pPr>
      <w:r>
        <w:rPr>
          <w:rFonts w:ascii="Arial" w:hAnsi="Arial" w:eastAsia="PingFang SC"/>
          <w:b/>
          <w:color w:val="173C33"/>
          <w:sz w:val="22"/>
        </w:rPr>
        <w:t>为什么 operator 看不到基础设置？</w:t>
      </w:r>
    </w:p>
    <w:p>
      <w:pPr>
        <w:keepNext w:val="0"/>
        <w:spacing w:before="0" w:after="140" w:line="300" w:lineRule="auto"/>
      </w:pPr>
      <w:r>
        <w:rPr>
          <w:rFonts w:ascii="Arial" w:hAnsi="Arial" w:eastAsia="PingFang SC"/>
          <w:b w:val="0"/>
          <w:color w:val="65736E"/>
          <w:sz w:val="21"/>
        </w:rPr>
        <w:t>基础设置属于管理员权限。operator 仅用于日常预约协同和风险处置。</w:t>
      </w:r>
    </w:p>
    <w:p>
      <w:pPr>
        <w:keepNext/>
        <w:spacing w:before="140" w:after="60" w:line="300" w:lineRule="auto"/>
      </w:pPr>
      <w:r>
        <w:rPr>
          <w:rFonts w:ascii="Arial" w:hAnsi="Arial" w:eastAsia="PingFang SC"/>
          <w:b/>
          <w:color w:val="173C33"/>
          <w:sz w:val="22"/>
        </w:rPr>
        <w:t>可以用于企业正式运营吗？</w:t>
      </w:r>
    </w:p>
    <w:p>
      <w:pPr>
        <w:keepNext w:val="0"/>
        <w:spacing w:before="0" w:after="140" w:line="300" w:lineRule="auto"/>
      </w:pPr>
      <w:r>
        <w:rPr>
          <w:rFonts w:ascii="Arial" w:hAnsi="Arial" w:eastAsia="PingFang SC"/>
          <w:b w:val="0"/>
          <w:color w:val="65736E"/>
          <w:sz w:val="21"/>
        </w:rPr>
        <w:t>未经上海如静知华信息科技有限公司书面授权不得商用或生产部署。</w:t>
      </w:r>
    </w:p>
    <w:p>
      <w:r>
        <w:br w:type="page"/>
      </w: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76B57"/>
          <w:sz w:val="17"/>
        </w:rPr>
        <w:t>INSTALLATION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176B57"/>
          <w:sz w:val="32"/>
        </w:rPr>
        <w:t>13. 安装与体验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最简单的体验方式是使用 Docker Compose 启动 MySQL、Java 后端和前端。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环境要求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建议版本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Docker / Compose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支持 compose.yaml 的当前稳定版本</w:t>
            </w:r>
          </w:p>
        </w:tc>
      </w:tr>
      <w:tr>
        <w:trPr>
          <w:cantSplit/>
        </w:trPr>
        <w:tc>
          <w:tcPr>
            <w:tcW w:type="dxa" w:w="25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Java</w:t>
            </w:r>
          </w:p>
        </w:tc>
        <w:tc>
          <w:tcPr>
            <w:tcW w:type="dxa" w:w="68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21（本地开发）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Node.js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22（本地开发）</w:t>
            </w:r>
          </w:p>
        </w:tc>
      </w:tr>
      <w:tr>
        <w:trPr>
          <w:cantSplit/>
        </w:trPr>
        <w:tc>
          <w:tcPr>
            <w:tcW w:type="dxa" w:w="25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MySQL</w:t>
            </w:r>
          </w:p>
        </w:tc>
        <w:tc>
          <w:tcPr>
            <w:tcW w:type="dxa" w:w="68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8.4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启动步骤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1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准备配置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复制 .env.example 为 .env，并修改数据库和演示账号密码。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2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启动服务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在项目根目录执行 docker compose up --build。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3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打开系统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浏览器访问 http://localhost:8090。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4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登录体验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演示管理员 admin / admin123；运营人员 operator / operator123。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DE9"/>
            <w:vAlign w:val="center"/>
          </w:tcPr>
          <w:p>
            <w:pPr>
              <w:spacing w:after="60"/>
            </w:pPr>
            <w:r>
              <w:rPr>
                <w:rFonts w:ascii="Arial" w:hAnsi="Arial" w:eastAsia="PingFang SC"/>
                <w:b/>
                <w:color w:val="A64235"/>
                <w:sz w:val="21"/>
              </w:rPr>
              <w:t>重要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PingFang SC"/>
                <w:b w:val="0"/>
                <w:color w:val="18221F"/>
                <w:sz w:val="19"/>
              </w:rPr>
              <w:t>默认账号和密码仅供本地学习演示，严禁直接用于互联网或生产环境。</w:t>
            </w:r>
          </w:p>
        </w:tc>
      </w:tr>
    </w:tbl>
    <w:p>
      <w:pPr>
        <w:keepNext w:val="0"/>
        <w:spacing w:before="0" w:after="80" w:line="300" w:lineRule="auto"/>
      </w:pPr>
    </w:p>
    <w:p>
      <w:r>
        <w:br w:type="page"/>
      </w: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76B57"/>
          <w:sz w:val="17"/>
        </w:rPr>
        <w:t>SUPPORT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176B57"/>
          <w:sz w:val="32"/>
        </w:rPr>
        <w:t>14. 许可边界与技术支持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14.1 非商业使用说明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本工程仅能用于个人非商业学习、研究和技术交流。未经上海如静知华信息科技有限公司书面授权，不得用于企业内部生产、商业部署、SaaS、收费下载、售卖、外包交付、投标、品牌替换或任何直接、间接商业用途。具体以项目 LICENSE 为准。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14.2 深度开发与商业授权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如需接入身份证件核验、闸机门禁、访客机、企业微信、短信、多园区、单点登录、国产化环境或实施交付，可联系知华科技。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联系项目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信息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公司</w:t>
            </w:r>
          </w:p>
        </w:tc>
        <w:tc>
          <w:tcPr>
            <w:tcW w:type="dxa" w:w="76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上海如静知华信息科技有限公司</w:t>
            </w:r>
          </w:p>
        </w:tc>
      </w:tr>
      <w:tr>
        <w:trPr>
          <w:cantSplit/>
        </w:trPr>
        <w:tc>
          <w:tcPr>
            <w:tcW w:type="dxa" w:w="17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品牌</w:t>
            </w:r>
          </w:p>
        </w:tc>
        <w:tc>
          <w:tcPr>
            <w:tcW w:type="dxa" w:w="76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知华科技 / ZhuaTech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官网</w:t>
            </w:r>
          </w:p>
        </w:tc>
        <w:tc>
          <w:tcPr>
            <w:tcW w:type="dxa" w:w="76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https://www.zhuatech.cn/</w:t>
            </w:r>
          </w:p>
        </w:tc>
      </w:tr>
      <w:tr>
        <w:trPr>
          <w:cantSplit/>
        </w:trPr>
        <w:tc>
          <w:tcPr>
            <w:tcW w:type="dxa" w:w="17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服务</w:t>
            </w:r>
          </w:p>
        </w:tc>
        <w:tc>
          <w:tcPr>
            <w:tcW w:type="dxa" w:w="76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中小企业信息化、AI 转型、软件外包、项目实施与深度定制</w:t>
            </w:r>
          </w:p>
        </w:tc>
      </w:tr>
    </w:tbl>
    <w:p>
      <w:pPr>
        <w:keepNext w:val="0"/>
        <w:spacing w:before="0" w:after="12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897955"/>
                  <wp:docPr id="8" name="Picture 8" descr="知华科技微信咨询二维码 1" title="知华科技微信咨询二维码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huatech-wechat-consulting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8979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 w:eastAsia="PingFang SC"/>
                <w:b/>
                <w:color w:val="65736E"/>
                <w:sz w:val="17"/>
              </w:rPr>
              <w:t>微信咨询二维码 1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947413"/>
                  <wp:docPr id="9" name="Picture 9" descr="知华科技微信咨询二维码 2" title="知华科技微信咨询二维码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huatech-wechat-consulting-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474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 w:eastAsia="PingFang SC"/>
                <w:b/>
                <w:color w:val="65736E"/>
                <w:sz w:val="17"/>
              </w:rPr>
              <w:t>微信咨询二维码 2</w:t>
            </w:r>
          </w:p>
        </w:tc>
      </w:tr>
    </w:tbl>
    <w:p>
      <w:pPr>
        <w:keepNext w:val="0"/>
        <w:spacing w:before="200" w:after="80" w:line="300" w:lineRule="auto"/>
        <w:jc w:val="center"/>
      </w:pPr>
      <w:hyperlink r:id="rId11">
        <w:r>
          <w:rPr>
            <w:color w:val="176B57"/>
            <w:u w:val="single"/>
          </w:rPr>
          <w:t>访问知华科技官网 https://www.zhuatech.cn/</w:t>
        </w:r>
      </w:hyperlink>
    </w:p>
    <w:p>
      <w:pPr>
        <w:keepNext w:val="0"/>
        <w:spacing w:before="0" w:after="0" w:line="300" w:lineRule="auto"/>
        <w:jc w:val="center"/>
      </w:pPr>
      <w:r>
        <w:rPr>
          <w:rFonts w:ascii="Arial" w:hAnsi="Arial" w:eastAsia="PingFang SC"/>
          <w:b w:val="0"/>
          <w:color w:val="65736E"/>
          <w:sz w:val="17"/>
        </w:rPr>
        <w:t>© 2026 上海如静知华信息科技有限公司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PingFang SC"/>
        <w:b w:val="0"/>
        <w:color w:val="65736E"/>
        <w:sz w:val="17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PingFang SC"/>
        <w:b w:val="0"/>
        <w:color w:val="65736E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PingFang SC"/>
        <w:b/>
        <w:color w:val="65736E"/>
        <w:sz w:val="17"/>
      </w:rPr>
      <w:t>知华科技 · ZhuaTech VMS  产品使用手册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color w:val="1822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PingFang SC" w:hAnsi="PingFang SC" w:eastAsia="PingFang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zhuatech.cn/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知华科技 ZhuaTech VMS 产品使用手册 V1.1</dc:title>
  <dc:subject>访客预约、审批、签到、通行、离场、风险预警与资源配置</dc:subject>
  <dc:creator>上海如静知华信息科技有限公司</dc:creator>
  <cp:keywords>知华科技,VMS,访客管理系统,访客预约,访客通行码,园区门禁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