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 title="知华科技标识" descr="上海如静知华信息科技有限公司品牌标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ihua-logo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2"/>
        </w:rPr>
        <w:t>知华科技  ·  ZHIHUA TECHNOLOGY</w:t>
      </w:r>
    </w:p>
    <w:p>
      <w:pPr>
        <w:spacing w:after="240"/>
        <w:jc w:val="center"/>
      </w:pPr>
      <w:r>
        <w:rPr>
          <w:rFonts w:ascii="Calibri" w:hAnsi="Calibri" w:eastAsia="Microsoft YaHei"/>
          <w:color w:val="69737D"/>
          <w:sz w:val="26"/>
        </w:rPr>
        <w:t>ZhuaTech VMS 访客预约与通行管理平台</w:t>
      </w:r>
    </w:p>
    <w:p>
      <w:pPr>
        <w:spacing w:after="320"/>
        <w:jc w:val="center"/>
      </w:pPr>
      <w:r>
        <w:rPr>
          <w:rFonts w:ascii="Calibri" w:hAnsi="Calibri" w:eastAsia="Microsoft YaHei"/>
          <w:b/>
          <w:color w:val="22303C"/>
          <w:sz w:val="52"/>
        </w:rPr>
        <w:t>产品手册</w:t>
      </w:r>
    </w:p>
    <w:p>
      <w:pPr>
        <w:spacing w:after="100"/>
        <w:jc w:val="center"/>
      </w:pPr>
      <w:r>
        <w:rPr>
          <w:rFonts w:ascii="Calibri" w:hAnsi="Calibri" w:eastAsia="Microsoft YaHei"/>
          <w:color w:val="69737D"/>
          <w:sz w:val="21"/>
        </w:rPr>
        <w:t>文档版本：V1.0</w:t>
      </w:r>
    </w:p>
    <w:p>
      <w:pPr>
        <w:spacing w:after="100"/>
        <w:jc w:val="center"/>
      </w:pPr>
      <w:r>
        <w:rPr>
          <w:rFonts w:ascii="Calibri" w:hAnsi="Calibri" w:eastAsia="Microsoft YaHei"/>
          <w:color w:val="69737D"/>
          <w:sz w:val="21"/>
        </w:rPr>
        <w:t>适用版本：ZhuaTech VMS 社区源码版</w:t>
      </w:r>
    </w:p>
    <w:p>
      <w:pPr>
        <w:spacing w:after="100"/>
        <w:jc w:val="center"/>
      </w:pPr>
      <w:r>
        <w:rPr>
          <w:rFonts w:ascii="Calibri" w:hAnsi="Calibri" w:eastAsia="Microsoft YaHei"/>
          <w:color w:val="69737D"/>
          <w:sz w:val="21"/>
        </w:rPr>
        <w:t>编制单位：上海如静知华信息科技有限公司</w:t>
      </w:r>
    </w:p>
    <w:p>
      <w:pPr>
        <w:spacing w:after="100"/>
        <w:jc w:val="center"/>
      </w:pPr>
      <w:r>
        <w:rPr>
          <w:rFonts w:ascii="Calibri" w:hAnsi="Calibri" w:eastAsia="Microsoft YaHei"/>
          <w:color w:val="69737D"/>
          <w:sz w:val="21"/>
        </w:rPr>
        <w:t>更新日期：2026 年 8 月 26 日</w:t>
      </w:r>
    </w:p>
    <w:p>
      <w:pPr>
        <w:spacing w:before="400" w:after="120"/>
        <w:jc w:val="center"/>
      </w:pPr>
      <w:r>
        <w:rPr>
          <w:rFonts w:ascii="Calibri" w:hAnsi="Calibri" w:eastAsia="Microsoft YaHei"/>
          <w:b/>
          <w:color w:val="1F4D78"/>
          <w:sz w:val="24"/>
        </w:rPr>
        <w:t>让每一次来访都有预约、有确认、有通行、有留痕</w:t>
      </w:r>
    </w:p>
    <w:p>
      <w:pPr>
        <w:jc w:val="center"/>
      </w:pPr>
      <w:r>
        <w:rPr>
          <w:rFonts w:ascii="Calibri" w:hAnsi="Calibri" w:eastAsia="Microsoft YaHei"/>
          <w:color w:val="69737D"/>
          <w:sz w:val="21"/>
        </w:rPr>
        <w:t>官网：</w:t>
      </w:r>
      <w:hyperlink r:id="rId21">
        <w:r>
          <w:rPr>
            <w:color w:val="2E74B5"/>
            <w:u w:val="single"/>
          </w:rPr>
          <w:t>知华科技官方网站</w:t>
        </w:r>
      </w:hyperlink>
    </w:p>
    <w:p>
      <w:pPr>
        <w:pStyle w:val="Heading1"/>
        <w:keepNext/>
        <w:pageBreakBefore/>
      </w:pPr>
      <w:r>
        <w:t>阅读说明</w:t>
      </w:r>
    </w:p>
    <w:p>
      <w:pPr>
        <w:widowControl/>
      </w:pPr>
      <w:r>
        <w:rPr>
          <w:rFonts w:ascii="Calibri" w:hAnsi="Calibri" w:eastAsia="Microsoft YaHei"/>
          <w:color w:val="22303C"/>
          <w:sz w:val="22"/>
        </w:rPr>
        <w:t>本手册面向园区前台、行政接待、安保人员、内部接待人、系统管理员以及评估本项目的技术人员。内容基于 ZhuaTech VMS 社区源码版当前实现编制，既说明产品场景，也明确演示能力与生产化边界。</w:t>
      </w:r>
    </w:p>
    <w:p>
      <w:pPr>
        <w:spacing w:before="80" w:after="200" w:line="288" w:lineRule="auto"/>
        <w:ind w:left="173" w:right="72"/>
        <w:shd w:fill="EAF2F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版本说明  </w:t>
      </w:r>
      <w:r>
        <w:rPr>
          <w:rFonts w:ascii="Calibri" w:hAnsi="Calibri" w:eastAsia="Microsoft YaHei"/>
          <w:color w:val="22303C"/>
          <w:sz w:val="21"/>
        </w:rPr>
        <w:t>社区源码版提供可运行的前后端分离样例、演示数据、访客风险规则和应急清点能力。证件识别、真实门禁控制器、短信/企业微信通知、访客机和人脸核验属于预留集成方向，默认未连接第三方生产服务。</w:t>
      </w:r>
    </w:p>
    <w:p>
      <w:pPr>
        <w:pStyle w:val="Heading2"/>
        <w:keepNext/>
      </w:pPr>
      <w:r>
        <w:t>内容导航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2303C"/>
          <w:sz w:val="22"/>
        </w:rPr>
        <w:t>了解产品定位、适用场景和角色权限。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2303C"/>
          <w:sz w:val="22"/>
        </w:rPr>
        <w:t>掌握预约提交、接待审批、身份核验、通行授权和离场确认流程。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2303C"/>
          <w:sz w:val="22"/>
        </w:rPr>
        <w:t>使用管理端运营总览和移动工作台。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2303C"/>
          <w:sz w:val="22"/>
        </w:rPr>
        <w:t>处理夜间访问、受限区域、黑名单命中、超时未离场和应急清点。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ascii="Calibri" w:hAnsi="Calibri" w:eastAsia="Microsoft YaHei"/>
          <w:color w:val="22303C"/>
          <w:sz w:val="22"/>
        </w:rPr>
        <w:t>完成本地部署、账号配置、接口验证和安全检查。</w:t>
      </w:r>
    </w:p>
    <w:p>
      <w:pPr>
        <w:pStyle w:val="Heading1"/>
        <w:keepNext/>
      </w:pPr>
      <w:r>
        <w:t>1. 产品概览</w:t>
      </w:r>
    </w:p>
    <w:p>
      <w:pPr>
        <w:widowControl/>
      </w:pPr>
      <w:r>
        <w:rPr>
          <w:rFonts w:ascii="Calibri" w:hAnsi="Calibri" w:eastAsia="Microsoft YaHei"/>
          <w:color w:val="22303C"/>
          <w:sz w:val="22"/>
        </w:rPr>
        <w:t>ZhuaTech VMS 是知华科技（上海如静知华信息科技有限公司）发布的访客预约与通行管理社区源码项目。系统将来访申请、内部确认、准入判断、到访签到、通行授权、在园关注和离场留痕放在同一条业务链路中，适合用于企业园区、办公楼、工厂、实验室、数据中心和会议接待场景的学习、验证与二次开发。</w:t>
      </w:r>
    </w:p>
    <w:p>
      <w:pPr>
        <w:pStyle w:val="Heading2"/>
        <w:keepNext/>
      </w:pPr>
      <w:r>
        <w:t>1.1 核心价值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流程统一：减少纸质登记、群聊确认和口头放行造成的信息断点。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责任清晰：预约人、接待人、前台、安保和管理员各自处理明确事项。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风险前置：针对夜间访问、受限区域、实名核验和黑名单命中给出准入结论。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通行可控：为一次性通行码、时间窗、区域权限和离场回收预留标准接口。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数据留痕：保留事项编号、责任团队、状态、优先级和异常处理结果。</w:t>
      </w:r>
    </w:p>
    <w:p>
      <w:pPr>
        <w:pStyle w:val="Heading2"/>
        <w:keepNext/>
      </w:pPr>
      <w:r>
        <w:t>1.2 适用角色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3960"/>
        <w:gridCol w:w="3888"/>
      </w:tblGrid>
      <w:tr>
        <w:trPr>
          <w:tblHeader w:val="true"/>
        </w:trPr>
        <w:tc>
          <w:tcPr>
            <w:tcW w:type="dxa" w:w="1512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3960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主要职责</w:t>
            </w:r>
          </w:p>
        </w:tc>
        <w:tc>
          <w:tcPr>
            <w:tcW w:type="dxa" w:w="3888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当前版本权限</w:t>
            </w:r>
          </w:p>
        </w:tc>
      </w:tr>
      <w:tr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平台管理员</w:t>
            </w:r>
          </w:p>
        </w:tc>
        <w:tc>
          <w:tcPr>
            <w:tcW w:type="dxa" w:w="396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维护系统、查看运营数据、执行风险判断</w:t>
            </w:r>
          </w:p>
        </w:tc>
        <w:tc>
          <w:tcPr>
            <w:tcW w:type="dxa" w:w="388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访问 /api/admin/**，管理全局数据</w:t>
            </w:r>
          </w:p>
        </w:tc>
      </w:tr>
      <w:tr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运营人员</w:t>
            </w:r>
          </w:p>
        </w:tc>
        <w:tc>
          <w:tcPr>
            <w:tcW w:type="dxa" w:w="396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跟进预约、接待、签到、通行和异常事项</w:t>
            </w:r>
          </w:p>
        </w:tc>
        <w:tc>
          <w:tcPr>
            <w:tcW w:type="dxa" w:w="388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访问工作台数据和协同事项</w:t>
            </w:r>
          </w:p>
        </w:tc>
      </w:tr>
      <w:tr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内部接待人</w:t>
            </w:r>
          </w:p>
        </w:tc>
        <w:tc>
          <w:tcPr>
            <w:tcW w:type="dxa" w:w="396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确认来访目的、时间、区域与人员名单</w:t>
            </w:r>
          </w:p>
        </w:tc>
        <w:tc>
          <w:tcPr>
            <w:tcW w:type="dxa" w:w="388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通过移动工作台预览接待提醒</w:t>
            </w:r>
          </w:p>
        </w:tc>
      </w:tr>
      <w:tr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访客</w:t>
            </w:r>
          </w:p>
        </w:tc>
        <w:tc>
          <w:tcPr>
            <w:tcW w:type="dxa" w:w="396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提交预约信息、签到、出示通行凭证</w:t>
            </w:r>
          </w:p>
        </w:tc>
        <w:tc>
          <w:tcPr>
            <w:tcW w:type="dxa" w:w="388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通过响应式 H5 预览访客侧流程</w:t>
            </w:r>
          </w:p>
        </w:tc>
      </w:tr>
      <w:tr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前台 / 安保</w:t>
            </w:r>
          </w:p>
        </w:tc>
        <w:tc>
          <w:tcPr>
            <w:tcW w:type="dxa" w:w="396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核验身份、签发通行、关注超时和异常</w:t>
            </w:r>
          </w:p>
        </w:tc>
        <w:tc>
          <w:tcPr>
            <w:tcW w:type="dxa" w:w="388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通过管理端查看事项和风险提示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来访业务全流程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68"/>
        <w:gridCol w:w="3384"/>
        <w:gridCol w:w="1944"/>
        <w:gridCol w:w="2664"/>
      </w:tblGrid>
      <w:tr>
        <w:trPr>
          <w:tblHeader w:val="true"/>
        </w:trPr>
        <w:tc>
          <w:tcPr>
            <w:tcW w:type="dxa" w:w="1368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3384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关键动作</w:t>
            </w:r>
          </w:p>
        </w:tc>
        <w:tc>
          <w:tcPr>
            <w:tcW w:type="dxa" w:w="1944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主要责任人</w:t>
            </w:r>
          </w:p>
        </w:tc>
        <w:tc>
          <w:tcPr>
            <w:tcW w:type="dxa" w:w="2664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系统留痕</w:t>
            </w:r>
          </w:p>
        </w:tc>
      </w:tr>
      <w:tr>
        <w:tc>
          <w:tcPr>
            <w:tcW w:type="dxa" w:w="136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预约提交</w:t>
            </w:r>
          </w:p>
        </w:tc>
        <w:tc>
          <w:tcPr>
            <w:tcW w:type="dxa" w:w="33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登记事由、名单、时间、区域</w:t>
            </w:r>
          </w:p>
        </w:tc>
        <w:tc>
          <w:tcPr>
            <w:tcW w:type="dxa" w:w="19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访客 / 预约人</w:t>
            </w:r>
          </w:p>
        </w:tc>
        <w:tc>
          <w:tcPr>
            <w:tcW w:type="dxa" w:w="26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预约编号与基础资料</w:t>
            </w:r>
          </w:p>
        </w:tc>
      </w:tr>
      <w:tr>
        <w:tc>
          <w:tcPr>
            <w:tcW w:type="dxa" w:w="136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接待审批</w:t>
            </w:r>
          </w:p>
        </w:tc>
        <w:tc>
          <w:tcPr>
            <w:tcW w:type="dxa" w:w="33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确认目的、接待人和访问范围</w:t>
            </w:r>
          </w:p>
        </w:tc>
        <w:tc>
          <w:tcPr>
            <w:tcW w:type="dxa" w:w="19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内部接待人</w:t>
            </w:r>
          </w:p>
        </w:tc>
        <w:tc>
          <w:tcPr>
            <w:tcW w:type="dxa" w:w="26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审批结论与意见</w:t>
            </w:r>
          </w:p>
        </w:tc>
      </w:tr>
      <w:tr>
        <w:tc>
          <w:tcPr>
            <w:tcW w:type="dxa" w:w="136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身份核验</w:t>
            </w:r>
          </w:p>
        </w:tc>
        <w:tc>
          <w:tcPr>
            <w:tcW w:type="dxa" w:w="33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证件、实名与黑名单复核</w:t>
            </w:r>
          </w:p>
        </w:tc>
        <w:tc>
          <w:tcPr>
            <w:tcW w:type="dxa" w:w="19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前台 / 安保</w:t>
            </w:r>
          </w:p>
        </w:tc>
        <w:tc>
          <w:tcPr>
            <w:tcW w:type="dxa" w:w="26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核验结果与异常原因</w:t>
            </w:r>
          </w:p>
        </w:tc>
      </w:tr>
      <w:tr>
        <w:tc>
          <w:tcPr>
            <w:tcW w:type="dxa" w:w="136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通行授权</w:t>
            </w:r>
          </w:p>
        </w:tc>
        <w:tc>
          <w:tcPr>
            <w:tcW w:type="dxa" w:w="33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签发时间窗和区域权限</w:t>
            </w:r>
          </w:p>
        </w:tc>
        <w:tc>
          <w:tcPr>
            <w:tcW w:type="dxa" w:w="19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前台 / 安保</w:t>
            </w:r>
          </w:p>
        </w:tc>
        <w:tc>
          <w:tcPr>
            <w:tcW w:type="dxa" w:w="26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通行码与授权范围</w:t>
            </w:r>
          </w:p>
        </w:tc>
      </w:tr>
      <w:tr>
        <w:tc>
          <w:tcPr>
            <w:tcW w:type="dxa" w:w="136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在园关注</w:t>
            </w:r>
          </w:p>
        </w:tc>
        <w:tc>
          <w:tcPr>
            <w:tcW w:type="dxa" w:w="33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关注超时、受限区和异常行为</w:t>
            </w:r>
          </w:p>
        </w:tc>
        <w:tc>
          <w:tcPr>
            <w:tcW w:type="dxa" w:w="19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安保 / 接待人</w:t>
            </w:r>
          </w:p>
        </w:tc>
        <w:tc>
          <w:tcPr>
            <w:tcW w:type="dxa" w:w="26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提醒与处置记录</w:t>
            </w:r>
          </w:p>
        </w:tc>
      </w:tr>
      <w:tr>
        <w:tc>
          <w:tcPr>
            <w:tcW w:type="dxa" w:w="136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离场确认</w:t>
            </w:r>
          </w:p>
        </w:tc>
        <w:tc>
          <w:tcPr>
            <w:tcW w:type="dxa" w:w="338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回收权限并确认离场</w:t>
            </w:r>
          </w:p>
        </w:tc>
        <w:tc>
          <w:tcPr>
            <w:tcW w:type="dxa" w:w="19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前台 / 安保</w:t>
            </w:r>
          </w:p>
        </w:tc>
        <w:tc>
          <w:tcPr>
            <w:tcW w:type="dxa" w:w="266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离场时间与闭环状态</w:t>
            </w:r>
          </w:p>
        </w:tc>
      </w:tr>
    </w:tbl>
    <w:p>
      <w:pPr>
        <w:spacing w:after="0"/>
      </w:pPr>
    </w:p>
    <w:p>
      <w:pPr>
        <w:spacing w:before="80" w:after="200" w:line="288" w:lineRule="auto"/>
        <w:ind w:left="173" w:right="72"/>
        <w:shd w:fill="EAF2F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建议原则  </w:t>
      </w:r>
      <w:r>
        <w:rPr>
          <w:rFonts w:ascii="Calibri" w:hAnsi="Calibri" w:eastAsia="Microsoft YaHei"/>
          <w:color w:val="22303C"/>
          <w:sz w:val="21"/>
        </w:rPr>
        <w:t>先确认来访目的与接待关系，再签发通行权限；授权应同时限制访问日期、时间段和区域，离场后及时回收。</w:t>
      </w:r>
    </w:p>
    <w:p>
      <w:pPr>
        <w:pStyle w:val="Heading1"/>
        <w:keepNext/>
        <w:pageBreakBefore/>
      </w:pPr>
      <w:r>
        <w:t>3. 管理端：园区接待与运营中心</w:t>
      </w:r>
    </w:p>
    <w:p>
      <w:pPr>
        <w:widowControl/>
      </w:pPr>
      <w:r>
        <w:rPr>
          <w:rFonts w:ascii="Calibri" w:hAnsi="Calibri" w:eastAsia="Microsoft YaHei"/>
          <w:color w:val="22303C"/>
          <w:sz w:val="22"/>
        </w:rPr>
        <w:t>管理端面向平台管理员、前台和安保团队，采用专业后台工作台布局。左侧提供运营总览、业务协同、资源中心、风险预警和基础设置导航；首页集中展示今日预约、已到访、待审批和在园访客等指标。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87812"/>
            <wp:docPr id="2" name="Picture 2" title="VMS 园区接待管理端" descr="展示今日预约、已到访、待审批、在园访客、流程进度、健康度和重点协同事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s-reception-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8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Calibri" w:hAnsi="Calibri" w:eastAsia="Microsoft YaHei"/>
          <w:b/>
          <w:color w:val="4F81BD"/>
          <w:sz w:val="18"/>
        </w:rPr>
        <w:t>图 1  VMS 园区接待管理端（社区源码版示例数据）</w:t>
      </w:r>
    </w:p>
    <w:p>
      <w:pPr>
        <w:pStyle w:val="Heading2"/>
        <w:keepNext/>
      </w:pPr>
      <w:r>
        <w:t>3.1 运营总览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今日预约：查看计划到访总量，辅助前台排班和会议室准备。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已到访：核对实际签到进度，识别集中到访时段。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待审批：提醒接待人及时确认，避免访客到场后等待。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在园访客：支持安保掌握实时在场规模，并为应急清点提供基数。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业务运行态势：按预约、审批、核验、通行和离场阶段展示完成进度。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重点协同事项：按编号、责任团队、优先级和状态跟踪异常及待办。</w:t>
      </w:r>
    </w:p>
    <w:p>
      <w:pPr>
        <w:pStyle w:val="Heading2"/>
        <w:keepNext/>
      </w:pPr>
      <w:r>
        <w:t>3.2 建议操作顺序</w:t>
      </w:r>
    </w:p>
    <w:p>
      <w:pPr>
        <w:pStyle w:val="ListNumber"/>
        <w:widowControl/>
        <w:numPr>
          <w:ilvl w:val="0"/>
          <w:numId w:val="11"/>
        </w:numPr>
      </w:pPr>
      <w:r>
        <w:rPr>
          <w:rFonts w:ascii="Calibri" w:hAnsi="Calibri" w:eastAsia="Microsoft YaHei"/>
          <w:color w:val="22303C"/>
          <w:sz w:val="22"/>
        </w:rPr>
        <w:t>进入运营总览，确认今日预约、在园访客和待审批数量是否正常。</w:t>
      </w:r>
    </w:p>
    <w:p>
      <w:pPr>
        <w:pStyle w:val="ListNumber"/>
        <w:widowControl/>
        <w:numPr>
          <w:ilvl w:val="0"/>
          <w:numId w:val="11"/>
        </w:numPr>
      </w:pPr>
      <w:r>
        <w:rPr>
          <w:rFonts w:ascii="Calibri" w:hAnsi="Calibri" w:eastAsia="Microsoft YaHei"/>
          <w:color w:val="22303C"/>
          <w:sz w:val="22"/>
        </w:rPr>
        <w:t>查看运营提示，优先处理夜间、受限区域、多人来访和身份未核验事项。</w:t>
      </w:r>
    </w:p>
    <w:p>
      <w:pPr>
        <w:pStyle w:val="ListNumber"/>
        <w:widowControl/>
        <w:numPr>
          <w:ilvl w:val="0"/>
          <w:numId w:val="11"/>
        </w:numPr>
      </w:pPr>
      <w:r>
        <w:rPr>
          <w:rFonts w:ascii="Calibri" w:hAnsi="Calibri" w:eastAsia="Microsoft YaHei"/>
          <w:color w:val="22303C"/>
          <w:sz w:val="22"/>
        </w:rPr>
        <w:t>进入重点协同事项，按优先级联系责任团队并更新状态。</w:t>
      </w:r>
    </w:p>
    <w:p>
      <w:pPr>
        <w:pStyle w:val="ListNumber"/>
        <w:widowControl/>
        <w:numPr>
          <w:ilvl w:val="0"/>
          <w:numId w:val="11"/>
        </w:numPr>
      </w:pPr>
      <w:r>
        <w:rPr>
          <w:rFonts w:ascii="Calibri" w:hAnsi="Calibri" w:eastAsia="Microsoft YaHei"/>
          <w:color w:val="22303C"/>
          <w:sz w:val="22"/>
        </w:rPr>
        <w:t>对需要准入判断的预约执行访客风险评估，记录结论与管控措施。</w:t>
      </w:r>
    </w:p>
    <w:p>
      <w:pPr>
        <w:pStyle w:val="ListNumber"/>
        <w:widowControl/>
        <w:numPr>
          <w:ilvl w:val="0"/>
          <w:numId w:val="11"/>
        </w:numPr>
      </w:pPr>
      <w:r>
        <w:rPr>
          <w:rFonts w:ascii="Calibri" w:hAnsi="Calibri" w:eastAsia="Microsoft YaHei"/>
          <w:color w:val="22303C"/>
          <w:sz w:val="22"/>
        </w:rPr>
        <w:t>每日闭园前检查超时未离场和通行异常，确认所有事项闭环。</w:t>
      </w:r>
    </w:p>
    <w:p>
      <w:pPr>
        <w:pStyle w:val="Heading1"/>
        <w:keepNext/>
      </w:pPr>
      <w:r>
        <w:t>4. 移动端：访客与接待工作台</w:t>
      </w:r>
    </w:p>
    <w:p>
      <w:pPr>
        <w:widowControl/>
      </w:pPr>
      <w:r>
        <w:rPr>
          <w:rFonts w:ascii="Calibri" w:hAnsi="Calibri" w:eastAsia="Microsoft YaHei"/>
          <w:color w:val="22303C"/>
          <w:sz w:val="22"/>
        </w:rPr>
        <w:t>响应式 H5 用于展示访客和内部接待人的高频操作入口，可在管理端点击“查看移动工作台”切换预览。当前界面包含发起预约、访客签到、通行码、异常上报、待我审批和接待提醒等功能入口。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240280" cy="4688958"/>
            <wp:docPr id="3" name="Picture 3" title="VMS 移动访客通行工作台" descr="展示发起预约、访客签到、通行码、异常上报、审批提醒和接待事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s-mobile-pa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688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Calibri" w:hAnsi="Calibri" w:eastAsia="Microsoft YaHei"/>
          <w:b/>
          <w:color w:val="4F81BD"/>
          <w:sz w:val="18"/>
        </w:rPr>
        <w:t>图 2  移动访客通行工作台（H5 示例）</w:t>
      </w:r>
    </w:p>
    <w:p>
      <w:pPr>
        <w:pStyle w:val="Heading2"/>
        <w:keepNext/>
      </w:pPr>
      <w:r>
        <w:t>4.1 访客预约信息建议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访客姓名、手机号码、证件类型及必要的身份标识。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所属单位、来访事由、内部接待人和接待部门。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计划到访与离场时间，以及需要进入的园区、楼栋或区域。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同行人员、车辆信息和需要携带的设备或物品。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隐私告知与信息使用授权；生产环境应设置最小化采集和留存期限。</w:t>
      </w:r>
    </w:p>
    <w:p>
      <w:pPr>
        <w:pStyle w:val="Heading2"/>
        <w:keepNext/>
      </w:pPr>
      <w:r>
        <w:t>4.2 到访与离场</w:t>
      </w:r>
    </w:p>
    <w:p>
      <w:pPr>
        <w:pStyle w:val="ListNumber"/>
        <w:widowControl/>
        <w:numPr>
          <w:ilvl w:val="0"/>
          <w:numId w:val="12"/>
        </w:numPr>
      </w:pPr>
      <w:r>
        <w:rPr>
          <w:rFonts w:ascii="Calibri" w:hAnsi="Calibri" w:eastAsia="Microsoft YaHei"/>
          <w:color w:val="22303C"/>
          <w:sz w:val="22"/>
        </w:rPr>
        <w:t>访客到达后出示预约编号或二维码，由前台确认预约有效期。</w:t>
      </w:r>
    </w:p>
    <w:p>
      <w:pPr>
        <w:pStyle w:val="ListNumber"/>
        <w:widowControl/>
        <w:numPr>
          <w:ilvl w:val="0"/>
          <w:numId w:val="12"/>
        </w:numPr>
      </w:pPr>
      <w:r>
        <w:rPr>
          <w:rFonts w:ascii="Calibri" w:hAnsi="Calibri" w:eastAsia="Microsoft YaHei"/>
          <w:color w:val="22303C"/>
          <w:sz w:val="22"/>
        </w:rPr>
        <w:t>完成必要的身份核验；受限区域或夜间预约执行二次确认。</w:t>
      </w:r>
    </w:p>
    <w:p>
      <w:pPr>
        <w:pStyle w:val="ListNumber"/>
        <w:widowControl/>
        <w:numPr>
          <w:ilvl w:val="0"/>
          <w:numId w:val="12"/>
        </w:numPr>
      </w:pPr>
      <w:r>
        <w:rPr>
          <w:rFonts w:ascii="Calibri" w:hAnsi="Calibri" w:eastAsia="Microsoft YaHei"/>
          <w:color w:val="22303C"/>
          <w:sz w:val="22"/>
        </w:rPr>
        <w:t>签到成功后签发一次性通行凭证，并告知允许区域与有效时间。</w:t>
      </w:r>
    </w:p>
    <w:p>
      <w:pPr>
        <w:pStyle w:val="ListNumber"/>
        <w:widowControl/>
        <w:numPr>
          <w:ilvl w:val="0"/>
          <w:numId w:val="12"/>
        </w:numPr>
      </w:pPr>
      <w:r>
        <w:rPr>
          <w:rFonts w:ascii="Calibri" w:hAnsi="Calibri" w:eastAsia="Microsoft YaHei"/>
          <w:color w:val="22303C"/>
          <w:sz w:val="22"/>
        </w:rPr>
        <w:t>访问过程中如需变更区域或延长时间，由接待人重新确认。</w:t>
      </w:r>
    </w:p>
    <w:p>
      <w:pPr>
        <w:pStyle w:val="ListNumber"/>
        <w:widowControl/>
        <w:numPr>
          <w:ilvl w:val="0"/>
          <w:numId w:val="12"/>
        </w:numPr>
      </w:pPr>
      <w:r>
        <w:rPr>
          <w:rFonts w:ascii="Calibri" w:hAnsi="Calibri" w:eastAsia="Microsoft YaHei"/>
          <w:color w:val="22303C"/>
          <w:sz w:val="22"/>
        </w:rPr>
        <w:t>访客离场时确认签退，系统回收通行权限并完成事项闭环。</w:t>
      </w:r>
    </w:p>
    <w:p>
      <w:pPr>
        <w:pStyle w:val="Heading1"/>
        <w:keepNext/>
        <w:pageBreakBefore/>
      </w:pPr>
      <w:r>
        <w:t>5. 访客准入风险判断</w:t>
      </w:r>
    </w:p>
    <w:p>
      <w:pPr>
        <w:widowControl/>
      </w:pPr>
      <w:r>
        <w:rPr>
          <w:rFonts w:ascii="Calibri" w:hAnsi="Calibri" w:eastAsia="Microsoft YaHei"/>
          <w:color w:val="22303C"/>
          <w:sz w:val="22"/>
        </w:rPr>
        <w:t>管理员可通过 POST /api/admin/visit-risk 提交来访人数、是否夜间访问、是否涉及受限区域、接待人是否确认、身份是否核验以及是否命中黑名单。规则服务返回准入结论、风险分数和建议管控措施。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240"/>
        <w:gridCol w:w="4176"/>
      </w:tblGrid>
      <w:tr>
        <w:trPr>
          <w:tblHeader w:val="true"/>
        </w:trPr>
        <w:tc>
          <w:tcPr>
            <w:tcW w:type="dxa" w:w="1944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结论</w:t>
            </w:r>
          </w:p>
        </w:tc>
        <w:tc>
          <w:tcPr>
            <w:tcW w:type="dxa" w:w="3240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4176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建议动作</w:t>
            </w:r>
          </w:p>
        </w:tc>
      </w:tr>
      <w:tr>
        <w:tc>
          <w:tcPr>
            <w:tcW w:type="dxa" w:w="19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APPROVE</w:t>
            </w:r>
          </w:p>
        </w:tc>
        <w:tc>
          <w:tcPr>
            <w:tcW w:type="dxa" w:w="32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信息完整且未触发显著风险</w:t>
            </w:r>
          </w:p>
        </w:tc>
        <w:tc>
          <w:tcPr>
            <w:tcW w:type="dxa" w:w="41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按预约时间窗签发一次性通行码</w:t>
            </w:r>
          </w:p>
        </w:tc>
      </w:tr>
      <w:tr>
        <w:tc>
          <w:tcPr>
            <w:tcW w:type="dxa" w:w="19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MANUAL_REVIEW</w:t>
            </w:r>
          </w:p>
        </w:tc>
        <w:tc>
          <w:tcPr>
            <w:tcW w:type="dxa" w:w="32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存在夜间、受限区域或核验不足等条件</w:t>
            </w:r>
          </w:p>
        </w:tc>
        <w:tc>
          <w:tcPr>
            <w:tcW w:type="dxa" w:w="41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由前台或安保人工复核后决定</w:t>
            </w:r>
          </w:p>
        </w:tc>
      </w:tr>
      <w:tr>
        <w:tc>
          <w:tcPr>
            <w:tcW w:type="dxa" w:w="19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REJECT</w:t>
            </w:r>
          </w:p>
        </w:tc>
        <w:tc>
          <w:tcPr>
            <w:tcW w:type="dxa" w:w="32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命中明确拒绝条件，例如黑名单</w:t>
            </w:r>
          </w:p>
        </w:tc>
        <w:tc>
          <w:tcPr>
            <w:tcW w:type="dxa" w:w="41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停止预约并交由安保人员处理</w:t>
            </w:r>
          </w:p>
        </w:tc>
      </w:tr>
    </w:tbl>
    <w:p>
      <w:pPr>
        <w:spacing w:after="0"/>
      </w:pPr>
    </w:p>
    <w:p>
      <w:pPr>
        <w:spacing w:before="80" w:after="200" w:line="288" w:lineRule="auto"/>
        <w:ind w:left="173" w:right="72"/>
        <w:shd w:fill="EAF2F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注意  </w:t>
      </w:r>
      <w:r>
        <w:rPr>
          <w:rFonts w:ascii="Calibri" w:hAnsi="Calibri" w:eastAsia="Microsoft YaHei"/>
          <w:color w:val="22303C"/>
          <w:sz w:val="21"/>
        </w:rPr>
        <w:t>当前风险引擎是可读、可测试的规则示例，不等同于生产级安全决策系统。上线前应结合企业制度、隐私合规、门禁策略和人工复核流程完成配置与验收。</w:t>
      </w:r>
    </w:p>
    <w:p>
      <w:pPr>
        <w:pStyle w:val="Heading2"/>
        <w:keepNext/>
      </w:pPr>
      <w:r>
        <w:t>5.1 管控措施示例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接待人未确认：联系内部接待人核实来访目的和访问范围。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身份未核验：要求前台完成实名或证件核验后再放行。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夜间访问：限定通行时段并同步值班安保。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受限区域：采用陪同访问、最小区域授权或二次审批。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黑名单命中：停止预约，保留处置记录并由安保复核。</w:t>
      </w:r>
    </w:p>
    <w:p>
      <w:pPr>
        <w:pStyle w:val="Heading1"/>
        <w:keepNext/>
      </w:pPr>
      <w:r>
        <w:t>6. 异常处置与应急清点</w:t>
      </w:r>
    </w:p>
    <w:p>
      <w:pPr>
        <w:pStyle w:val="Heading2"/>
        <w:keepNext/>
      </w:pPr>
      <w:r>
        <w:t>6.1 超时未离场</w:t>
      </w:r>
    </w:p>
    <w:p>
      <w:pPr>
        <w:pStyle w:val="ListNumber"/>
        <w:widowControl/>
        <w:numPr>
          <w:ilvl w:val="0"/>
          <w:numId w:val="13"/>
        </w:numPr>
      </w:pPr>
      <w:r>
        <w:rPr>
          <w:rFonts w:ascii="Calibri" w:hAnsi="Calibri" w:eastAsia="Microsoft YaHei"/>
          <w:color w:val="22303C"/>
          <w:sz w:val="22"/>
        </w:rPr>
        <w:t>核对预约的计划离场时间和最后一次通行记录。</w:t>
      </w:r>
    </w:p>
    <w:p>
      <w:pPr>
        <w:pStyle w:val="ListNumber"/>
        <w:widowControl/>
        <w:numPr>
          <w:ilvl w:val="0"/>
          <w:numId w:val="13"/>
        </w:numPr>
      </w:pPr>
      <w:r>
        <w:rPr>
          <w:rFonts w:ascii="Calibri" w:hAnsi="Calibri" w:eastAsia="Microsoft YaHei"/>
          <w:color w:val="22303C"/>
          <w:sz w:val="22"/>
        </w:rPr>
        <w:t>联系内部接待人确认访客当前所在区域。</w:t>
      </w:r>
    </w:p>
    <w:p>
      <w:pPr>
        <w:pStyle w:val="ListNumber"/>
        <w:widowControl/>
        <w:numPr>
          <w:ilvl w:val="0"/>
          <w:numId w:val="13"/>
        </w:numPr>
      </w:pPr>
      <w:r>
        <w:rPr>
          <w:rFonts w:ascii="Calibri" w:hAnsi="Calibri" w:eastAsia="Microsoft YaHei"/>
          <w:color w:val="22303C"/>
          <w:sz w:val="22"/>
        </w:rPr>
        <w:t>必要时暂停或缩小通行权限，避免继续进入其他区域。</w:t>
      </w:r>
    </w:p>
    <w:p>
      <w:pPr>
        <w:pStyle w:val="ListNumber"/>
        <w:widowControl/>
        <w:numPr>
          <w:ilvl w:val="0"/>
          <w:numId w:val="13"/>
        </w:numPr>
      </w:pPr>
      <w:r>
        <w:rPr>
          <w:rFonts w:ascii="Calibri" w:hAnsi="Calibri" w:eastAsia="Microsoft YaHei"/>
          <w:color w:val="22303C"/>
          <w:sz w:val="22"/>
        </w:rPr>
        <w:t>确认离场后完成签退并记录异常原因和处置结果。</w:t>
      </w:r>
    </w:p>
    <w:p>
      <w:pPr>
        <w:pStyle w:val="Heading2"/>
        <w:keepNext/>
      </w:pPr>
      <w:r>
        <w:t>6.2 应急疏散访客清点</w:t>
      </w:r>
    </w:p>
    <w:p>
      <w:pPr>
        <w:widowControl/>
      </w:pPr>
      <w:r>
        <w:rPr>
          <w:rFonts w:ascii="Calibri" w:hAnsi="Calibri" w:eastAsia="Microsoft YaHei"/>
          <w:color w:val="22303C"/>
          <w:sz w:val="22"/>
        </w:rPr>
        <w:t>POST /api/vms/insights/evacuation-accountability 根据已入场、已离场、集合点签到和接待人确认人数计算仍在场及未清点访客，返回 CLEAR、RECONCILE 或 LOCATE_NOW。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240"/>
        <w:gridCol w:w="4176"/>
      </w:tblGrid>
      <w:tr>
        <w:trPr>
          <w:tblHeader w:val="true"/>
        </w:trPr>
        <w:tc>
          <w:tcPr>
            <w:tcW w:type="dxa" w:w="1944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3240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判断</w:t>
            </w:r>
          </w:p>
        </w:tc>
        <w:tc>
          <w:tcPr>
            <w:tcW w:type="dxa" w:w="4176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现场动作</w:t>
            </w:r>
          </w:p>
        </w:tc>
      </w:tr>
      <w:tr>
        <w:tc>
          <w:tcPr>
            <w:tcW w:type="dxa" w:w="19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CLEAR</w:t>
            </w:r>
          </w:p>
        </w:tc>
        <w:tc>
          <w:tcPr>
            <w:tcW w:type="dxa" w:w="32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所有在场访客均已确认</w:t>
            </w:r>
          </w:p>
        </w:tc>
        <w:tc>
          <w:tcPr>
            <w:tcW w:type="dxa" w:w="41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保留清点结果并向指挥员汇报</w:t>
            </w:r>
          </w:p>
        </w:tc>
      </w:tr>
      <w:tr>
        <w:tc>
          <w:tcPr>
            <w:tcW w:type="dxa" w:w="19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RECONCILE</w:t>
            </w:r>
          </w:p>
        </w:tc>
        <w:tc>
          <w:tcPr>
            <w:tcW w:type="dxa" w:w="32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数据存在差异但未进入紧急查找</w:t>
            </w:r>
          </w:p>
        </w:tc>
        <w:tc>
          <w:tcPr>
            <w:tcW w:type="dxa" w:w="41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联系接待人、核对名单和最后门禁位置</w:t>
            </w:r>
          </w:p>
        </w:tc>
      </w:tr>
      <w:tr>
        <w:tc>
          <w:tcPr>
            <w:tcW w:type="dxa" w:w="19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LOCATE_NOW</w:t>
            </w:r>
          </w:p>
        </w:tc>
        <w:tc>
          <w:tcPr>
            <w:tcW w:type="dxa" w:w="324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紧急状态仍有访客未清点</w:t>
            </w:r>
          </w:p>
        </w:tc>
        <w:tc>
          <w:tcPr>
            <w:tcW w:type="dxa" w:w="417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提交应急指挥员并启动现场查找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日常运营检查</w:t>
      </w:r>
    </w:p>
    <w:p>
      <w:pPr>
        <w:pStyle w:val="Checklist"/>
        <w:widowControl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2303C"/>
          <w:sz w:val="22"/>
        </w:rPr>
        <w:t>今日预约、待审批、在园人数与实际前台记录一致。</w:t>
      </w:r>
    </w:p>
    <w:p>
      <w:pPr>
        <w:pStyle w:val="Checklist"/>
        <w:widowControl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2303C"/>
          <w:sz w:val="22"/>
        </w:rPr>
        <w:t>夜间、多人和受限区域预约已完成额外复核。</w:t>
      </w:r>
    </w:p>
    <w:p>
      <w:pPr>
        <w:pStyle w:val="Checklist"/>
        <w:widowControl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2303C"/>
          <w:sz w:val="22"/>
        </w:rPr>
        <w:t>身份未核验、黑名单命中和通行异常均有处置结论。</w:t>
      </w:r>
    </w:p>
    <w:p>
      <w:pPr>
        <w:pStyle w:val="Checklist"/>
        <w:widowControl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2303C"/>
          <w:sz w:val="22"/>
        </w:rPr>
        <w:t>超时未离场访客已联系接待人并完成跟进。</w:t>
      </w:r>
    </w:p>
    <w:p>
      <w:pPr>
        <w:pStyle w:val="Checklist"/>
        <w:widowControl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2303C"/>
          <w:sz w:val="22"/>
        </w:rPr>
        <w:t>离场记录完整，一次性通行权限已回收。</w:t>
      </w:r>
    </w:p>
    <w:p>
      <w:pPr>
        <w:pStyle w:val="Checklist"/>
        <w:widowControl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2303C"/>
          <w:sz w:val="22"/>
        </w:rPr>
        <w:t>应急联系人、集合点和清点职责保持最新。</w:t>
      </w:r>
    </w:p>
    <w:p>
      <w:pPr>
        <w:pStyle w:val="Heading1"/>
        <w:keepNext/>
        <w:pageBreakBefore/>
      </w:pPr>
      <w:r>
        <w:t>7. 技术架构与接口</w:t>
      </w:r>
    </w:p>
    <w:p>
      <w:pPr>
        <w:widowControl/>
      </w:pPr>
      <w:r>
        <w:rPr>
          <w:rFonts w:ascii="Calibri" w:hAnsi="Calibri" w:eastAsia="Microsoft YaHei"/>
          <w:color w:val="22303C"/>
          <w:sz w:val="22"/>
        </w:rPr>
        <w:t>项目采用前后端分离和单体分层架构，便于学习、部署与二次开发。前端由 Vue 3 与 Vite 构建，后端使用 Java 21、Spring Boot 4、Spring Security、Spring Data JPA 和 MySQL 8。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3600"/>
        <w:gridCol w:w="4248"/>
      </w:tblGrid>
      <w:tr>
        <w:trPr>
          <w:tblHeader w:val="true"/>
        </w:trPr>
        <w:tc>
          <w:tcPr>
            <w:tcW w:type="dxa" w:w="1512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3600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技术组件</w:t>
            </w:r>
          </w:p>
        </w:tc>
        <w:tc>
          <w:tcPr>
            <w:tcW w:type="dxa" w:w="4248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职责</w:t>
            </w:r>
          </w:p>
        </w:tc>
      </w:tr>
      <w:tr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交互层</w:t>
            </w:r>
          </w:p>
        </w:tc>
        <w:tc>
          <w:tcPr>
            <w:tcW w:type="dxa" w:w="36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Vue 3 / Vite / 响应式 H5</w:t>
            </w:r>
          </w:p>
        </w:tc>
        <w:tc>
          <w:tcPr>
            <w:tcW w:type="dxa" w:w="424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管理端与移动工作台展示</w:t>
            </w:r>
          </w:p>
        </w:tc>
      </w:tr>
      <w:tr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安全层</w:t>
            </w:r>
          </w:p>
        </w:tc>
        <w:tc>
          <w:tcPr>
            <w:tcW w:type="dxa" w:w="36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Spring Security / HTTP Basic</w:t>
            </w:r>
          </w:p>
        </w:tc>
        <w:tc>
          <w:tcPr>
            <w:tcW w:type="dxa" w:w="424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演示账号、角色与接口访问控制</w:t>
            </w:r>
          </w:p>
        </w:tc>
      </w:tr>
      <w:tr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业务层</w:t>
            </w:r>
          </w:p>
        </w:tc>
        <w:tc>
          <w:tcPr>
            <w:tcW w:type="dxa" w:w="36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Controller / Service</w:t>
            </w:r>
          </w:p>
        </w:tc>
        <w:tc>
          <w:tcPr>
            <w:tcW w:type="dxa" w:w="424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运营数据、风险判断与应急清点</w:t>
            </w:r>
          </w:p>
        </w:tc>
      </w:tr>
      <w:tr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数据层</w:t>
            </w:r>
          </w:p>
        </w:tc>
        <w:tc>
          <w:tcPr>
            <w:tcW w:type="dxa" w:w="36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Spring Data JPA / MySQL 8</w:t>
            </w:r>
          </w:p>
        </w:tc>
        <w:tc>
          <w:tcPr>
            <w:tcW w:type="dxa" w:w="424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协同事项与演示数据持久化</w:t>
            </w:r>
          </w:p>
        </w:tc>
      </w:tr>
      <w:tr>
        <w:tc>
          <w:tcPr>
            <w:tcW w:type="dxa" w:w="1512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部署层</w:t>
            </w:r>
          </w:p>
        </w:tc>
        <w:tc>
          <w:tcPr>
            <w:tcW w:type="dxa" w:w="360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Docker Compose / Nginx</w:t>
            </w:r>
          </w:p>
        </w:tc>
        <w:tc>
          <w:tcPr>
            <w:tcW w:type="dxa" w:w="4248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前端、后端与数据库一键编排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主要接口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4536"/>
        <w:gridCol w:w="3744"/>
      </w:tblGrid>
      <w:tr>
        <w:trPr>
          <w:tblHeader w:val="true"/>
        </w:trPr>
        <w:tc>
          <w:tcPr>
            <w:tcW w:type="dxa" w:w="1080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方法</w:t>
            </w:r>
          </w:p>
        </w:tc>
        <w:tc>
          <w:tcPr>
            <w:tcW w:type="dxa" w:w="4536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路径</w:t>
            </w:r>
          </w:p>
        </w:tc>
        <w:tc>
          <w:tcPr>
            <w:tcW w:type="dxa" w:w="3744"/>
            <w:shd w:fill="E8EEF5" w:val="clear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 / 用途</w:t>
            </w:r>
          </w:p>
        </w:tc>
      </w:tr>
      <w:tr>
        <w:tc>
          <w:tcPr>
            <w:tcW w:type="dxa" w:w="10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GET</w:t>
            </w:r>
          </w:p>
        </w:tc>
        <w:tc>
          <w:tcPr>
            <w:tcW w:type="dxa" w:w="453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/api/public/about</w:t>
            </w:r>
          </w:p>
        </w:tc>
        <w:tc>
          <w:tcPr>
            <w:tcW w:type="dxa" w:w="37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公开：项目公司与官网</w:t>
            </w:r>
          </w:p>
        </w:tc>
      </w:tr>
      <w:tr>
        <w:tc>
          <w:tcPr>
            <w:tcW w:type="dxa" w:w="10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GET</w:t>
            </w:r>
          </w:p>
        </w:tc>
        <w:tc>
          <w:tcPr>
            <w:tcW w:type="dxa" w:w="453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/api/admin/dashboard</w:t>
            </w:r>
          </w:p>
        </w:tc>
        <w:tc>
          <w:tcPr>
            <w:tcW w:type="dxa" w:w="37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ADMIN：管理端运营总览</w:t>
            </w:r>
          </w:p>
        </w:tc>
      </w:tr>
      <w:tr>
        <w:tc>
          <w:tcPr>
            <w:tcW w:type="dxa" w:w="10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GET</w:t>
            </w:r>
          </w:p>
        </w:tc>
        <w:tc>
          <w:tcPr>
            <w:tcW w:type="dxa" w:w="453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/api/workspace/tasks</w:t>
            </w:r>
          </w:p>
        </w:tc>
        <w:tc>
          <w:tcPr>
            <w:tcW w:type="dxa" w:w="37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OPERATOR：用户工作台事项</w:t>
            </w:r>
          </w:p>
        </w:tc>
      </w:tr>
      <w:tr>
        <w:tc>
          <w:tcPr>
            <w:tcW w:type="dxa" w:w="10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POST</w:t>
            </w:r>
          </w:p>
        </w:tc>
        <w:tc>
          <w:tcPr>
            <w:tcW w:type="dxa" w:w="453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/api/admin/risk-assessment</w:t>
            </w:r>
          </w:p>
        </w:tc>
        <w:tc>
          <w:tcPr>
            <w:tcW w:type="dxa" w:w="37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ADMIN：运营风险评估</w:t>
            </w:r>
          </w:p>
        </w:tc>
      </w:tr>
      <w:tr>
        <w:tc>
          <w:tcPr>
            <w:tcW w:type="dxa" w:w="10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POST</w:t>
            </w:r>
          </w:p>
        </w:tc>
        <w:tc>
          <w:tcPr>
            <w:tcW w:type="dxa" w:w="453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/api/admin/visit-risk</w:t>
            </w:r>
          </w:p>
        </w:tc>
        <w:tc>
          <w:tcPr>
            <w:tcW w:type="dxa" w:w="37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ADMIN：访客准入风险判断</w:t>
            </w:r>
          </w:p>
        </w:tc>
      </w:tr>
      <w:tr>
        <w:tc>
          <w:tcPr>
            <w:tcW w:type="dxa" w:w="1080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POST</w:t>
            </w:r>
          </w:p>
        </w:tc>
        <w:tc>
          <w:tcPr>
            <w:tcW w:type="dxa" w:w="4536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/api/vms/insights/evacuation-accountability</w:t>
            </w:r>
          </w:p>
        </w:tc>
        <w:tc>
          <w:tcPr>
            <w:tcW w:type="dxa" w:w="3744"/>
            <w:vAlign w:val="cente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22303C"/>
                <w:sz w:val="19"/>
              </w:rPr>
              <w:t>认证用户：应急疏散访客清点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安装与启动</w:t>
      </w:r>
    </w:p>
    <w:p>
      <w:pPr>
        <w:pStyle w:val="Heading2"/>
        <w:keepNext/>
      </w:pPr>
      <w:r>
        <w:t>8.1 环境要求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推荐：Docker 与 Docker Compose。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源码开发：Java 21、Maven、Node.js、npm 和 MySQL 8。</w:t>
      </w:r>
    </w:p>
    <w:p>
      <w:pPr>
        <w:pStyle w:val="ListBullet"/>
        <w:widowControl/>
      </w:pPr>
      <w:r>
        <w:rPr>
          <w:rFonts w:ascii="Calibri" w:hAnsi="Calibri" w:eastAsia="Microsoft YaHei"/>
          <w:color w:val="22303C"/>
          <w:sz w:val="22"/>
        </w:rPr>
        <w:t>默认端口：前端 8090、后端 8080；端口冲突时可通过环境变量调整。</w:t>
      </w:r>
    </w:p>
    <w:p>
      <w:pPr>
        <w:pStyle w:val="Heading2"/>
        <w:keepNext/>
      </w:pPr>
      <w:r>
        <w:t>8.2 Docker Compose 启动</w:t>
      </w:r>
    </w:p>
    <w:p>
      <w:pPr>
        <w:pStyle w:val="ListNumber"/>
        <w:widowControl/>
        <w:numPr>
          <w:ilvl w:val="0"/>
          <w:numId w:val="14"/>
        </w:numPr>
      </w:pPr>
      <w:r>
        <w:rPr>
          <w:rFonts w:ascii="Calibri" w:hAnsi="Calibri" w:eastAsia="Microsoft YaHei"/>
          <w:color w:val="22303C"/>
          <w:sz w:val="22"/>
        </w:rPr>
        <w:t>进入 zhuatech-vms 项目目录。</w:t>
      </w:r>
    </w:p>
    <w:p>
      <w:pPr>
        <w:pStyle w:val="ListNumber"/>
        <w:widowControl/>
        <w:numPr>
          <w:ilvl w:val="0"/>
          <w:numId w:val="14"/>
        </w:numPr>
      </w:pPr>
      <w:r>
        <w:rPr>
          <w:rFonts w:ascii="Calibri" w:hAnsi="Calibri" w:eastAsia="Microsoft YaHei"/>
          <w:color w:val="22303C"/>
          <w:sz w:val="22"/>
        </w:rPr>
        <w:t>复制 .env.example 为 .env，并修改数据库及演示账号密码。</w:t>
      </w:r>
    </w:p>
    <w:p>
      <w:pPr>
        <w:pStyle w:val="ListNumber"/>
        <w:widowControl/>
        <w:numPr>
          <w:ilvl w:val="0"/>
          <w:numId w:val="14"/>
        </w:numPr>
      </w:pPr>
      <w:r>
        <w:rPr>
          <w:rFonts w:ascii="Calibri" w:hAnsi="Calibri" w:eastAsia="Microsoft YaHei"/>
          <w:color w:val="22303C"/>
          <w:sz w:val="22"/>
        </w:rPr>
        <w:t>执行 docker compose up --build。</w:t>
      </w:r>
    </w:p>
    <w:p>
      <w:pPr>
        <w:pStyle w:val="ListNumber"/>
        <w:widowControl/>
        <w:numPr>
          <w:ilvl w:val="0"/>
          <w:numId w:val="14"/>
        </w:numPr>
      </w:pPr>
      <w:r>
        <w:rPr>
          <w:rFonts w:ascii="Calibri" w:hAnsi="Calibri" w:eastAsia="Microsoft YaHei"/>
          <w:color w:val="22303C"/>
          <w:sz w:val="22"/>
        </w:rPr>
        <w:t>浏览器访问 http://localhost:8090，接口基地址为 http://localhost:8080/api。</w:t>
      </w:r>
    </w:p>
    <w:p>
      <w:pPr>
        <w:pStyle w:val="ListNumber"/>
        <w:widowControl/>
        <w:numPr>
          <w:ilvl w:val="0"/>
          <w:numId w:val="14"/>
        </w:numPr>
      </w:pPr>
      <w:r>
        <w:rPr>
          <w:rFonts w:ascii="Calibri" w:hAnsi="Calibri" w:eastAsia="Microsoft YaHei"/>
          <w:color w:val="22303C"/>
          <w:sz w:val="22"/>
        </w:rPr>
        <w:t>首次验证完成后检查容器日志、数据库持久卷和账号权限。</w:t>
      </w:r>
    </w:p>
    <w:p>
      <w:pPr>
        <w:spacing w:before="80" w:after="200" w:line="288" w:lineRule="auto"/>
        <w:ind w:left="173" w:right="72"/>
        <w:shd w:fill="EAF2F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演示账号  </w:t>
      </w:r>
      <w:r>
        <w:rPr>
          <w:rFonts w:ascii="Calibri" w:hAnsi="Calibri" w:eastAsia="Microsoft YaHei"/>
          <w:color w:val="22303C"/>
          <w:sz w:val="21"/>
        </w:rPr>
        <w:t>admin / admin123 拥有 ADMIN 与 OPERATOR 角色；operator / operator123 为 OPERATOR。默认值只用于本地演示，严禁直接用于公网或生产环境。</w:t>
      </w:r>
    </w:p>
    <w:p>
      <w:pPr>
        <w:pStyle w:val="Heading2"/>
        <w:keepNext/>
      </w:pPr>
      <w:r>
        <w:t>8.3 安全与生产化检查</w:t>
      </w:r>
    </w:p>
    <w:p>
      <w:pPr>
        <w:pStyle w:val="Checklist"/>
        <w:widowControl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2303C"/>
          <w:sz w:val="22"/>
        </w:rPr>
        <w:t>替换全部默认密码并使用密钥或安全配置中心管理敏感项。</w:t>
      </w:r>
    </w:p>
    <w:p>
      <w:pPr>
        <w:pStyle w:val="Checklist"/>
        <w:widowControl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2303C"/>
          <w:sz w:val="22"/>
        </w:rPr>
        <w:t>启用 HTTPS、CSRF 防护、登录限流、审计日志和细粒度权限。</w:t>
      </w:r>
    </w:p>
    <w:p>
      <w:pPr>
        <w:pStyle w:val="Checklist"/>
        <w:widowControl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2303C"/>
          <w:sz w:val="22"/>
        </w:rPr>
        <w:t>对证件号、手机号、照片和通行记录实施加密、脱敏及留存期限。</w:t>
      </w:r>
    </w:p>
    <w:p>
      <w:pPr>
        <w:pStyle w:val="Checklist"/>
        <w:widowControl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2303C"/>
          <w:sz w:val="22"/>
        </w:rPr>
        <w:t>限制 CORS 来源，禁止将开发端口直接暴露到公网。</w:t>
      </w:r>
    </w:p>
    <w:p>
      <w:pPr>
        <w:pStyle w:val="Checklist"/>
        <w:widowControl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2303C"/>
          <w:sz w:val="22"/>
        </w:rPr>
        <w:t>对门禁、访客机、企业微信或短信集成进行失败降级和人工兜底验证。</w:t>
      </w:r>
    </w:p>
    <w:p>
      <w:pPr>
        <w:pStyle w:val="Checklist"/>
        <w:widowControl/>
      </w:pPr>
      <w:r>
        <w:rPr>
          <w:rFonts w:ascii="Calibri" w:hAnsi="Calibri" w:eastAsia="Microsoft YaHei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2303C"/>
          <w:sz w:val="22"/>
        </w:rPr>
        <w:t>完成数据备份、恢复演练、监控告警和应急响应流程。</w:t>
      </w:r>
    </w:p>
    <w:p>
      <w:pPr>
        <w:pStyle w:val="Heading1"/>
        <w:keepNext/>
        <w:pageBreakBefore/>
      </w:pPr>
      <w:r>
        <w:t>9. 常见问题</w:t>
      </w:r>
    </w:p>
    <w:p>
      <w:pPr>
        <w:pStyle w:val="Heading2"/>
        <w:keepNext/>
      </w:pPr>
      <w:r>
        <w:t>9.1 为什么页面展示了预约、签到和通行入口，但没有连接真实门禁？</w:t>
      </w:r>
    </w:p>
    <w:p>
      <w:pPr>
        <w:widowControl/>
      </w:pPr>
      <w:r>
        <w:rPr>
          <w:rFonts w:ascii="Calibri" w:hAnsi="Calibri" w:eastAsia="Microsoft YaHei"/>
          <w:color w:val="22303C"/>
          <w:sz w:val="22"/>
        </w:rPr>
        <w:t>社区源码版用于展示业务链路和扩展方式，默认不绑定具体硬件厂商。生产项目需要按门禁协议、设备型号和安全要求实施适配。</w:t>
      </w:r>
    </w:p>
    <w:p>
      <w:pPr>
        <w:pStyle w:val="Heading2"/>
        <w:keepNext/>
      </w:pPr>
      <w:r>
        <w:t>9.2 APPROVE 是否意味着可以完全自动放行？</w:t>
      </w:r>
    </w:p>
    <w:p>
      <w:pPr>
        <w:widowControl/>
      </w:pPr>
      <w:r>
        <w:rPr>
          <w:rFonts w:ascii="Calibri" w:hAnsi="Calibri" w:eastAsia="Microsoft YaHei"/>
          <w:color w:val="22303C"/>
          <w:sz w:val="22"/>
        </w:rPr>
        <w:t>不是。规则结论是辅助判断。企业仍应根据来访区域、人员身份和现场制度决定是否需要人工复核。</w:t>
      </w:r>
    </w:p>
    <w:p>
      <w:pPr>
        <w:pStyle w:val="Heading2"/>
        <w:keepNext/>
      </w:pPr>
      <w:r>
        <w:t>9.3 访客照片和证件信息是否必须采集？</w:t>
      </w:r>
    </w:p>
    <w:p>
      <w:pPr>
        <w:widowControl/>
      </w:pPr>
      <w:r>
        <w:rPr>
          <w:rFonts w:ascii="Calibri" w:hAnsi="Calibri" w:eastAsia="Microsoft YaHei"/>
          <w:color w:val="22303C"/>
          <w:sz w:val="22"/>
        </w:rPr>
        <w:t>应遵循最小必要原则。是否采集、保存多久、谁能查看，应由企业制度和适用法律合规要求确定。</w:t>
      </w:r>
    </w:p>
    <w:p>
      <w:pPr>
        <w:pStyle w:val="Heading2"/>
        <w:keepNext/>
      </w:pPr>
      <w:r>
        <w:t>9.4 移动端是否需要单独安装 App？</w:t>
      </w:r>
    </w:p>
    <w:p>
      <w:pPr>
        <w:widowControl/>
      </w:pPr>
      <w:r>
        <w:rPr>
          <w:rFonts w:ascii="Calibri" w:hAnsi="Calibri" w:eastAsia="Microsoft YaHei"/>
          <w:color w:val="22303C"/>
          <w:sz w:val="22"/>
        </w:rPr>
        <w:t>当前版本是响应式 H5，可通过浏览器访问。生产化时可封装为企业微信应用、小程序或原生 App。</w:t>
      </w:r>
    </w:p>
    <w:p>
      <w:pPr>
        <w:pStyle w:val="Heading2"/>
        <w:keepNext/>
      </w:pPr>
      <w:r>
        <w:t>9.5 能否对接企业微信、短信、闸机或身份证阅读器？</w:t>
      </w:r>
    </w:p>
    <w:p>
      <w:pPr>
        <w:widowControl/>
      </w:pPr>
      <w:r>
        <w:rPr>
          <w:rFonts w:ascii="Calibri" w:hAnsi="Calibri" w:eastAsia="Microsoft YaHei"/>
          <w:color w:val="22303C"/>
          <w:sz w:val="22"/>
        </w:rPr>
        <w:t>项目已预留分层和接口扩展位置，但具体连接器、认证、回调、设备协议和异常补偿需要另行开发配置。</w:t>
      </w:r>
    </w:p>
    <w:p>
      <w:pPr>
        <w:pStyle w:val="Heading2"/>
        <w:keepNext/>
      </w:pPr>
      <w:r>
        <w:t>9.6 为什么管理端数据与真实现场不一致？</w:t>
      </w:r>
    </w:p>
    <w:p>
      <w:pPr>
        <w:widowControl/>
      </w:pPr>
      <w:r>
        <w:rPr>
          <w:rFonts w:ascii="Calibri" w:hAnsi="Calibri" w:eastAsia="Microsoft YaHei"/>
          <w:color w:val="22303C"/>
          <w:sz w:val="22"/>
        </w:rPr>
        <w:t>社区版包含演示数据。接入生产前需要将业务事项、门禁事件和通知渠道替换为企业真实数据源。</w:t>
      </w:r>
    </w:p>
    <w:p>
      <w:pPr>
        <w:pStyle w:val="Heading1"/>
        <w:keepNext/>
      </w:pPr>
      <w:r>
        <w:t>10. 许可边界与技术支持</w:t>
      </w:r>
    </w:p>
    <w:p>
      <w:pPr>
        <w:spacing w:before="80" w:after="200" w:line="288" w:lineRule="auto"/>
        <w:ind w:left="173" w:right="72"/>
        <w:shd w:fill="EAF2F8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非商业使用声明  </w:t>
      </w:r>
      <w:r>
        <w:rPr>
          <w:rFonts w:ascii="Calibri" w:hAnsi="Calibri" w:eastAsia="Microsoft YaHei"/>
          <w:color w:val="22303C"/>
          <w:sz w:val="21"/>
        </w:rPr>
        <w:t>本工程仅能用于个人非商业学习、研究和技术交流。未经上海如静知华信息科技有限公司书面授权，不得用于企业内部生产、商业部署、SaaS、收费下载、售卖、外包交付、投标、品牌替换或任何直接、间接商业用途。具体以项目 LICENSE 文件为准。</w:t>
      </w:r>
    </w:p>
    <w:p>
      <w:pPr>
        <w:widowControl/>
      </w:pPr>
      <w:r>
        <w:rPr>
          <w:rFonts w:ascii="Calibri" w:hAnsi="Calibri" w:eastAsia="Microsoft YaHei"/>
          <w:color w:val="22303C"/>
          <w:sz w:val="22"/>
        </w:rPr>
        <w:t>需要商用授权、深度定制或生产化实施，可联系知华科技。支持范围可包括访客机、身份证件核验、闸机门禁、企业微信、短信通知、多园区、隐私合规、部署实施和系统集成。</w:t>
      </w:r>
    </w:p>
    <w:p>
      <w:pPr>
        <w:spacing w:before="80" w:after="120"/>
      </w:pPr>
      <w:r>
        <w:rPr>
          <w:rFonts w:ascii="Calibri" w:hAnsi="Calibri" w:eastAsia="Microsoft YaHei"/>
          <w:b/>
          <w:color w:val="1F4D78"/>
          <w:sz w:val="22"/>
        </w:rPr>
        <w:t>官方网站：</w:t>
      </w:r>
      <w:hyperlink r:id="rId21">
        <w:r>
          <w:rPr>
            <w:color w:val="2E74B5"/>
            <w:u w:val="single"/>
          </w:rPr>
          <w:t>知华科技官方网站（www.zhuatech.cn）</w:t>
        </w:r>
      </w:hyperlink>
    </w:p>
    <w:p>
      <w:pPr>
        <w:keepNext/>
        <w:spacing w:before="200"/>
        <w:jc w:val="center"/>
      </w:pPr>
      <w:r>
        <w:rPr>
          <w:rFonts w:ascii="Calibri" w:hAnsi="Calibri" w:eastAsia="Microsoft YaHei"/>
          <w:b/>
          <w:color w:val="1F4D78"/>
          <w:sz w:val="22"/>
        </w:rPr>
        <w:t>扫码添加微信，咨询商业授权、系统定制与项目实施</w:t>
      </w:r>
    </w:p>
    <w:p>
      <w:pPr>
        <w:spacing w:before="4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508760" cy="1456570"/>
            <wp:docPr id="4" name="Picture 4" title="知华科技微信咨询二维码1" descr="扫描二维码添加微信咨询商业授权与深度定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uatech-wechat-consult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45657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</w:t>
      </w:r>
      <w:r>
        <w:drawing>
          <wp:inline xmlns:a="http://schemas.openxmlformats.org/drawingml/2006/main" xmlns:pic="http://schemas.openxmlformats.org/drawingml/2006/picture">
            <wp:extent cx="1508760" cy="1494526"/>
            <wp:docPr id="5" name="Picture 5" title="知华科技微信咨询二维码2" descr="扫描二维码添加微信咨询商业授权与深度定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huatech-wechat-consulting-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494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Calibri" w:hAnsi="Calibri" w:eastAsia="Microsoft YaHei"/>
          <w:b/>
          <w:color w:val="22303C"/>
          <w:sz w:val="22"/>
        </w:rPr>
        <w:t>版权归属：</w:t>
      </w:r>
      <w:r>
        <w:rPr>
          <w:rFonts w:ascii="Calibri" w:hAnsi="Calibri" w:eastAsia="Microsoft YaHei"/>
          <w:color w:val="22303C"/>
          <w:sz w:val="22"/>
        </w:rPr>
        <w:t>上海如静知华信息科技有限公司。官网：https://www.zhuatech.cn/。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 w:cs="Arial Unicode MS"/>
        <w:color w:val="69737D"/>
        <w:sz w:val="18"/>
      </w:rPr>
      <w:t xml:space="preserve">第 </w:t>
    </w:r>
    <w:fldSimple w:instr="PAGE"/>
    <w:r>
      <w:rPr>
        <w:rFonts w:ascii="Calibri" w:hAnsi="Calibri" w:eastAsia="Arial Unicode MS" w:cs="Arial Unicode MS"/>
        <w:color w:val="69737D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9737D"/>
        <w:sz w:val="18"/>
      </w:rPr>
      <w:t>上海如静知华信息科技有限公司  ·  产品资料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9737D"/>
        <w:sz w:val="18"/>
      </w:rPr>
      <w:t>ZHUATECH VMS  ·  访客预约与通行管理平台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Calibri" w:hAnsi="Calibri" w:eastAsia="Arial Unicode MS" w:cs="Arial Unicode MS"/>
      <w:b w:val="0"/>
      <w:color w:val="2230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Arial Unicode MS" w:cs="Arial Unicode MS"/>
      <w:b w:val="0"/>
      <w:color w:val="22303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Arial Unicode MS" w:cs="Arial Unicode MS"/>
      <w:b w:val="0"/>
      <w:color w:val="22303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pPr>
      <w:keepNext w:val="0"/>
      <w:spacing w:before="0" w:after="40" w:line="276" w:lineRule="auto"/>
      <w:ind w:left="269"/>
    </w:pPr>
    <w:rPr>
      <w:rFonts w:ascii="Calibri" w:hAnsi="Calibri" w:eastAsia="Arial Unicode MS" w:cs="Arial Unicode MS"/>
      <w:b w:val="0"/>
      <w:color w:val="22303C"/>
      <w:sz w:val="21"/>
    </w:rPr>
  </w:style>
  <w:style w:type="paragraph" w:customStyle="1" w:styleId="CodeBlock">
    <w:name w:val="Code Block"/>
    <w:pPr>
      <w:keepNext w:val="0"/>
      <w:spacing w:before="80" w:after="120" w:line="259" w:lineRule="auto"/>
      <w:ind w:left="259" w:right="259"/>
    </w:pPr>
    <w:rPr>
      <w:rFonts w:ascii="Consolas" w:hAnsi="Consolas" w:eastAsia="Arial Unicode MS" w:cs="Arial Unicode MS"/>
      <w:b w:val="0"/>
      <w:color w:val="22303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header" Target="header2.xml"/><Relationship Id="rId20" Type="http://schemas.openxmlformats.org/officeDocument/2006/relationships/image" Target="media/image8.jpg"/><Relationship Id="rId21" Type="http://schemas.openxmlformats.org/officeDocument/2006/relationships/hyperlink" Target="https://www.zhuatech.cn/" TargetMode="External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知华科技 ZhuaTech VMS 访客预约与通行管理平台产品手册</dc:title>
  <dc:subject>访客预约、接待审批、身份核验、门禁通行与离场闭环</dc:subject>
  <dc:creator>上海如静知华信息科技有限公司</dc:creator>
  <cp:keywords>知华科技,VMS,访客预约,访客管理,门禁通行,来访登记,Java,Vue</cp:keywords>
  <dc:description>Copyright 2026 上海如静知华信息科技有限公司 · https://www.zhuatech.cn/</dc:description>
  <cp:lastModifiedBy>上海如静知华信息科技有限公司</cp:lastModifiedBy>
  <cp:revision>1</cp:revision>
  <dcterms:created xsi:type="dcterms:W3CDTF">2013-12-23T23:15:00Z</dcterms:created>
  <dcterms:modified xsi:type="dcterms:W3CDTF">2013-12-23T23:15:00Z</dcterms:modified>
  <cp:category/>
</cp:coreProperties>
</file>