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80"/>
      </w:pPr>
      <w:r>
        <w:rPr>
          <w:rFonts w:ascii="Arial" w:hAnsi="Arial" w:eastAsia="Arial" w:cs="Arial"/>
          <w:b/>
          <w:color w:val="315CFF"/>
          <w:sz w:val="18"/>
        </w:rPr>
        <w:t>ZHIHU HACKATHON   PRODUCT UI HANDOFF</w:t>
      </w:r>
    </w:p>
    <w:p>
      <w:pPr>
        <w:pStyle w:val="Title"/>
        <w:keepNext/>
      </w:pPr>
      <w:r>
        <w:rPr>
          <w:rFonts w:ascii="Hiragino Sans GB" w:hAnsi="Hiragino Sans GB" w:eastAsia="Hiragino Sans GB" w:cs="Hiragino Sans GB"/>
          <w:b/>
          <w:color w:val="171717"/>
          <w:sz w:val="62"/>
        </w:rPr>
        <w:t>蓝血互动游戏 UI 实现说明</w:t>
      </w:r>
    </w:p>
    <w:p>
      <w:pPr>
        <w:spacing w:after="440"/>
      </w:pPr>
      <w:r>
        <w:rPr>
          <w:rFonts w:ascii="Hiragino Sans GB" w:hAnsi="Hiragino Sans GB" w:eastAsia="Hiragino Sans GB" w:cs="Hiragino Sans GB"/>
          <w:b/>
          <w:color w:val="625C53"/>
          <w:sz w:val="29"/>
        </w:rPr>
        <w:t>面向 UI 设计和前端实现的完整页面规范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263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spacing w:after="140" w:line="307" w:lineRule="auto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315CFF"/>
                <w:sz w:val="19"/>
              </w:rPr>
              <w:t xml:space="preserve">产品  </w:t>
            </w:r>
            <w:r>
              <w:rPr>
                <w:rFonts w:ascii="Hiragino Sans GB" w:hAnsi="Hiragino Sans GB" w:eastAsia="Hiragino Sans GB" w:cs="Hiragino Sans GB"/>
                <w:color w:val="171717"/>
                <w:sz w:val="21"/>
              </w:rPr>
              <w:t>蓝血疑云 单故事互动案卷</w:t>
            </w:r>
          </w:p>
          <w:p>
            <w:pPr>
              <w:keepNext w:val="0"/>
              <w:keepLines/>
              <w:spacing w:after="140" w:line="307" w:lineRule="auto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315CFF"/>
                <w:sz w:val="19"/>
              </w:rPr>
              <w:t xml:space="preserve">交付对象  </w:t>
            </w:r>
            <w:r>
              <w:rPr>
                <w:rFonts w:ascii="Hiragino Sans GB" w:hAnsi="Hiragino Sans GB" w:eastAsia="Hiragino Sans GB" w:cs="Hiragino Sans GB"/>
                <w:color w:val="171717"/>
                <w:sz w:val="21"/>
              </w:rPr>
              <w:t>UI 设计同学和前端实现同学</w:t>
            </w:r>
          </w:p>
          <w:p>
            <w:pPr>
              <w:keepNext w:val="0"/>
              <w:keepLines/>
              <w:spacing w:after="140" w:line="307" w:lineRule="auto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315CFF"/>
                <w:sz w:val="19"/>
              </w:rPr>
              <w:t xml:space="preserve">版本  </w:t>
            </w:r>
            <w:r>
              <w:rPr>
                <w:rFonts w:ascii="Hiragino Sans GB" w:hAnsi="Hiragino Sans GB" w:eastAsia="Hiragino Sans GB" w:cs="Hiragino Sans GB"/>
                <w:color w:val="171717"/>
                <w:sz w:val="21"/>
              </w:rPr>
              <w:t>1.0</w:t>
            </w:r>
          </w:p>
          <w:p>
            <w:pPr>
              <w:keepNext w:val="0"/>
              <w:keepLines/>
              <w:spacing w:after="140" w:line="307" w:lineRule="auto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315CFF"/>
                <w:sz w:val="19"/>
              </w:rPr>
              <w:t xml:space="preserve">日期  </w:t>
            </w:r>
            <w:r>
              <w:rPr>
                <w:rFonts w:ascii="Hiragino Sans GB" w:hAnsi="Hiragino Sans GB" w:eastAsia="Hiragino Sans GB" w:cs="Hiragino Sans GB"/>
                <w:color w:val="171717"/>
                <w:sz w:val="21"/>
              </w:rPr>
              <w:t>2026 年 9 月 14 日</w:t>
            </w:r>
          </w:p>
          <w:p>
            <w:pPr>
              <w:keepNext w:val="0"/>
              <w:keepLines/>
              <w:spacing w:after="140" w:line="307" w:lineRule="auto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315CFF"/>
                <w:sz w:val="19"/>
              </w:rPr>
              <w:t xml:space="preserve">核心结论  </w:t>
            </w:r>
            <w:r>
              <w:rPr>
                <w:rFonts w:ascii="Hiragino Sans GB" w:hAnsi="Hiragino Sans GB" w:eastAsia="Hiragino Sans GB" w:cs="Hiragino Sans GB"/>
                <w:color w:val="171717"/>
                <w:sz w:val="21"/>
              </w:rPr>
              <w:t>当前代码已形成可演示的完整主流程。专职 UI 同学应优先统一视觉层级、核验移动端和状态可读性，再补完成回执。</w:t>
            </w:r>
          </w:p>
        </w:tc>
        <w:tc>
          <w:tcPr>
            <w:tcW w:type="dxa" w:w="288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jc w:val="right"/>
              <w:widowControl w:val="1"/>
            </w:pPr>
            <w:r>
              <w:drawing>
                <wp:inline xmlns:a="http://schemas.openxmlformats.org/drawingml/2006/main" xmlns:pic="http://schemas.openxmlformats.org/drawingml/2006/picture">
                  <wp:extent cx="1755648" cy="2341321"/>
                  <wp:docPr id="1" name="Picture 1" title="刘看山立姿" descr="白色背景上的刘看山三维角色立姿参考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rait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648" cy="23413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rPr>
          <w:tblHeader/>
        </w:trPr>
      </w:tr>
    </w:tbl>
    <w:p>
      <w:pPr>
        <w:keepNext w:val="0"/>
        <w:keepLines/>
        <w:spacing w:after="0" w:line="348" w:lineRule="auto"/>
        <w:widowControl w:val="1"/>
      </w:pPr>
      <w:r>
        <w:rPr>
          <w:rFonts w:ascii="Hiragino Sans GB" w:hAnsi="Hiragino Sans GB" w:eastAsia="Hiragino Sans GB" w:cs="Hiragino Sans GB"/>
          <w:color w:val="625C53"/>
          <w:sz w:val="21"/>
        </w:rPr>
        <w:t>本说明把当前代码中已经存在的界面与建议新增项分开标记。实现时不得把知乎公开片段之外的推演写成原作事实，也不得把接口失败伪装成已核验原文。</w:t>
      </w:r>
    </w:p>
    <w:p>
      <w:r>
        <w:br w:type="page"/>
      </w:r>
    </w:p>
    <w:p>
      <w:pPr>
        <w:pStyle w:val="Heading1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36"/>
        </w:rPr>
        <w:t>一 文档用途与交付结论</w:t>
      </w:r>
    </w:p>
    <w:p>
      <w:pPr>
        <w:keepNext w:val="0"/>
        <w:keepLines/>
        <w:spacing w:after="100" w:line="300" w:lineRule="auto"/>
        <w:widowControl w:val="1"/>
      </w:pPr>
      <w:r>
        <w:rPr>
          <w:rFonts w:ascii="Hiragino Sans GB" w:hAnsi="Hiragino Sans GB" w:eastAsia="Hiragino Sans GB" w:cs="Hiragino Sans GB"/>
          <w:color w:val="171717"/>
        </w:rPr>
        <w:t>本说明用于把《蓝血》互动案卷交给 UI 设计和前端实现同学。范围覆盖入口、刘看山故事向导、故事开场、三场景搜证、来源阅读器、证据组牌、解释力对决、失败、阶段推演 End、完成后的回执建议，以及所有跨页面状态。</w:t>
      </w:r>
    </w:p>
    <w:p>
      <w:pPr>
        <w:keepNext w:val="0"/>
        <w:keepLines/>
        <w:spacing w:after="100" w:line="300" w:lineRule="auto"/>
        <w:widowControl w:val="1"/>
      </w:pPr>
      <w:r>
        <w:rPr>
          <w:rFonts w:ascii="Hiragino Sans GB" w:hAnsi="Hiragino Sans GB" w:eastAsia="Hiragino Sans GB" w:cs="Hiragino Sans GB"/>
          <w:b/>
          <w:color w:val="171717"/>
        </w:rPr>
        <w:t>当前产品的可交付核心</w:t>
      </w:r>
      <w:r>
        <w:rPr>
          <w:rFonts w:ascii="Hiragino Sans GB" w:hAnsi="Hiragino Sans GB" w:eastAsia="Hiragino Sans GB" w:cs="Hiragino Sans GB"/>
          <w:color w:val="171717"/>
        </w:rPr>
        <w:t>是一条单故事闭环：玩家理解故事边界，找到六条线索，组成四张证据牌，挑战日常解释，再选择阶段假说和知乎求证问题。UI 的首要任务是让玩家随时知道自己看到的是事实、策划转述还是推断。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状态标记</w:t>
      </w:r>
    </w:p>
    <w:p>
      <w:pPr>
        <w:pStyle w:val="StatusLine"/>
        <w:keepNext w:val="0"/>
        <w:keepLines/>
        <w:widowControl w:val="1"/>
      </w:pPr>
      <w:r>
        <w:rPr>
          <w:rFonts w:ascii="Hiragino Sans GB" w:hAnsi="Hiragino Sans GB" w:eastAsia="Hiragino Sans GB" w:cs="Hiragino Sans GB"/>
          <w:b/>
          <w:color w:val="407A57"/>
          <w:sz w:val="18"/>
        </w:rPr>
        <w:t>已实现</w:t>
      </w:r>
      <w:r>
        <w:rPr>
          <w:rFonts w:ascii="Hiragino Sans GB" w:hAnsi="Hiragino Sans GB" w:eastAsia="Hiragino Sans GB" w:cs="Hiragino Sans GB"/>
          <w:color w:val="171717"/>
          <w:sz w:val="19"/>
        </w:rPr>
        <w:t xml:space="preserve">  当前代码已有可见界面与交互，可进入视觉精修和回归验收。</w:t>
      </w:r>
    </w:p>
    <w:p>
      <w:pPr>
        <w:pStyle w:val="StatusLine"/>
        <w:keepNext w:val="0"/>
        <w:keepLines/>
        <w:widowControl w:val="1"/>
      </w:pPr>
      <w:r>
        <w:rPr>
          <w:rFonts w:ascii="Hiragino Sans GB" w:hAnsi="Hiragino Sans GB" w:eastAsia="Hiragino Sans GB" w:cs="Hiragino Sans GB"/>
          <w:b/>
          <w:color w:val="F05A28"/>
          <w:sz w:val="18"/>
        </w:rPr>
        <w:t>已接入待联调</w:t>
      </w:r>
      <w:r>
        <w:rPr>
          <w:rFonts w:ascii="Hiragino Sans GB" w:hAnsi="Hiragino Sans GB" w:eastAsia="Hiragino Sans GB" w:cs="Hiragino Sans GB"/>
          <w:color w:val="171717"/>
          <w:sz w:val="19"/>
        </w:rPr>
        <w:t xml:space="preserve">  界面路径已存在，但在线结果依赖知乎接口与运行环境，必须同时保留透明降级。</w:t>
      </w:r>
    </w:p>
    <w:p>
      <w:pPr>
        <w:pStyle w:val="StatusLine"/>
        <w:keepNext w:val="0"/>
        <w:keepLines/>
        <w:widowControl w:val="1"/>
      </w:pPr>
      <w:r>
        <w:rPr>
          <w:rFonts w:ascii="Hiragino Sans GB" w:hAnsi="Hiragino Sans GB" w:eastAsia="Hiragino Sans GB" w:cs="Hiragino Sans GB"/>
          <w:b/>
          <w:color w:val="315CFF"/>
          <w:sz w:val="18"/>
        </w:rPr>
        <w:t>建议新增</w:t>
      </w:r>
      <w:r>
        <w:rPr>
          <w:rFonts w:ascii="Hiragino Sans GB" w:hAnsi="Hiragino Sans GB" w:eastAsia="Hiragino Sans GB" w:cs="Hiragino Sans GB"/>
          <w:color w:val="171717"/>
          <w:sz w:val="19"/>
        </w:rPr>
        <w:t xml:space="preserve">  文档提出的下一步方案，当前代码未实现，不应出现在完成清单中。</w:t>
      </w:r>
    </w:p>
    <w:p>
      <w:pPr>
        <w:pStyle w:val="StatusLine"/>
        <w:keepNext w:val="0"/>
        <w:keepLines/>
        <w:widowControl w:val="1"/>
      </w:pPr>
      <w:r>
        <w:rPr>
          <w:rFonts w:ascii="Hiragino Sans GB" w:hAnsi="Hiragino Sans GB" w:eastAsia="Hiragino Sans GB" w:cs="Hiragino Sans GB"/>
          <w:b/>
          <w:color w:val="B93636"/>
          <w:sz w:val="18"/>
        </w:rPr>
        <w:t>内容边界</w:t>
      </w:r>
      <w:r>
        <w:rPr>
          <w:rFonts w:ascii="Hiragino Sans GB" w:hAnsi="Hiragino Sans GB" w:eastAsia="Hiragino Sans GB" w:cs="Hiragino Sans GB"/>
          <w:color w:val="171717"/>
          <w:sz w:val="19"/>
        </w:rPr>
        <w:t xml:space="preserve">  属于长期约束，不得以动效、文案或结果页暗示原作真相。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当前界面清单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131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界面</w:t>
            </w:r>
          </w:p>
        </w:tc>
        <w:tc>
          <w:tcPr>
            <w:tcW w:type="dxa" w:w="158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6408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本轮 UI 重点</w:t>
            </w:r>
          </w:p>
        </w:tc>
      </w:tr>
      <w:tr>
        <w:trPr>
          <w:cantSplit/>
        </w:trPr>
        <w:tc>
          <w:tcPr>
            <w:tcW w:type="dxa" w:w="213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全局顶栏</w:t>
            </w:r>
          </w:p>
        </w:tc>
        <w:tc>
          <w:tcPr>
            <w:tcW w:type="dxa" w:w="15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已实现</w:t>
            </w:r>
          </w:p>
        </w:tc>
        <w:tc>
          <w:tcPr>
            <w:tcW w:type="dxa" w:w="64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品牌、语言、玩家、积分与账户操作的密度和移动端折叠</w:t>
            </w:r>
          </w:p>
        </w:tc>
      </w:tr>
      <w:tr>
        <w:trPr>
          <w:cantSplit/>
        </w:trPr>
        <w:tc>
          <w:tcPr>
            <w:tcW w:type="dxa" w:w="213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故事入口页</w:t>
            </w:r>
          </w:p>
        </w:tc>
        <w:tc>
          <w:tcPr>
            <w:tcW w:type="dxa" w:w="15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已实现</w:t>
            </w:r>
          </w:p>
        </w:tc>
        <w:tc>
          <w:tcPr>
            <w:tcW w:type="dxa" w:w="64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故事钩子、来源状态、试玩时长和主按钮的首屏优先级</w:t>
            </w:r>
          </w:p>
        </w:tc>
      </w:tr>
      <w:tr>
        <w:trPr>
          <w:cantSplit/>
        </w:trPr>
        <w:tc>
          <w:tcPr>
            <w:tcW w:type="dxa" w:w="213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刘看山首页导览</w:t>
            </w:r>
          </w:p>
        </w:tc>
        <w:tc>
          <w:tcPr>
            <w:tcW w:type="dxa" w:w="15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已实现</w:t>
            </w:r>
          </w:p>
        </w:tc>
        <w:tc>
          <w:tcPr>
            <w:tcW w:type="dxa" w:w="64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三主题切换、角色占比、长文阅读节奏</w:t>
            </w:r>
          </w:p>
        </w:tc>
      </w:tr>
      <w:tr>
        <w:trPr>
          <w:cantSplit/>
        </w:trPr>
        <w:tc>
          <w:tcPr>
            <w:tcW w:type="dxa" w:w="213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刘看山悬浮向导</w:t>
            </w:r>
          </w:p>
        </w:tc>
        <w:tc>
          <w:tcPr>
            <w:tcW w:type="dxa" w:w="15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已实现</w:t>
            </w:r>
          </w:p>
        </w:tc>
        <w:tc>
          <w:tcPr>
            <w:tcW w:type="dxa" w:w="64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上下文提示、遮挡控制和移动端抽屉体验</w:t>
            </w:r>
          </w:p>
        </w:tc>
      </w:tr>
      <w:tr>
        <w:trPr>
          <w:cantSplit/>
        </w:trPr>
        <w:tc>
          <w:tcPr>
            <w:tcW w:type="dxa" w:w="213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故事开场</w:t>
            </w:r>
          </w:p>
        </w:tc>
        <w:tc>
          <w:tcPr>
            <w:tcW w:type="dxa" w:w="15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已实现</w:t>
            </w:r>
          </w:p>
        </w:tc>
        <w:tc>
          <w:tcPr>
            <w:tcW w:type="dxa" w:w="64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角色任务、信息来源和开始搜证动作</w:t>
            </w:r>
          </w:p>
        </w:tc>
      </w:tr>
      <w:tr>
        <w:trPr>
          <w:cantSplit/>
        </w:trPr>
        <w:tc>
          <w:tcPr>
            <w:tcW w:type="dxa" w:w="213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三场景搜证</w:t>
            </w:r>
          </w:p>
        </w:tc>
        <w:tc>
          <w:tcPr>
            <w:tcW w:type="dxa" w:w="15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已实现</w:t>
            </w:r>
          </w:p>
        </w:tc>
        <w:tc>
          <w:tcPr>
            <w:tcW w:type="dxa" w:w="64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六条线索发现状态和三栏布局</w:t>
            </w:r>
          </w:p>
        </w:tc>
      </w:tr>
      <w:tr>
        <w:trPr>
          <w:cantSplit/>
        </w:trPr>
        <w:tc>
          <w:tcPr>
            <w:tcW w:type="dxa" w:w="213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来源阅读器</w:t>
            </w:r>
          </w:p>
        </w:tc>
        <w:tc>
          <w:tcPr>
            <w:tcW w:type="dxa" w:w="15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已接入待联调</w:t>
            </w:r>
          </w:p>
        </w:tc>
        <w:tc>
          <w:tcPr>
            <w:tcW w:type="dxa" w:w="64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原文短引、策划转述、离线降级必须显式区分</w:t>
            </w:r>
          </w:p>
        </w:tc>
      </w:tr>
      <w:tr>
        <w:trPr>
          <w:cantSplit/>
        </w:trPr>
        <w:tc>
          <w:tcPr>
            <w:tcW w:type="dxa" w:w="213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六选四组牌</w:t>
            </w:r>
          </w:p>
        </w:tc>
        <w:tc>
          <w:tcPr>
            <w:tcW w:type="dxa" w:w="15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已实现</w:t>
            </w:r>
          </w:p>
        </w:tc>
        <w:tc>
          <w:tcPr>
            <w:tcW w:type="dxa" w:w="64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三张固定锚点与一张方向牌的规则提示</w:t>
            </w:r>
          </w:p>
        </w:tc>
      </w:tr>
      <w:tr>
        <w:trPr>
          <w:cantSplit/>
        </w:trPr>
        <w:tc>
          <w:tcPr>
            <w:tcW w:type="dxa" w:w="213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解释力对决和失败</w:t>
            </w:r>
          </w:p>
        </w:tc>
        <w:tc>
          <w:tcPr>
            <w:tcW w:type="dxa" w:w="15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已实现</w:t>
            </w:r>
          </w:p>
        </w:tc>
        <w:tc>
          <w:tcPr>
            <w:tcW w:type="dxa" w:w="64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战斗数值、出牌反馈、重试恢复路径</w:t>
            </w:r>
          </w:p>
        </w:tc>
      </w:tr>
      <w:tr>
        <w:trPr>
          <w:cantSplit/>
        </w:trPr>
        <w:tc>
          <w:tcPr>
            <w:tcW w:type="dxa" w:w="213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阶段推演 End</w:t>
            </w:r>
          </w:p>
        </w:tc>
        <w:tc>
          <w:tcPr>
            <w:tcW w:type="dxa" w:w="15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已实现</w:t>
            </w:r>
          </w:p>
        </w:tc>
        <w:tc>
          <w:tcPr>
            <w:tcW w:type="dxa" w:w="64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假说、证据缺口、下一步验证和求证问题</w:t>
            </w:r>
          </w:p>
        </w:tc>
      </w:tr>
      <w:tr>
        <w:trPr>
          <w:cantSplit/>
        </w:trPr>
        <w:tc>
          <w:tcPr>
            <w:tcW w:type="dxa" w:w="213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完成回执</w:t>
            </w:r>
          </w:p>
        </w:tc>
        <w:tc>
          <w:tcPr>
            <w:tcW w:type="dxa" w:w="15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建议新增</w:t>
            </w:r>
          </w:p>
        </w:tc>
        <w:tc>
          <w:tcPr>
            <w:tcW w:type="dxa" w:w="64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完成后保留本局结论和可复制内容，再返回入口页</w:t>
            </w:r>
          </w:p>
        </w:tc>
      </w:tr>
      <w:tr>
        <w:trPr>
          <w:cantSplit/>
        </w:trPr>
        <w:tc>
          <w:tcPr>
            <w:tcW w:type="dxa" w:w="213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移动端实机验收</w:t>
            </w:r>
          </w:p>
        </w:tc>
        <w:tc>
          <w:tcPr>
            <w:tcW w:type="dxa" w:w="15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待完成</w:t>
            </w:r>
          </w:p>
        </w:tc>
        <w:tc>
          <w:tcPr>
            <w:tcW w:type="dxa" w:w="64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代码已有响应式规则，仍需覆盖小屏、软键盘和安全区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文档使用方式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UI 设计同学先按页面章节完成高保真与组件状态，不另行改写产品规则。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前端同学按数据状态映射实现，接口来源标识优先于视觉装饰。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联调时先验收 P0 清单，再决定是否投入建议新增的 P1 和 P2。</w:t>
      </w:r>
    </w:p>
    <w:p>
      <w:pPr>
        <w:pStyle w:val="Heading1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36"/>
        </w:rPr>
        <w:t>二 完整体验流程</w:t>
      </w:r>
    </w:p>
    <w:p>
      <w:pPr>
        <w:keepNext w:val="0"/>
        <w:keepLines/>
        <w:spacing w:after="100" w:line="300" w:lineRule="auto"/>
        <w:widowControl w:val="1"/>
      </w:pPr>
      <w:r>
        <w:rPr>
          <w:rFonts w:ascii="Hiragino Sans GB" w:hAnsi="Hiragino Sans GB" w:eastAsia="Hiragino Sans GB" w:cs="Hiragino Sans GB"/>
          <w:color w:val="171717"/>
        </w:rPr>
        <w:t>主流程只有一条，失败会回到搜证与组牌，不新开支线。每一步都必须显示当前阶段、下一步动作和离开条件。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108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94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玩家目标</w:t>
            </w:r>
          </w:p>
        </w:tc>
        <w:tc>
          <w:tcPr>
            <w:tcW w:type="dxa" w:w="2232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主要动作</w:t>
            </w:r>
          </w:p>
        </w:tc>
        <w:tc>
          <w:tcPr>
            <w:tcW w:type="dxa" w:w="194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离开条件</w:t>
            </w:r>
          </w:p>
        </w:tc>
        <w:tc>
          <w:tcPr>
            <w:tcW w:type="dxa" w:w="2951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刘看山职责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6"/>
              </w:rPr>
              <w:t>入口页</w:t>
            </w:r>
          </w:p>
        </w:tc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理解故事和内容边界</w:t>
            </w:r>
          </w:p>
        </w:tc>
        <w:tc>
          <w:tcPr>
            <w:tcW w:type="dxa" w:w="223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查看来源状态并开始</w:t>
            </w:r>
          </w:p>
        </w:tc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点击进入调查</w:t>
            </w:r>
          </w:p>
        </w:tc>
        <w:tc>
          <w:tcPr>
            <w:tcW w:type="dxa" w:w="295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给出一分钟背景导览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6"/>
              </w:rPr>
              <w:t>故事开场</w:t>
            </w:r>
          </w:p>
        </w:tc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确认身份与任务</w:t>
            </w:r>
          </w:p>
        </w:tc>
        <w:tc>
          <w:tcPr>
            <w:tcW w:type="dxa" w:w="223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阅读简介和来源说明</w:t>
            </w:r>
          </w:p>
        </w:tc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点击开始搜证</w:t>
            </w:r>
          </w:p>
        </w:tc>
        <w:tc>
          <w:tcPr>
            <w:tcW w:type="dxa" w:w="295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不覆盖模态框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6"/>
              </w:rPr>
              <w:t>线索搜证</w:t>
            </w:r>
          </w:p>
        </w:tc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找齐三场景六条线索</w:t>
            </w:r>
          </w:p>
        </w:tc>
        <w:tc>
          <w:tcPr>
            <w:tcW w:type="dxa" w:w="223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切换场景并点击热点</w:t>
            </w:r>
          </w:p>
        </w:tc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发现进度达到六条</w:t>
            </w:r>
          </w:p>
        </w:tc>
        <w:tc>
          <w:tcPr>
            <w:tcW w:type="dxa" w:w="295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解释事实与推断的差别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6"/>
              </w:rPr>
              <w:t>证据组牌</w:t>
            </w:r>
          </w:p>
        </w:tc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形成四张可质证牌组</w:t>
            </w:r>
          </w:p>
        </w:tc>
        <w:tc>
          <w:tcPr>
            <w:tcW w:type="dxa" w:w="223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选择三张锚点和一张方向牌</w:t>
            </w:r>
          </w:p>
        </w:tc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四张齐全且锚点完整</w:t>
            </w:r>
          </w:p>
        </w:tc>
        <w:tc>
          <w:tcPr>
            <w:tcW w:type="dxa" w:w="295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提示第四张牌的取向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6"/>
              </w:rPr>
              <w:t>解释力对决</w:t>
            </w:r>
          </w:p>
        </w:tc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让日常解释无法覆盖全部证据</w:t>
            </w:r>
          </w:p>
        </w:tc>
        <w:tc>
          <w:tcPr>
            <w:tcW w:type="dxa" w:w="223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依次出示四张证据并管理体力</w:t>
            </w:r>
          </w:p>
        </w:tc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解释力归零且四张均出示</w:t>
            </w:r>
          </w:p>
        </w:tc>
        <w:tc>
          <w:tcPr>
            <w:tcW w:type="dxa" w:w="295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解释反方与证据链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6"/>
              </w:rPr>
              <w:t>失败</w:t>
            </w:r>
          </w:p>
        </w:tc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理解本轮链条缺口</w:t>
            </w:r>
          </w:p>
        </w:tc>
        <w:tc>
          <w:tcPr>
            <w:tcW w:type="dxa" w:w="223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查看分析后返回重组</w:t>
            </w:r>
          </w:p>
        </w:tc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回到搜证状态</w:t>
            </w:r>
          </w:p>
        </w:tc>
        <w:tc>
          <w:tcPr>
            <w:tcW w:type="dxa" w:w="295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强调失败不等于假说错误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6"/>
              </w:rPr>
              <w:t>阶段推演</w:t>
            </w:r>
          </w:p>
        </w:tc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选择当前假说和求证问题</w:t>
            </w:r>
          </w:p>
        </w:tc>
        <w:tc>
          <w:tcPr>
            <w:tcW w:type="dxa" w:w="223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比较四个假说和三个问题</w:t>
            </w:r>
          </w:p>
        </w:tc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两项均已选择</w:t>
            </w:r>
          </w:p>
        </w:tc>
        <w:tc>
          <w:tcPr>
            <w:tcW w:type="dxa" w:w="295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说明推荐依据与证据缺口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6"/>
              </w:rPr>
              <w:t>完成</w:t>
            </w:r>
          </w:p>
        </w:tc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保存结果并决定下一步</w:t>
            </w:r>
          </w:p>
        </w:tc>
        <w:tc>
          <w:tcPr>
            <w:tcW w:type="dxa" w:w="223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当前为封存并返回入口</w:t>
            </w:r>
          </w:p>
        </w:tc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成绩写入本地或账户</w:t>
            </w:r>
          </w:p>
        </w:tc>
        <w:tc>
          <w:tcPr>
            <w:tcW w:type="dxa" w:w="295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建议增加完成回执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阶段门槛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进入质证前必须发现全部六条线索。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牌组固定为四张，包括指尖红血、同事蓝转红、定向试卷三张关键锚点，以及城市资料或灰夹克之一。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培训教材是背景线索，可以查阅但不入庭。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对决中每张入选证据至少实际出示一次；重复强牌不能绕过证据链要求。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End 必须同时选择一个阶段假说和一个知乎求证问题，完成按钮才可用。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内容判断规则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296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信息层</w:t>
            </w:r>
          </w:p>
        </w:tc>
        <w:tc>
          <w:tcPr>
            <w:tcW w:type="dxa" w:w="446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可用表达</w:t>
            </w:r>
          </w:p>
        </w:tc>
        <w:tc>
          <w:tcPr>
            <w:tcW w:type="dxa" w:w="4392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禁止表达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事实</w:t>
            </w:r>
          </w:p>
        </w:tc>
        <w:tc>
          <w:tcPr>
            <w:tcW w:type="dxa" w:w="446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公开片段直接写出的观察或本次接口即时命中的短引</w:t>
            </w:r>
          </w:p>
        </w:tc>
        <w:tc>
          <w:tcPr>
            <w:tcW w:type="dxa" w:w="43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把策划复述写成逐字原文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推断</w:t>
            </w:r>
          </w:p>
        </w:tc>
        <w:tc>
          <w:tcPr>
            <w:tcW w:type="dxa" w:w="446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世界置换、记忆错位、观察实验等竞争假说</w:t>
            </w:r>
          </w:p>
        </w:tc>
        <w:tc>
          <w:tcPr>
            <w:tcW w:type="dxa" w:w="43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正确答案是 或 幕后黑手就是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证据缺口</w:t>
            </w:r>
          </w:p>
        </w:tc>
        <w:tc>
          <w:tcPr>
            <w:tcW w:type="dxa" w:w="446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目前仍不能排除什么以及下一步如何验证</w:t>
            </w:r>
          </w:p>
        </w:tc>
        <w:tc>
          <w:tcPr>
            <w:tcW w:type="dxa" w:w="43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以作者暗示为由补写机制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阶段结果</w:t>
            </w:r>
          </w:p>
        </w:tc>
        <w:tc>
          <w:tcPr>
            <w:tcW w:type="dxa" w:w="446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本局证据链更支持某种解释</w:t>
            </w:r>
          </w:p>
        </w:tc>
        <w:tc>
          <w:tcPr>
            <w:tcW w:type="dxa" w:w="43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解锁原作结局 或 宣称还原真相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36"/>
        </w:rPr>
        <w:t>三 视觉语言与设计 Token</w:t>
      </w:r>
    </w:p>
    <w:p>
      <w:pPr>
        <w:keepNext w:val="0"/>
        <w:keepLines/>
        <w:spacing w:after="100" w:line="300" w:lineRule="auto"/>
        <w:widowControl w:val="1"/>
      </w:pPr>
      <w:r>
        <w:rPr>
          <w:rFonts w:ascii="Hiragino Sans GB" w:hAnsi="Hiragino Sans GB" w:eastAsia="Hiragino Sans GB" w:cs="Hiragino Sans GB"/>
          <w:color w:val="171717"/>
        </w:rPr>
        <w:t>现有界面采用纸张底色、黑色粗边框和高饱和蓝黄强调，接近可触摸的案卷卡片。UI 精修应保持这一辨识度，同时降低同屏元素竞争，优先保证信息层级。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颜色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72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Token</w:t>
            </w:r>
          </w:p>
        </w:tc>
        <w:tc>
          <w:tcPr>
            <w:tcW w:type="dxa" w:w="1655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色值</w:t>
            </w:r>
          </w:p>
        </w:tc>
        <w:tc>
          <w:tcPr>
            <w:tcW w:type="dxa" w:w="6623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Ink</w:t>
            </w:r>
          </w:p>
        </w:tc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#171717</w:t>
            </w:r>
          </w:p>
        </w:tc>
        <w:tc>
          <w:tcPr>
            <w:tcW w:type="dxa" w:w="6623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正文、标题、主边框和主要阴影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Paper</w:t>
            </w:r>
          </w:p>
        </w:tc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#F3EEE3</w:t>
            </w:r>
          </w:p>
        </w:tc>
        <w:tc>
          <w:tcPr>
            <w:tcW w:type="dxa" w:w="6623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页面底色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Paper Bright</w:t>
            </w:r>
          </w:p>
        </w:tc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#FFFDF7</w:t>
            </w:r>
          </w:p>
        </w:tc>
        <w:tc>
          <w:tcPr>
            <w:tcW w:type="dxa" w:w="6623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面板、卡片和对话区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Paper Muted</w:t>
            </w:r>
          </w:p>
        </w:tc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#D9D1C2</w:t>
            </w:r>
          </w:p>
        </w:tc>
        <w:tc>
          <w:tcPr>
            <w:tcW w:type="dxa" w:w="6623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弱边框、禁用分隔和未激活步骤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Primary Blue</w:t>
            </w:r>
          </w:p>
        </w:tc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#315CFF</w:t>
            </w:r>
          </w:p>
        </w:tc>
        <w:tc>
          <w:tcPr>
            <w:tcW w:type="dxa" w:w="6623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主按钮、激活状态、焦点和来源强调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Periwinkle</w:t>
            </w:r>
          </w:p>
        </w:tc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#8EA2ED</w:t>
            </w:r>
          </w:p>
        </w:tc>
        <w:tc>
          <w:tcPr>
            <w:tcW w:type="dxa" w:w="6623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弱选中、辅助背景和虚线提示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Orange</w:t>
            </w:r>
          </w:p>
        </w:tc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#F05A28</w:t>
            </w:r>
          </w:p>
        </w:tc>
        <w:tc>
          <w:tcPr>
            <w:tcW w:type="dxa" w:w="6623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风险提示和过程反馈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Yellow</w:t>
            </w:r>
          </w:p>
        </w:tc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#F2CB45</w:t>
            </w:r>
          </w:p>
        </w:tc>
        <w:tc>
          <w:tcPr>
            <w:tcW w:type="dxa" w:w="6623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教程提示、计时与轻量强调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Green</w:t>
            </w:r>
          </w:p>
        </w:tc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#407A57</w:t>
            </w:r>
          </w:p>
        </w:tc>
        <w:tc>
          <w:tcPr>
            <w:tcW w:type="dxa" w:w="6623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完成、在线或可通过状态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Red</w:t>
            </w:r>
          </w:p>
        </w:tc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#B93636</w:t>
            </w:r>
          </w:p>
        </w:tc>
        <w:tc>
          <w:tcPr>
            <w:tcW w:type="dxa" w:w="6623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错误、失败和高风险状态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字体与层级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168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建议规格</w:t>
            </w:r>
          </w:p>
        </w:tc>
        <w:tc>
          <w:tcPr>
            <w:tcW w:type="dxa" w:w="518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展示标题</w:t>
            </w:r>
          </w:p>
        </w:tc>
        <w:tc>
          <w:tcPr>
            <w:tcW w:type="dxa" w:w="316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32 至 76 px 900 字重</w:t>
            </w:r>
          </w:p>
        </w:tc>
        <w:tc>
          <w:tcPr>
            <w:tcW w:type="dxa" w:w="51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入口主标题，响应式缩放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页面标题</w:t>
            </w:r>
          </w:p>
        </w:tc>
        <w:tc>
          <w:tcPr>
            <w:tcW w:type="dxa" w:w="316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24 至 38 px 850 字重</w:t>
            </w:r>
          </w:p>
        </w:tc>
        <w:tc>
          <w:tcPr>
            <w:tcW w:type="dxa" w:w="51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故事开场与 End 主标题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组件标题</w:t>
            </w:r>
          </w:p>
        </w:tc>
        <w:tc>
          <w:tcPr>
            <w:tcW w:type="dxa" w:w="316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16 至 22 px 800 字重</w:t>
            </w:r>
          </w:p>
        </w:tc>
        <w:tc>
          <w:tcPr>
            <w:tcW w:type="dxa" w:w="51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面板、场景和结果标题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正文</w:t>
            </w:r>
          </w:p>
        </w:tc>
        <w:tc>
          <w:tcPr>
            <w:tcW w:type="dxa" w:w="316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14 至 16 px 400 或 600 字重</w:t>
            </w:r>
          </w:p>
        </w:tc>
        <w:tc>
          <w:tcPr>
            <w:tcW w:type="dxa" w:w="51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故事说明和交互解释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状态与数据</w:t>
            </w:r>
          </w:p>
        </w:tc>
        <w:tc>
          <w:tcPr>
            <w:tcW w:type="dxa" w:w="316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10 至 12 px 等宽字体</w:t>
            </w:r>
          </w:p>
        </w:tc>
        <w:tc>
          <w:tcPr>
            <w:tcW w:type="dxa" w:w="51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标签、计数、来源状态和 Work ID</w:t>
            </w:r>
          </w:p>
        </w:tc>
      </w:tr>
    </w:tbl>
    <w:p>
      <w:pPr>
        <w:spacing w:after="40"/>
      </w:pPr>
    </w:p>
    <w:p>
      <w:pPr>
        <w:keepNext w:val="0"/>
        <w:keepLines/>
        <w:spacing w:after="100" w:line="300" w:lineRule="auto"/>
        <w:widowControl w:val="1"/>
      </w:pPr>
      <w:r>
        <w:rPr>
          <w:rFonts w:ascii="Hiragino Sans GB" w:hAnsi="Hiragino Sans GB" w:eastAsia="Hiragino Sans GB" w:cs="Hiragino Sans GB"/>
          <w:color w:val="625C53"/>
          <w:sz w:val="19"/>
        </w:rPr>
        <w:t>当前 CSS 使用 Inter、系统无衬线字体和 SFMono 等宽字体。中文版要显式提供中文系统字体回退，避免数字与中文基线漂移。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结构与动效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44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951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当前基线</w:t>
            </w:r>
          </w:p>
        </w:tc>
        <w:tc>
          <w:tcPr>
            <w:tcW w:type="dxa" w:w="576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实现要求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间距</w:t>
            </w:r>
          </w:p>
        </w:tc>
        <w:tc>
          <w:tcPr>
            <w:tcW w:type="dxa" w:w="295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以 4 和 8 px 为基础</w:t>
            </w:r>
          </w:p>
        </w:tc>
        <w:tc>
          <w:tcPr>
            <w:tcW w:type="dxa" w:w="57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优先使用 4 8 12 16 24 32，避免零散值继续扩散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边框</w:t>
            </w:r>
          </w:p>
        </w:tc>
        <w:tc>
          <w:tcPr>
            <w:tcW w:type="dxa" w:w="295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关键卡片 3 px，次级控件 2 px</w:t>
            </w:r>
          </w:p>
        </w:tc>
        <w:tc>
          <w:tcPr>
            <w:tcW w:type="dxa" w:w="57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状态变化时保留轮廓，不只改变底色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圆角</w:t>
            </w:r>
          </w:p>
        </w:tc>
        <w:tc>
          <w:tcPr>
            <w:tcW w:type="dxa" w:w="295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4 至 12 px</w:t>
            </w:r>
          </w:p>
        </w:tc>
        <w:tc>
          <w:tcPr>
            <w:tcW w:type="dxa" w:w="57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按钮小圆角，模态框与角色卡使用 10 至 12 px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阴影</w:t>
            </w:r>
          </w:p>
        </w:tc>
        <w:tc>
          <w:tcPr>
            <w:tcW w:type="dxa" w:w="295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3 至 7 px 硬阴影</w:t>
            </w:r>
          </w:p>
        </w:tc>
        <w:tc>
          <w:tcPr>
            <w:tcW w:type="dxa" w:w="57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只用于可交互或层级提升，不给所有文本块加阴影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过渡</w:t>
            </w:r>
          </w:p>
        </w:tc>
        <w:tc>
          <w:tcPr>
            <w:tcW w:type="dxa" w:w="295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约 150 至 250 ms</w:t>
            </w:r>
          </w:p>
        </w:tc>
        <w:tc>
          <w:tcPr>
            <w:tcW w:type="dxa" w:w="57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位移不超过 3 px，战斗反馈除外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焦点</w:t>
            </w:r>
          </w:p>
        </w:tc>
        <w:tc>
          <w:tcPr>
            <w:tcW w:type="dxa" w:w="295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3 px 蓝色外框</w:t>
            </w:r>
          </w:p>
        </w:tc>
        <w:tc>
          <w:tcPr>
            <w:tcW w:type="dxa" w:w="57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键盘焦点不可被 hover 或阴影覆盖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36"/>
        </w:rPr>
        <w:t>四 全局导航与通用组件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全局顶栏</w:t>
      </w:r>
    </w:p>
    <w:p>
      <w:pPr>
        <w:pStyle w:val="StatusLine"/>
        <w:keepNext w:val="0"/>
        <w:keepLines/>
        <w:widowControl w:val="1"/>
      </w:pPr>
      <w:r>
        <w:rPr>
          <w:rFonts w:ascii="Hiragino Sans GB" w:hAnsi="Hiragino Sans GB" w:eastAsia="Hiragino Sans GB" w:cs="Hiragino Sans GB"/>
          <w:b/>
          <w:color w:val="407A57"/>
          <w:sz w:val="18"/>
        </w:rPr>
        <w:t>已实现</w:t>
      </w:r>
      <w:r>
        <w:rPr>
          <w:rFonts w:ascii="Hiragino Sans GB" w:hAnsi="Hiragino Sans GB" w:eastAsia="Hiragino Sans GB" w:cs="Hiragino Sans GB"/>
          <w:color w:val="171717"/>
          <w:sz w:val="19"/>
        </w:rPr>
        <w:t xml:space="preserve">  桌面端为吸顶栏，左侧品牌，右侧依次为中英文切换、玩家入口、积分和账户动作。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品牌按钮返回故事入口页。图标、名称和副标题视为一个点击目标。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语言切换使用 tab 语义并保留 aria selected。切换后页面标题和 html lang 同步。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玩家入口显示头像、昵称或登录提示；资料加载时禁用，失败时出现非阻塞同步说明。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移动端可隐藏次要文字，但账号和语言入口不能被刘看山悬浮按钮遮挡。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通用组件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8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338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默认形态</w:t>
            </w:r>
          </w:p>
        </w:tc>
        <w:tc>
          <w:tcPr>
            <w:tcW w:type="dxa" w:w="518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关键状态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主按钮</w:t>
            </w:r>
          </w:p>
        </w:tc>
        <w:tc>
          <w:tcPr>
            <w:tcW w:type="dxa" w:w="33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蓝底黑边与硬阴影</w:t>
            </w:r>
          </w:p>
        </w:tc>
        <w:tc>
          <w:tcPr>
            <w:tcW w:type="dxa" w:w="51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hover 轻微上移，disabled 降低不透明度并保留文本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次按钮</w:t>
            </w:r>
          </w:p>
        </w:tc>
        <w:tc>
          <w:tcPr>
            <w:tcW w:type="dxa" w:w="33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亮纸底黑边</w:t>
            </w:r>
          </w:p>
        </w:tc>
        <w:tc>
          <w:tcPr>
            <w:tcW w:type="dxa" w:w="51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返回、查看来源、重新组牌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面板</w:t>
            </w:r>
          </w:p>
        </w:tc>
        <w:tc>
          <w:tcPr>
            <w:tcW w:type="dxa" w:w="33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亮纸底 3 px 黑边 10 px 圆角</w:t>
            </w:r>
          </w:p>
        </w:tc>
        <w:tc>
          <w:tcPr>
            <w:tcW w:type="dxa" w:w="51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通过标题、徽标和内容区建立层级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标签</w:t>
            </w:r>
          </w:p>
        </w:tc>
        <w:tc>
          <w:tcPr>
            <w:tcW w:type="dxa" w:w="33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等宽小字</w:t>
            </w:r>
          </w:p>
        </w:tc>
        <w:tc>
          <w:tcPr>
            <w:tcW w:type="dxa" w:w="51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ready、来源模式、关键证据和风险等级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阶段轨道</w:t>
            </w:r>
          </w:p>
        </w:tc>
        <w:tc>
          <w:tcPr>
            <w:tcW w:type="dxa" w:w="33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搜证 解释力对决 END</w:t>
            </w:r>
          </w:p>
        </w:tc>
        <w:tc>
          <w:tcPr>
            <w:tcW w:type="dxa" w:w="51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active 蓝底，done 绿底，未开始为浅边框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来源条</w:t>
            </w:r>
          </w:p>
        </w:tc>
        <w:tc>
          <w:tcPr>
            <w:tcW w:type="dxa" w:w="33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蓝色左边框</w:t>
            </w:r>
          </w:p>
        </w:tc>
        <w:tc>
          <w:tcPr>
            <w:tcW w:type="dxa" w:w="51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标题、作者、Work ID、来源通知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错误</w:t>
            </w:r>
          </w:p>
        </w:tc>
        <w:tc>
          <w:tcPr>
            <w:tcW w:type="dxa" w:w="33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红色边框或红色文字</w:t>
            </w:r>
          </w:p>
        </w:tc>
        <w:tc>
          <w:tcPr>
            <w:tcW w:type="dxa" w:w="51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role alert，紧邻失败动作，并提供重试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空状态</w:t>
            </w:r>
          </w:p>
        </w:tc>
        <w:tc>
          <w:tcPr>
            <w:tcW w:type="dxa" w:w="33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弱背景与简短说明</w:t>
            </w:r>
          </w:p>
        </w:tc>
        <w:tc>
          <w:tcPr>
            <w:tcW w:type="dxa" w:w="51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只说明下一步，不展示技术错误详情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来源状态统一写法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在线且存在命中短引时显示 知乎 API 已连接，并在每条命中材料中显示 已核验原文短引。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在线但锚点未命中时显示 原文锚点未命中，内容只标 策划转述。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接口失败时显示 策划离线模式 和 透明降级，不使用断网错误页阻断试玩。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所有模式都保留故事名、作者、Work ID 和版权边界。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组件实现来源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816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6336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frontend app page tsx</w:t>
            </w:r>
          </w:p>
        </w:tc>
        <w:tc>
          <w:tcPr>
            <w:tcW w:type="dxa" w:w="63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主流程、场景、组牌、对决、失败和 End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frontend app components kanshan guide tsx</w:t>
            </w:r>
          </w:p>
        </w:tc>
        <w:tc>
          <w:tcPr>
            <w:tcW w:type="dxa" w:w="63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首页导览和上下文悬浮向导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frontend app components cat evidence tsx</w:t>
            </w:r>
          </w:p>
        </w:tc>
        <w:tc>
          <w:tcPr>
            <w:tcW w:type="dxa" w:w="63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来源阅读器与线索展示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frontend app globals css</w:t>
            </w:r>
          </w:p>
        </w:tc>
        <w:tc>
          <w:tcPr>
            <w:tcW w:type="dxa" w:w="63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全部视觉 token、布局、动效和响应式规则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frontend app lib court battle ts</w:t>
            </w:r>
          </w:p>
        </w:tc>
        <w:tc>
          <w:tcPr>
            <w:tcW w:type="dxa" w:w="63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手牌、体力、护盾、计时和胜负状态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backend src zhihu story js</w:t>
            </w:r>
          </w:p>
        </w:tc>
        <w:tc>
          <w:tcPr>
            <w:tcW w:type="dxa" w:w="63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六条线索、来源模式、假说和求证问题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36"/>
        </w:rPr>
        <w:t>五 故事入口页</w:t>
      </w:r>
    </w:p>
    <w:p>
      <w:pPr>
        <w:pStyle w:val="StatusLine"/>
        <w:keepNext w:val="0"/>
        <w:keepLines/>
        <w:widowControl w:val="1"/>
      </w:pPr>
      <w:r>
        <w:rPr>
          <w:rFonts w:ascii="Hiragino Sans GB" w:hAnsi="Hiragino Sans GB" w:eastAsia="Hiragino Sans GB" w:cs="Hiragino Sans GB"/>
          <w:b/>
          <w:color w:val="407A57"/>
          <w:sz w:val="18"/>
        </w:rPr>
        <w:t>已实现</w:t>
      </w:r>
      <w:r>
        <w:rPr>
          <w:rFonts w:ascii="Hiragino Sans GB" w:hAnsi="Hiragino Sans GB" w:eastAsia="Hiragino Sans GB" w:cs="Hiragino Sans GB"/>
          <w:color w:val="171717"/>
          <w:sz w:val="19"/>
        </w:rPr>
        <w:t xml:space="preserve">  入口页已经形成故事钩子、来源状态、核心数字、内容边界、开始按钮、刘看山导览和四步流程。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页面结构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655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3671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必须显示</w:t>
            </w:r>
          </w:p>
        </w:tc>
        <w:tc>
          <w:tcPr>
            <w:tcW w:type="dxa" w:w="482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交互与状态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顶部标题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蓝血疑云 谁的世界出了错</w:t>
            </w:r>
          </w:p>
        </w:tc>
        <w:tc>
          <w:tcPr>
            <w:tcW w:type="dxa" w:w="482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标题下只用一句话解释玩法，不堆设定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来源状态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在线或离线 Work ID 或降级原因</w:t>
            </w:r>
          </w:p>
        </w:tc>
        <w:tc>
          <w:tcPr>
            <w:tcW w:type="dxa" w:w="482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在线用绿点，离线也要明确可继续试玩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故事主卡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封面、标签、故事钩子</w:t>
            </w:r>
          </w:p>
        </w:tc>
        <w:tc>
          <w:tcPr>
            <w:tcW w:type="dxa" w:w="482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远程封面不可用时使用 BLUE BLOOD 文本占位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数据概览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3 场景 6 线索 4 卡牌 1 求证问题</w:t>
            </w:r>
          </w:p>
        </w:tc>
        <w:tc>
          <w:tcPr>
            <w:tcW w:type="dxa" w:w="482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作为玩法承诺，数字不可与数据不一致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内容边界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仅用公开片段 阶段推演不代表原作结局</w:t>
            </w:r>
          </w:p>
        </w:tc>
        <w:tc>
          <w:tcPr>
            <w:tcW w:type="dxa" w:w="482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始终在主按钮附近可见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主动作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封存剧情进入调查 或 重新进入调查</w:t>
            </w:r>
          </w:p>
        </w:tc>
        <w:tc>
          <w:tcPr>
            <w:tcW w:type="dxa" w:w="482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完成后显示最佳裁决分数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故事向导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刘看山大卡片</w:t>
            </w:r>
          </w:p>
        </w:tc>
        <w:tc>
          <w:tcPr>
            <w:tcW w:type="dxa" w:w="482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三主题可切换，另有进入搜证按钮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流程条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阅读简介 原文搜证 六选四组牌 选择求证</w:t>
            </w:r>
          </w:p>
        </w:tc>
        <w:tc>
          <w:tcPr>
            <w:tcW w:type="dxa" w:w="482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说明规则，不承担导航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桌面布局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入口内容宽度上限约 1180 px，标题区为主信息加来源状态双列。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故事主卡左侧封面，右侧钩子、数字和主动作。主按钮必须进入首屏可见范围。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刘看山导览位于故事主卡之后，角色区与正文区视觉分栏。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移动端布局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标题与来源状态改为单列；封面、内容和动作纵向排列。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四项数据可使用两列网格，不压缩到一行。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开始按钮和刘看山导览按钮均使用全宽，按钮间至少 8 px。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标签超过一行时自然换行，不横向滚动。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入口验收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断网状态下玩家仍能进入完整故事，且不会误以为内容来自实时接口。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完成过一次后，入口按钮和最佳分数状态立即更新。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刘看山大卡片不会把主故事 CTA 挤出第一屏以下过远。</w:t>
      </w:r>
    </w:p>
    <w:p>
      <w:pPr>
        <w:pStyle w:val="Heading1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36"/>
        </w:rPr>
        <w:t>六 刘看山故事向导</w:t>
      </w:r>
    </w:p>
    <w:p>
      <w:pPr>
        <w:keepNext w:val="0"/>
        <w:keepLines/>
        <w:spacing w:after="100" w:line="300" w:lineRule="auto"/>
        <w:widowControl w:val="1"/>
      </w:pPr>
      <w:r>
        <w:rPr>
          <w:rFonts w:ascii="Hiragino Sans GB" w:hAnsi="Hiragino Sans GB" w:eastAsia="Hiragino Sans GB" w:cs="Hiragino Sans GB"/>
          <w:color w:val="171717"/>
        </w:rPr>
        <w:t>刘看山是知乎故事向导，不是《蓝血》角色，也不是自由对话机器人。当前实现使用确定性预设文案，目的在于减少幻觉和演示不确定性。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2" name="Picture 2" title="刘看山静态降级素材" descr="刘看山站立的透明背景静态图，用于减少动态效果模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i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after="160"/>
        <w:jc w:val="center"/>
        <w:widowControl w:val="1"/>
      </w:pPr>
      <w:r>
        <w:rPr>
          <w:rFonts w:ascii="Hiragino Sans GB" w:hAnsi="Hiragino Sans GB" w:eastAsia="Hiragino Sans GB" w:cs="Hiragino Sans GB"/>
          <w:color w:val="625C53"/>
          <w:sz w:val="17"/>
        </w:rPr>
        <w:t>刘看山静态降级素材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首页大卡片</w:t>
      </w:r>
    </w:p>
    <w:p>
      <w:pPr>
        <w:pStyle w:val="StatusLine"/>
        <w:keepNext w:val="0"/>
        <w:keepLines/>
        <w:widowControl w:val="1"/>
      </w:pPr>
      <w:r>
        <w:rPr>
          <w:rFonts w:ascii="Hiragino Sans GB" w:hAnsi="Hiragino Sans GB" w:eastAsia="Hiragino Sans GB" w:cs="Hiragino Sans GB"/>
          <w:b/>
          <w:color w:val="407A57"/>
          <w:sz w:val="18"/>
        </w:rPr>
        <w:t>已实现</w:t>
      </w:r>
      <w:r>
        <w:rPr>
          <w:rFonts w:ascii="Hiragino Sans GB" w:hAnsi="Hiragino Sans GB" w:eastAsia="Hiragino Sans GB" w:cs="Hiragino Sans GB"/>
          <w:color w:val="171717"/>
          <w:sz w:val="19"/>
        </w:rPr>
        <w:t xml:space="preserve">  角色在左，内容在右；移动端上下堆叠。默认打开故事发生了什么。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6408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内容目标</w:t>
            </w:r>
          </w:p>
        </w:tc>
        <w:tc>
          <w:tcPr>
            <w:tcW w:type="dxa" w:w="1655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结束动作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故事发生了什么</w:t>
            </w:r>
          </w:p>
        </w:tc>
        <w:tc>
          <w:tcPr>
            <w:tcW w:type="dxa" w:w="64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交代蓝血常识、方诺红血、同事蓝转红、公共记录、定向测试与跟随者</w:t>
            </w:r>
          </w:p>
        </w:tc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继续切换主题或开始搜证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我在游戏里做什么</w:t>
            </w:r>
          </w:p>
        </w:tc>
        <w:tc>
          <w:tcPr>
            <w:tcW w:type="dxa" w:w="64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说明三场景六线索、三张锚点加一张方向牌、阶段推演与知乎问题</w:t>
            </w:r>
          </w:p>
        </w:tc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开始搜证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哪些还不能确定</w:t>
            </w:r>
          </w:p>
        </w:tc>
        <w:tc>
          <w:tcPr>
            <w:tcW w:type="dxa" w:w="64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说明世界置换、记忆错位与观察实验都只是阶段假说</w:t>
            </w:r>
          </w:p>
        </w:tc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开始搜证</w:t>
            </w:r>
          </w:p>
        </w:tc>
      </w:tr>
    </w:tbl>
    <w:p>
      <w:pPr>
        <w:spacing w:after="40"/>
      </w:pP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切换主题时只替换答案区和角色动作，不改变整卡高度，避免页面跳动。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标签使用 tab 语义；答案区使用 aria live polite，切换后不抢焦点。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首页角色动作仅显示一个 GIF。减少动态效果模式显示 still png。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悬浮向导</w:t>
      </w:r>
    </w:p>
    <w:p>
      <w:pPr>
        <w:pStyle w:val="StatusLine"/>
        <w:keepNext w:val="0"/>
        <w:keepLines/>
        <w:widowControl w:val="1"/>
      </w:pPr>
      <w:r>
        <w:rPr>
          <w:rFonts w:ascii="Hiragino Sans GB" w:hAnsi="Hiragino Sans GB" w:eastAsia="Hiragino Sans GB" w:cs="Hiragino Sans GB"/>
          <w:b/>
          <w:color w:val="407A57"/>
          <w:sz w:val="18"/>
        </w:rPr>
        <w:t>已实现</w:t>
      </w:r>
      <w:r>
        <w:rPr>
          <w:rFonts w:ascii="Hiragino Sans GB" w:hAnsi="Hiragino Sans GB" w:eastAsia="Hiragino Sans GB" w:cs="Hiragino Sans GB"/>
          <w:color w:val="171717"/>
          <w:sz w:val="19"/>
        </w:rPr>
        <w:t xml:space="preserve">  调查、对决和 End 均提供右下角 问看山 入口；关闭后只保留胶囊触发按钮。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43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上下文</w:t>
            </w:r>
          </w:p>
        </w:tc>
        <w:tc>
          <w:tcPr>
            <w:tcW w:type="dxa" w:w="4536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默认提示</w:t>
            </w:r>
          </w:p>
        </w:tc>
        <w:tc>
          <w:tcPr>
            <w:tcW w:type="dxa" w:w="3772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可追问内容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急救培训室</w:t>
            </w:r>
          </w:p>
        </w:tc>
        <w:tc>
          <w:tcPr>
            <w:tcW w:type="dxa" w:w="45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比较教材 方诺 同事三个独立观察</w:t>
            </w:r>
          </w:p>
        </w:tc>
        <w:tc>
          <w:tcPr>
            <w:tcW w:type="dxa" w:w="377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事实还是推断 证据强度 第四张牌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深夜资料库</w:t>
            </w:r>
          </w:p>
        </w:tc>
        <w:tc>
          <w:tcPr>
            <w:tcW w:type="dxa" w:w="45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寻找公共记录与只针对方诺的安排</w:t>
            </w:r>
          </w:p>
        </w:tc>
        <w:tc>
          <w:tcPr>
            <w:tcW w:type="dxa" w:w="377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事实还是推断 证据强度 第四张牌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老街死胡同</w:t>
            </w:r>
          </w:p>
        </w:tc>
        <w:tc>
          <w:tcPr>
            <w:tcW w:type="dxa" w:w="45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区分被跟踪的感受与观察到的行为</w:t>
            </w:r>
          </w:p>
        </w:tc>
        <w:tc>
          <w:tcPr>
            <w:tcW w:type="dxa" w:w="377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事实还是推断 证据强度 第四张牌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离线搜证</w:t>
            </w:r>
          </w:p>
        </w:tc>
        <w:tc>
          <w:tcPr>
            <w:tcW w:type="dxa" w:w="45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当前材料是策划转述</w:t>
            </w:r>
          </w:p>
        </w:tc>
        <w:tc>
          <w:tcPr>
            <w:tcW w:type="dxa" w:w="377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为什么不能称为原文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对决进行中</w:t>
            </w:r>
          </w:p>
        </w:tc>
        <w:tc>
          <w:tcPr>
            <w:tcW w:type="dxa" w:w="45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反方代表疲劳 误记和巧合</w:t>
            </w:r>
          </w:p>
        </w:tc>
        <w:tc>
          <w:tcPr>
            <w:tcW w:type="dxa" w:w="377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质疑对象 证据链 重复出牌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对决胜利</w:t>
            </w:r>
          </w:p>
        </w:tc>
        <w:tc>
          <w:tcPr>
            <w:tcW w:type="dxa" w:w="45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四张证据均已出示</w:t>
            </w:r>
          </w:p>
        </w:tc>
        <w:tc>
          <w:tcPr>
            <w:tcW w:type="dxa" w:w="377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为何能进入阶段推演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对决失败</w:t>
            </w:r>
          </w:p>
        </w:tc>
        <w:tc>
          <w:tcPr>
            <w:tcW w:type="dxa" w:w="45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本轮链条未闭合</w:t>
            </w:r>
          </w:p>
        </w:tc>
        <w:tc>
          <w:tcPr>
            <w:tcW w:type="dxa" w:w="377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如何重组和保护论证</w:t>
            </w:r>
          </w:p>
        </w:tc>
      </w:tr>
      <w:tr>
        <w:trPr>
          <w:cantSplit/>
        </w:trPr>
        <w:tc>
          <w:tcPr>
            <w:tcW w:type="dxa" w:w="1843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阶段推演</w:t>
            </w:r>
          </w:p>
        </w:tc>
        <w:tc>
          <w:tcPr>
            <w:tcW w:type="dxa" w:w="45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选择下一步验证而非原作答案</w:t>
            </w:r>
          </w:p>
        </w:tc>
        <w:tc>
          <w:tcPr>
            <w:tcW w:type="dxa" w:w="377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推荐依据 其他假说 安全提问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交互规范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桌面端面板宽度上限约 400 px，触发器固定在安全区内；展开后先显示情境提示。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移动端面板宽度为视口减 1.2 rem，高度上限约 64 d vh，内部滚动。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任何时候都不提供自由文本输入。若未来接入大模型，必须另设来源约束、拒答和兜底，不属于当前实现。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禁止使用 正确答案是 真相是 作者暗示了 幕后黑手就是 解锁原作结局。</w:t>
      </w:r>
    </w:p>
    <w:p>
      <w:pPr>
        <w:pStyle w:val="Heading1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36"/>
        </w:rPr>
        <w:t>七 故事开场与调查框架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故事开场</w:t>
      </w:r>
    </w:p>
    <w:p>
      <w:pPr>
        <w:pStyle w:val="StatusLine"/>
        <w:keepNext w:val="0"/>
        <w:keepLines/>
        <w:widowControl w:val="1"/>
      </w:pPr>
      <w:r>
        <w:rPr>
          <w:rFonts w:ascii="Hiragino Sans GB" w:hAnsi="Hiragino Sans GB" w:eastAsia="Hiragino Sans GB" w:cs="Hiragino Sans GB"/>
          <w:b/>
          <w:color w:val="407A57"/>
          <w:sz w:val="18"/>
        </w:rPr>
        <w:t>已实现</w:t>
      </w:r>
      <w:r>
        <w:rPr>
          <w:rFonts w:ascii="Hiragino Sans GB" w:hAnsi="Hiragino Sans GB" w:eastAsia="Hiragino Sans GB" w:cs="Hiragino Sans GB"/>
          <w:color w:val="171717"/>
          <w:sz w:val="19"/>
        </w:rPr>
        <w:t xml:space="preserve">  进入故事后先出现模态开场卡，包含来源模式、封面、简介、玩家身份、任务和版权说明。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8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元素</w:t>
            </w:r>
          </w:p>
        </w:tc>
        <w:tc>
          <w:tcPr>
            <w:tcW w:type="dxa" w:w="3816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4752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实现要求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来源模式</w:t>
            </w:r>
          </w:p>
        </w:tc>
        <w:tc>
          <w:tcPr>
            <w:tcW w:type="dxa" w:w="381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实时接口 或 离线降级</w:t>
            </w:r>
          </w:p>
        </w:tc>
        <w:tc>
          <w:tcPr>
            <w:tcW w:type="dxa" w:w="475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位于卡片顶部并保持可读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故事简介</w:t>
            </w:r>
          </w:p>
        </w:tc>
        <w:tc>
          <w:tcPr>
            <w:tcW w:type="dxa" w:w="381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方诺经历与公开片段范围</w:t>
            </w:r>
          </w:p>
        </w:tc>
        <w:tc>
          <w:tcPr>
            <w:tcW w:type="dxa" w:w="475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不提前展示假说答案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玩家身份</w:t>
            </w:r>
          </w:p>
        </w:tc>
        <w:tc>
          <w:tcPr>
            <w:tcW w:type="dxa" w:w="381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方诺的匿名调查协助者</w:t>
            </w:r>
          </w:p>
        </w:tc>
        <w:tc>
          <w:tcPr>
            <w:tcW w:type="dxa" w:w="475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用第二人称解释目标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任务</w:t>
            </w:r>
          </w:p>
        </w:tc>
        <w:tc>
          <w:tcPr>
            <w:tcW w:type="dxa" w:w="381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找六条线索 三张锚点加一张方向牌</w:t>
            </w:r>
          </w:p>
        </w:tc>
        <w:tc>
          <w:tcPr>
            <w:tcW w:type="dxa" w:w="475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黄色任务区突出完成门槛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来源署名</w:t>
            </w:r>
          </w:p>
        </w:tc>
        <w:tc>
          <w:tcPr>
            <w:tcW w:type="dxa" w:w="381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知乎故事名 作者和通知</w:t>
            </w:r>
          </w:p>
        </w:tc>
        <w:tc>
          <w:tcPr>
            <w:tcW w:type="dxa" w:w="475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保持在按钮之前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动作</w:t>
            </w:r>
          </w:p>
        </w:tc>
        <w:tc>
          <w:tcPr>
            <w:tcW w:type="dxa" w:w="381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返回故事页 开始搜证</w:t>
            </w:r>
          </w:p>
        </w:tc>
        <w:tc>
          <w:tcPr>
            <w:tcW w:type="dxa" w:w="475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开始为主按钮，返回为次按钮</w:t>
            </w:r>
          </w:p>
        </w:tc>
      </w:tr>
    </w:tbl>
    <w:p>
      <w:pPr>
        <w:spacing w:after="40"/>
      </w:pPr>
    </w:p>
    <w:p>
      <w:pPr>
        <w:pStyle w:val="StatusLine"/>
        <w:keepNext w:val="0"/>
        <w:keepLines/>
        <w:widowControl w:val="1"/>
      </w:pPr>
      <w:r>
        <w:rPr>
          <w:rFonts w:ascii="Hiragino Sans GB" w:hAnsi="Hiragino Sans GB" w:eastAsia="Hiragino Sans GB" w:cs="Hiragino Sans GB"/>
          <w:b/>
          <w:color w:val="315CFF"/>
          <w:sz w:val="18"/>
        </w:rPr>
        <w:t>建议新增</w:t>
      </w:r>
      <w:r>
        <w:rPr>
          <w:rFonts w:ascii="Hiragino Sans GB" w:hAnsi="Hiragino Sans GB" w:eastAsia="Hiragino Sans GB" w:cs="Hiragino Sans GB"/>
          <w:color w:val="171717"/>
          <w:sz w:val="19"/>
        </w:rPr>
        <w:t xml:space="preserve">  为模态框补齐焦点锁定、Esc 关闭策略和关闭后的焦点恢复。当前已有 dialog 与 aria modal 语义，但未见完整焦点管理。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调查页全局框架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顶部紧凑导航包含返回按钮和三阶段轨道。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案件摘要区显示当前阶段、故事标题、目标、已取证数、关键证据数和总分。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来源条显示故事名、作者、Work ID 和在线或离线说明。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桌面端主体为故事现场、来源阅读器、证据牌组三栏；每栏独立滚动，页面本身尽量不产生双重滚动。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刘看山悬浮向导持续存在，但不得遮住进入质证按钮和 End 操作区。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调查交互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3528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立即反馈</w:t>
            </w:r>
          </w:p>
        </w:tc>
        <w:tc>
          <w:tcPr>
            <w:tcW w:type="dxa" w:w="4392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连带变化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切换场景</w:t>
            </w:r>
          </w:p>
        </w:tc>
        <w:tc>
          <w:tcPr>
            <w:tcW w:type="dxa" w:w="35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选中标签高亮</w:t>
            </w:r>
          </w:p>
        </w:tc>
        <w:tc>
          <w:tcPr>
            <w:tcW w:type="dxa" w:w="43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阅读器与已发现证据保持不变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点击未发现热点</w:t>
            </w:r>
          </w:p>
        </w:tc>
        <w:tc>
          <w:tcPr>
            <w:tcW w:type="dxa" w:w="35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热点变为已收集</w:t>
            </w:r>
          </w:p>
        </w:tc>
        <w:tc>
          <w:tcPr>
            <w:tcW w:type="dxa" w:w="43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右侧出现证据卡 进度加一 得分加五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再次点击已发现热点</w:t>
            </w:r>
          </w:p>
        </w:tc>
        <w:tc>
          <w:tcPr>
            <w:tcW w:type="dxa" w:w="35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热点恢复未收集</w:t>
            </w:r>
          </w:p>
        </w:tc>
        <w:tc>
          <w:tcPr>
            <w:tcW w:type="dxa" w:w="43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证据卡和已选状态移除 得分减五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打开来源材料</w:t>
            </w:r>
          </w:p>
        </w:tc>
        <w:tc>
          <w:tcPr>
            <w:tcW w:type="dxa" w:w="35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文档按钮激活</w:t>
            </w:r>
          </w:p>
        </w:tc>
        <w:tc>
          <w:tcPr>
            <w:tcW w:type="dxa" w:w="43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阅读器显示短引或策划转述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选择证据卡</w:t>
            </w:r>
          </w:p>
        </w:tc>
        <w:tc>
          <w:tcPr>
            <w:tcW w:type="dxa" w:w="35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卡片出现已选状态</w:t>
            </w:r>
          </w:p>
        </w:tc>
        <w:tc>
          <w:tcPr>
            <w:tcW w:type="dxa" w:w="43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上庭计数增加，不移出证据库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取消证据卡</w:t>
            </w:r>
          </w:p>
        </w:tc>
        <w:tc>
          <w:tcPr>
            <w:tcW w:type="dxa" w:w="35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卡片恢复默认</w:t>
            </w:r>
          </w:p>
        </w:tc>
        <w:tc>
          <w:tcPr>
            <w:tcW w:type="dxa" w:w="43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上庭计数减少，调查发现状态保留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36"/>
        </w:rPr>
        <w:t>八 三场景六线索搜证</w:t>
      </w:r>
    </w:p>
    <w:p>
      <w:pPr>
        <w:keepNext w:val="0"/>
        <w:keepLines/>
        <w:spacing w:after="100" w:line="300" w:lineRule="auto"/>
        <w:widowControl w:val="1"/>
      </w:pPr>
      <w:r>
        <w:rPr>
          <w:rFonts w:ascii="Hiragino Sans GB" w:hAnsi="Hiragino Sans GB" w:eastAsia="Hiragino Sans GB" w:cs="Hiragino Sans GB"/>
          <w:color w:val="171717"/>
        </w:rPr>
        <w:t>六条线索按叙事功能分为共同背景、关键锚点和推理方向。视觉必须让玩家先搜齐，再理解哪些能上庭。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180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38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线索</w:t>
            </w:r>
          </w:p>
        </w:tc>
        <w:tc>
          <w:tcPr>
            <w:tcW w:type="dxa" w:w="144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1036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可信度</w:t>
            </w:r>
          </w:p>
        </w:tc>
        <w:tc>
          <w:tcPr>
            <w:tcW w:type="dxa" w:w="2491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牌组角色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急救培训室</w:t>
            </w:r>
          </w:p>
        </w:tc>
        <w:tc>
          <w:tcPr>
            <w:tcW w:type="dxa" w:w="33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培训教材的蓝血常识</w:t>
            </w:r>
          </w:p>
        </w:tc>
        <w:tc>
          <w:tcPr>
            <w:tcW w:type="dxa" w:w="14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书证</w:t>
            </w:r>
          </w:p>
        </w:tc>
        <w:tc>
          <w:tcPr>
            <w:tcW w:type="dxa" w:w="10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9</w:t>
            </w:r>
          </w:p>
        </w:tc>
        <w:tc>
          <w:tcPr>
            <w:tcW w:type="dxa" w:w="249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共同背景 不入庭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急救培训室</w:t>
            </w:r>
          </w:p>
        </w:tc>
        <w:tc>
          <w:tcPr>
            <w:tcW w:type="dxa" w:w="33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指尖流出的红血</w:t>
            </w:r>
          </w:p>
        </w:tc>
        <w:tc>
          <w:tcPr>
            <w:tcW w:type="dxa" w:w="14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影像物证</w:t>
            </w:r>
          </w:p>
        </w:tc>
        <w:tc>
          <w:tcPr>
            <w:tcW w:type="dxa" w:w="10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8</w:t>
            </w:r>
          </w:p>
        </w:tc>
        <w:tc>
          <w:tcPr>
            <w:tcW w:type="dxa" w:w="249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关键锚点 必选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急救培训室</w:t>
            </w:r>
          </w:p>
        </w:tc>
        <w:tc>
          <w:tcPr>
            <w:tcW w:type="dxa" w:w="33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同事由蓝变红的血迹</w:t>
            </w:r>
          </w:p>
        </w:tc>
        <w:tc>
          <w:tcPr>
            <w:tcW w:type="dxa" w:w="14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影像物证</w:t>
            </w:r>
          </w:p>
        </w:tc>
        <w:tc>
          <w:tcPr>
            <w:tcW w:type="dxa" w:w="10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9</w:t>
            </w:r>
          </w:p>
        </w:tc>
        <w:tc>
          <w:tcPr>
            <w:tcW w:type="dxa" w:w="249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关键锚点 必选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深夜资料库</w:t>
            </w:r>
          </w:p>
        </w:tc>
        <w:tc>
          <w:tcPr>
            <w:tcW w:type="dxa" w:w="33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与记忆冲突的城市资料</w:t>
            </w:r>
          </w:p>
        </w:tc>
        <w:tc>
          <w:tcPr>
            <w:tcW w:type="dxa" w:w="14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书证</w:t>
            </w:r>
          </w:p>
        </w:tc>
        <w:tc>
          <w:tcPr>
            <w:tcW w:type="dxa" w:w="10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8</w:t>
            </w:r>
          </w:p>
        </w:tc>
        <w:tc>
          <w:tcPr>
            <w:tcW w:type="dxa" w:w="249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方向牌 世界规则置换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深夜资料库</w:t>
            </w:r>
          </w:p>
        </w:tc>
        <w:tc>
          <w:tcPr>
            <w:tcW w:type="dxa" w:w="33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只针对方诺的测试卷</w:t>
            </w:r>
          </w:p>
        </w:tc>
        <w:tc>
          <w:tcPr>
            <w:tcW w:type="dxa" w:w="14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书证</w:t>
            </w:r>
          </w:p>
        </w:tc>
        <w:tc>
          <w:tcPr>
            <w:tcW w:type="dxa" w:w="10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9</w:t>
            </w:r>
          </w:p>
        </w:tc>
        <w:tc>
          <w:tcPr>
            <w:tcW w:type="dxa" w:w="249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关键锚点 必选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老街死胡同</w:t>
            </w:r>
          </w:p>
        </w:tc>
        <w:tc>
          <w:tcPr>
            <w:tcW w:type="dxa" w:w="33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没有折返的灰夹克</w:t>
            </w:r>
          </w:p>
        </w:tc>
        <w:tc>
          <w:tcPr>
            <w:tcW w:type="dxa" w:w="14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影像物证</w:t>
            </w:r>
          </w:p>
        </w:tc>
        <w:tc>
          <w:tcPr>
            <w:tcW w:type="dxa" w:w="10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7</w:t>
            </w:r>
          </w:p>
        </w:tc>
        <w:tc>
          <w:tcPr>
            <w:tcW w:type="dxa" w:w="249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方向牌 主动观察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场景一 急救培训室</w:t>
      </w:r>
    </w:p>
    <w:p>
      <w:pPr>
        <w:keepNext w:val="0"/>
        <w:keepLines/>
        <w:spacing w:after="100" w:line="300" w:lineRule="auto"/>
        <w:widowControl w:val="1"/>
      </w:pPr>
      <w:r>
        <w:rPr>
          <w:rFonts w:ascii="Hiragino Sans GB" w:hAnsi="Hiragino Sans GB" w:eastAsia="Hiragino Sans GB" w:cs="Hiragino Sans GB"/>
          <w:color w:val="171717"/>
        </w:rPr>
        <w:t>目标是建立三种独立观察：教材与同事共享蓝血常识，方诺本人从一开始流出红血，同事的血实际由蓝转红。热点卡可用血液和培训素材，但不能用惊悚血腥画面压过推理。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场景二 深夜资料库</w:t>
      </w:r>
    </w:p>
    <w:p>
      <w:pPr>
        <w:keepNext w:val="0"/>
        <w:keepLines/>
        <w:spacing w:after="100" w:line="300" w:lineRule="auto"/>
        <w:widowControl w:val="1"/>
      </w:pPr>
      <w:r>
        <w:rPr>
          <w:rFonts w:ascii="Hiragino Sans GB" w:hAnsi="Hiragino Sans GB" w:eastAsia="Hiragino Sans GB" w:cs="Hiragino Sans GB"/>
          <w:color w:val="171717"/>
        </w:rPr>
        <w:t>目标是把异常从身体扩展到公共记录与定向筛查。城市资料应表现为系统化档案，不用模糊故障特效；测试卷则要清楚呈现只有方诺拿到常识题。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场景三 老街死胡同</w:t>
      </w:r>
    </w:p>
    <w:p>
      <w:pPr>
        <w:keepNext w:val="0"/>
        <w:keepLines/>
        <w:spacing w:after="100" w:line="300" w:lineRule="auto"/>
        <w:widowControl w:val="1"/>
      </w:pPr>
      <w:r>
        <w:rPr>
          <w:rFonts w:ascii="Hiragino Sans GB" w:hAnsi="Hiragino Sans GB" w:eastAsia="Hiragino Sans GB" w:cs="Hiragino Sans GB"/>
          <w:color w:val="171717"/>
        </w:rPr>
        <w:t>目标是把被跟踪的感觉转化为可观察行为。画面可使用长巷和消失路径，但文案必须保留误认、藏身等日常解释。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热点与证据卡状态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671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热点表现</w:t>
            </w:r>
          </w:p>
        </w:tc>
        <w:tc>
          <w:tcPr>
            <w:tcW w:type="dxa" w:w="504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证据卡表现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未发现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显示调查提示与线索插画</w:t>
            </w:r>
          </w:p>
        </w:tc>
        <w:tc>
          <w:tcPr>
            <w:tcW w:type="dxa" w:w="50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不出现在证据库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已发现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显示已收集和勾选</w:t>
            </w:r>
          </w:p>
        </w:tc>
        <w:tc>
          <w:tcPr>
            <w:tcW w:type="dxa" w:w="50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出现标题 证明目的 描述和可信度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可入庭未选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保持已发现</w:t>
            </w:r>
          </w:p>
        </w:tc>
        <w:tc>
          <w:tcPr>
            <w:tcW w:type="dxa" w:w="50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可点击并显示 点击选择带上庭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已选入庭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保持已发现</w:t>
            </w:r>
          </w:p>
        </w:tc>
        <w:tc>
          <w:tcPr>
            <w:tcW w:type="dxa" w:w="50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选中边框与 已选入庭 点击取消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背景锁定</w:t>
            </w:r>
          </w:p>
        </w:tc>
        <w:tc>
          <w:tcPr>
            <w:tcW w:type="dxa" w:w="367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保持已发现</w:t>
            </w:r>
          </w:p>
        </w:tc>
        <w:tc>
          <w:tcPr>
            <w:tcW w:type="dxa" w:w="50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显示背景线索，不允许入庭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视觉验收重点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六条热点在 1366 px 宽桌面上无需横向滚动即可完成。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已发现、已选择和背景锁定至少有文字与轮廓两种提示。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场景切换不会清除已发现或已选择证据。</w:t>
      </w:r>
    </w:p>
    <w:p>
      <w:pPr>
        <w:pStyle w:val="Heading1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36"/>
        </w:rPr>
        <w:t>九 来源阅读器与内容标识</w:t>
      </w:r>
    </w:p>
    <w:p>
      <w:pPr>
        <w:keepNext w:val="0"/>
        <w:keepLines/>
        <w:spacing w:after="100" w:line="300" w:lineRule="auto"/>
        <w:widowControl w:val="1"/>
      </w:pPr>
      <w:r>
        <w:rPr>
          <w:rFonts w:ascii="Hiragino Sans GB" w:hAnsi="Hiragino Sans GB" w:eastAsia="Hiragino Sans GB" w:cs="Hiragino Sans GB"/>
          <w:color w:val="171717"/>
        </w:rPr>
        <w:t>来源阅读器的核心价值不是模拟阅读全文，而是把每条线索的来源状态讲清楚。当前后端只在实时接口响应中命中预设短引时展示短引；完整正文不落盘。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三种来源模式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04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数据条件</w:t>
            </w:r>
          </w:p>
        </w:tc>
        <w:tc>
          <w:tcPr>
            <w:tcW w:type="dxa" w:w="2951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页面标题与徽标</w:t>
            </w:r>
          </w:p>
        </w:tc>
        <w:tc>
          <w:tcPr>
            <w:tcW w:type="dxa" w:w="266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单条材料标记</w:t>
            </w:r>
          </w:p>
        </w:tc>
        <w:tc>
          <w:tcPr>
            <w:tcW w:type="dxa" w:w="288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允许展示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6"/>
              </w:rPr>
              <w:t>zhihu live 且命中短引</w:t>
            </w:r>
          </w:p>
        </w:tc>
        <w:tc>
          <w:tcPr>
            <w:tcW w:type="dxa" w:w="295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公开片段锚点 与 N 条短引已核验</w:t>
            </w:r>
          </w:p>
        </w:tc>
        <w:tc>
          <w:tcPr>
            <w:tcW w:type="dxa" w:w="266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命中项为 查看已核验短引，未命中项仍为 查看策划转述</w:t>
            </w:r>
          </w:p>
        </w:tc>
        <w:tc>
          <w:tcPr>
            <w:tcW w:type="dxa" w:w="288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即时核验的短引 位置 作者 策划释义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6"/>
              </w:rPr>
              <w:t>zhihu live 但零命中</w:t>
            </w:r>
          </w:p>
        </w:tc>
        <w:tc>
          <w:tcPr>
            <w:tcW w:type="dxa" w:w="295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策划线索转述 与 原文锚点未命中</w:t>
            </w:r>
          </w:p>
        </w:tc>
        <w:tc>
          <w:tcPr>
            <w:tcW w:type="dxa" w:w="266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全部为 查看策划转述</w:t>
            </w:r>
          </w:p>
        </w:tc>
        <w:tc>
          <w:tcPr>
            <w:tcW w:type="dxa" w:w="288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策划转述与未命中说明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6"/>
              </w:rPr>
              <w:t>curated fallback</w:t>
            </w:r>
          </w:p>
        </w:tc>
        <w:tc>
          <w:tcPr>
            <w:tcW w:type="dxa" w:w="295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离线案卷线索 与 策划离线转述</w:t>
            </w:r>
          </w:p>
        </w:tc>
        <w:tc>
          <w:tcPr>
            <w:tcW w:type="dxa" w:w="266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全部为 查看策划转述</w:t>
            </w:r>
          </w:p>
        </w:tc>
        <w:tc>
          <w:tcPr>
            <w:tcW w:type="dxa" w:w="288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策划转述与接口恢复说明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阅读器结构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左上文档列表显示六条案卷材料，每项包含线索插画、标题和来源动作。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阅读区展示材料标题、类型、正文、证据指针和发现动作。已发现指针必须可逆。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原文短引使用固定抬头 知乎公开片段 原文短引；策划内容使用 策划线索转述 非原文全文。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故事名、作者、位置和内容来源必须与短引同屏，不能只放在页面底部。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外链 查看原作 位于 End，不应把当前阅读器包装成全文阅读器。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接口与降级规范</w:t>
      </w:r>
    </w:p>
    <w:p>
      <w:pPr>
        <w:pStyle w:val="StatusLine"/>
        <w:keepNext w:val="0"/>
        <w:keepLines/>
        <w:widowControl w:val="1"/>
      </w:pPr>
      <w:r>
        <w:rPr>
          <w:rFonts w:ascii="Hiragino Sans GB" w:hAnsi="Hiragino Sans GB" w:eastAsia="Hiragino Sans GB" w:cs="Hiragino Sans GB"/>
          <w:b/>
          <w:color w:val="F05A28"/>
          <w:sz w:val="18"/>
        </w:rPr>
        <w:t>已接入待联调</w:t>
      </w:r>
      <w:r>
        <w:rPr>
          <w:rFonts w:ascii="Hiragino Sans GB" w:hAnsi="Hiragino Sans GB" w:eastAsia="Hiragino Sans GB" w:cs="Hiragino Sans GB"/>
          <w:color w:val="171717"/>
          <w:sz w:val="19"/>
        </w:rPr>
        <w:t xml:space="preserve">  列表与故事详情通过知乎黑客松接口读取；列表或详情失败时返回内置《蓝血》策划案卷。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接口失败不阻断核心流程，但来源状态必须立刻切换并保留失败原因摘要。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远程封面只接受知乎与知图 HTTPS 域名；失败时显示稳定占位。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不得在浏览器本地存储或页面源代码中加入完整正文。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原文短引命中数量来自 verifiedQuoteCount，不可由 UI 猜测。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文案层级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4752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3988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视觉权重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来源状态</w:t>
            </w:r>
          </w:p>
        </w:tc>
        <w:tc>
          <w:tcPr>
            <w:tcW w:type="dxa" w:w="475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知乎 API 已连接 或 策划离线模式</w:t>
            </w:r>
          </w:p>
        </w:tc>
        <w:tc>
          <w:tcPr>
            <w:tcW w:type="dxa" w:w="39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高 颜色加文字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材料级状态</w:t>
            </w:r>
          </w:p>
        </w:tc>
        <w:tc>
          <w:tcPr>
            <w:tcW w:type="dxa" w:w="475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已核验短引 或 策划转述</w:t>
            </w:r>
          </w:p>
        </w:tc>
        <w:tc>
          <w:tcPr>
            <w:tcW w:type="dxa" w:w="39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中 紧邻标题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内容边界</w:t>
            </w:r>
          </w:p>
        </w:tc>
        <w:tc>
          <w:tcPr>
            <w:tcW w:type="dxa" w:w="475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完整正文不落盘 推演不代表结局</w:t>
            </w:r>
          </w:p>
        </w:tc>
        <w:tc>
          <w:tcPr>
            <w:tcW w:type="dxa" w:w="39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中 长期可见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技术详情</w:t>
            </w:r>
          </w:p>
        </w:tc>
        <w:tc>
          <w:tcPr>
            <w:tcW w:type="dxa" w:w="475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Work ID 和接口错误摘要</w:t>
            </w:r>
          </w:p>
        </w:tc>
        <w:tc>
          <w:tcPr>
            <w:tcW w:type="dxa" w:w="39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低 等宽小字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36"/>
        </w:rPr>
        <w:t>十 六选四证据组牌</w:t>
      </w:r>
    </w:p>
    <w:p>
      <w:pPr>
        <w:pStyle w:val="StatusLine"/>
        <w:keepNext w:val="0"/>
        <w:keepLines/>
        <w:widowControl w:val="1"/>
      </w:pPr>
      <w:r>
        <w:rPr>
          <w:rFonts w:ascii="Hiragino Sans GB" w:hAnsi="Hiragino Sans GB" w:eastAsia="Hiragino Sans GB" w:cs="Hiragino Sans GB"/>
          <w:b/>
          <w:color w:val="407A57"/>
          <w:sz w:val="18"/>
        </w:rPr>
        <w:t>已实现</w:t>
      </w:r>
      <w:r>
        <w:rPr>
          <w:rFonts w:ascii="Hiragino Sans GB" w:hAnsi="Hiragino Sans GB" w:eastAsia="Hiragino Sans GB" w:cs="Hiragino Sans GB"/>
          <w:color w:val="171717"/>
          <w:sz w:val="19"/>
        </w:rPr>
        <w:t xml:space="preserve">  玩家必须先发现六条线索，再组成四张上庭牌。当前可入庭集合为三张关键锚点和两张方向牌，培训教材作为背景不入庭。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组牌规则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482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UI 呈现</w:t>
            </w:r>
          </w:p>
        </w:tc>
        <w:tc>
          <w:tcPr>
            <w:tcW w:type="dxa" w:w="360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不满足时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六条线索全部发现</w:t>
            </w:r>
          </w:p>
        </w:tc>
        <w:tc>
          <w:tcPr>
            <w:tcW w:type="dxa" w:w="482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调查 KPI 显示 6，三个场景热点均为已收集</w:t>
            </w:r>
          </w:p>
        </w:tc>
        <w:tc>
          <w:tcPr>
            <w:tcW w:type="dxa" w:w="36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提示还有几条线索未发现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牌组正好四张</w:t>
            </w:r>
          </w:p>
        </w:tc>
        <w:tc>
          <w:tcPr>
            <w:tcW w:type="dxa" w:w="482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徽标显示 4 比 4，按钮显示带四张牌进入质证</w:t>
            </w:r>
          </w:p>
        </w:tc>
        <w:tc>
          <w:tcPr>
            <w:tcW w:type="dxa" w:w="36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提示请组成完整四张证据牌组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三张关键锚点必选</w:t>
            </w:r>
          </w:p>
        </w:tc>
        <w:tc>
          <w:tcPr>
            <w:tcW w:type="dxa" w:w="482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关键证据标签与选中边框同时可见</w:t>
            </w:r>
          </w:p>
        </w:tc>
        <w:tc>
          <w:tcPr>
            <w:tcW w:type="dxa" w:w="36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列出缺少的关键证据标题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一张方向牌</w:t>
            </w:r>
          </w:p>
        </w:tc>
        <w:tc>
          <w:tcPr>
            <w:tcW w:type="dxa" w:w="482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城市资料或灰夹克二选一</w:t>
            </w:r>
          </w:p>
        </w:tc>
        <w:tc>
          <w:tcPr>
            <w:tcW w:type="dxa" w:w="36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刘看山解释两种推理方向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背景线索不可选</w:t>
            </w:r>
          </w:p>
        </w:tc>
        <w:tc>
          <w:tcPr>
            <w:tcW w:type="dxa" w:w="482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按钮禁用并显示背景线索</w:t>
            </w:r>
          </w:p>
        </w:tc>
        <w:tc>
          <w:tcPr>
            <w:tcW w:type="dxa" w:w="36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不应只用灰色表达原因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最多四张</w:t>
            </w:r>
          </w:p>
        </w:tc>
        <w:tc>
          <w:tcPr>
            <w:tcW w:type="dxa" w:w="482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计数实时更新</w:t>
            </w:r>
          </w:p>
        </w:tc>
        <w:tc>
          <w:tcPr>
            <w:tcW w:type="dxa" w:w="360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提示先取消一张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证据卡信息层级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第一层是标题，必须在两行内读完。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第二层是证明目的，用箭头提示这张证据能证明什么。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第三层是事实描述，最多两到三行，详情可在来源阅读器查看。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底部元信息依次显示证据类型、可信度、关键或支持角色和选择状态。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选择反馈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655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031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边框与背景</w:t>
            </w:r>
          </w:p>
        </w:tc>
        <w:tc>
          <w:tcPr>
            <w:tcW w:type="dxa" w:w="482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文字与可用性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默认</w:t>
            </w:r>
          </w:p>
        </w:tc>
        <w:tc>
          <w:tcPr>
            <w:tcW w:type="dxa" w:w="403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亮纸底 2 至 3 px 边框</w:t>
            </w:r>
          </w:p>
        </w:tc>
        <w:tc>
          <w:tcPr>
            <w:tcW w:type="dxa" w:w="482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点击选择带上庭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选中</w:t>
            </w:r>
          </w:p>
        </w:tc>
        <w:tc>
          <w:tcPr>
            <w:tcW w:type="dxa" w:w="403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蓝色或黄色强调并保留黑色轮廓</w:t>
            </w:r>
          </w:p>
        </w:tc>
        <w:tc>
          <w:tcPr>
            <w:tcW w:type="dxa" w:w="482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已选入庭 点击取消选择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关键</w:t>
            </w:r>
          </w:p>
        </w:tc>
        <w:tc>
          <w:tcPr>
            <w:tcW w:type="dxa" w:w="403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暖黄色系</w:t>
            </w:r>
          </w:p>
        </w:tc>
        <w:tc>
          <w:tcPr>
            <w:tcW w:type="dxa" w:w="482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显示关键证据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方向</w:t>
            </w:r>
          </w:p>
        </w:tc>
        <w:tc>
          <w:tcPr>
            <w:tcW w:type="dxa" w:w="403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冷蓝色系</w:t>
            </w:r>
          </w:p>
        </w:tc>
        <w:tc>
          <w:tcPr>
            <w:tcW w:type="dxa" w:w="482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显示支持证据及推理方向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背景锁定</w:t>
            </w:r>
          </w:p>
        </w:tc>
        <w:tc>
          <w:tcPr>
            <w:tcW w:type="dxa" w:w="4031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低饱和但保持 4.5 比 1 文字对比</w:t>
            </w:r>
          </w:p>
        </w:tc>
        <w:tc>
          <w:tcPr>
            <w:tcW w:type="dxa" w:w="482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显示不作为方向牌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进入质证按钮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按钮文案随选择数更新为 带 N 比 4 张牌进入质证。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只要至少选一张，按钮可触发并在点击后给出具体错误；视觉设计也可在四张未齐时保留弱提示，但不要让玩家无反馈。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完成四张规则后进入对决，调查发现和牌组选择保留，失败返回时不要求重新搜证。</w:t>
      </w:r>
    </w:p>
    <w:p>
      <w:pPr>
        <w:pStyle w:val="Heading1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36"/>
        </w:rPr>
        <w:t>十一 解释力对决</w:t>
      </w:r>
    </w:p>
    <w:p>
      <w:pPr>
        <w:keepNext w:val="0"/>
        <w:keepLines/>
        <w:spacing w:after="100" w:line="300" w:lineRule="auto"/>
        <w:widowControl w:val="1"/>
      </w:pPr>
      <w:r>
        <w:rPr>
          <w:rFonts w:ascii="Hiragino Sans GB" w:hAnsi="Hiragino Sans GB" w:eastAsia="Hiragino Sans GB" w:cs="Hiragino Sans GB"/>
          <w:color w:val="171717"/>
        </w:rPr>
        <w:t>对决不是战胜故事角色，而是用四项材料削弱疲劳、误记和巧合组成的日常解释。所有战斗文案都要保持这一语义。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顶部信息条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44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4392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当前数据</w:t>
            </w:r>
          </w:p>
        </w:tc>
        <w:tc>
          <w:tcPr>
            <w:tcW w:type="dxa" w:w="468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视觉要求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左侧</w:t>
            </w:r>
          </w:p>
        </w:tc>
        <w:tc>
          <w:tcPr>
            <w:tcW w:type="dxa" w:w="43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日常解释力 当前值与最大值</w:t>
            </w:r>
          </w:p>
        </w:tc>
        <w:tc>
          <w:tcPr>
            <w:tcW w:type="dxa" w:w="468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红色或橙色进度，但必须同时显示数字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中间</w:t>
            </w:r>
          </w:p>
        </w:tc>
        <w:tc>
          <w:tcPr>
            <w:tcW w:type="dxa" w:w="43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回合数 25 秒倒计时 行动阶段</w:t>
            </w:r>
          </w:p>
        </w:tc>
        <w:tc>
          <w:tcPr>
            <w:tcW w:type="dxa" w:w="468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倒计时低于五秒时增加文字或节奏提示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右侧</w:t>
            </w:r>
          </w:p>
        </w:tc>
        <w:tc>
          <w:tcPr>
            <w:tcW w:type="dxa" w:w="43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论证稳定度 20 专注 10 反驳缓冲 8</w:t>
            </w:r>
          </w:p>
        </w:tc>
        <w:tc>
          <w:tcPr>
            <w:tcW w:type="dxa" w:w="468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三种资源不要只用相近色条区分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对决舞台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左侧为待反驳假说，右侧为玩家主张，中间显示最近两轮对话和判定。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开场案件名只短暂出现约 1.8 秒，不作为永久遮罩。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出牌后手牌锁定，玩家动画结束后约 2 秒出现反方回应，再约 0.85 秒进入下一轮。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对话区必须能滚动，不让长文本挤压手牌。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手牌与资源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655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牌型</w:t>
            </w:r>
          </w:p>
        </w:tc>
        <w:tc>
          <w:tcPr>
            <w:tcW w:type="dxa" w:w="288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作用</w:t>
            </w:r>
          </w:p>
        </w:tc>
        <w:tc>
          <w:tcPr>
            <w:tcW w:type="dxa" w:w="2592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视觉区别</w:t>
            </w:r>
          </w:p>
        </w:tc>
        <w:tc>
          <w:tcPr>
            <w:tcW w:type="dxa" w:w="338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限制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6"/>
              </w:rPr>
              <w:t>关键证据</w:t>
            </w:r>
          </w:p>
        </w:tc>
        <w:tc>
          <w:tcPr>
            <w:tcW w:type="dxa" w:w="288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削弱日常解释力</w:t>
            </w:r>
          </w:p>
        </w:tc>
        <w:tc>
          <w:tcPr>
            <w:tcW w:type="dxa" w:w="25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暖黄色底与关键标记</w:t>
            </w:r>
          </w:p>
        </w:tc>
        <w:tc>
          <w:tcPr>
            <w:tcW w:type="dxa" w:w="33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消耗专注 四张都必须至少出示一次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6"/>
              </w:rPr>
              <w:t>方向证据</w:t>
            </w:r>
          </w:p>
        </w:tc>
        <w:tc>
          <w:tcPr>
            <w:tcW w:type="dxa" w:w="288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削弱日常解释力并决定 End 推荐</w:t>
            </w:r>
          </w:p>
        </w:tc>
        <w:tc>
          <w:tcPr>
            <w:tcW w:type="dxa" w:w="25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冷蓝色底</w:t>
            </w:r>
          </w:p>
        </w:tc>
        <w:tc>
          <w:tcPr>
            <w:tcW w:type="dxa" w:w="33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同样属于必须出示的四张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6"/>
              </w:rPr>
              <w:t>体力恢复</w:t>
            </w:r>
          </w:p>
        </w:tc>
        <w:tc>
          <w:tcPr>
            <w:tcW w:type="dxa" w:w="288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恢复三或五点专注</w:t>
            </w:r>
          </w:p>
        </w:tc>
        <w:tc>
          <w:tcPr>
            <w:tcW w:type="dxa" w:w="25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绿色或呼吸图形</w:t>
            </w:r>
          </w:p>
        </w:tc>
        <w:tc>
          <w:tcPr>
            <w:tcW w:type="dxa" w:w="33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满专注时不可用 仍消耗行动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6"/>
              </w:rPr>
              <w:t>防御策略</w:t>
            </w:r>
          </w:p>
        </w:tc>
        <w:tc>
          <w:tcPr>
            <w:tcW w:type="dxa" w:w="288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增加五或八点反驳缓冲</w:t>
            </w:r>
          </w:p>
        </w:tc>
        <w:tc>
          <w:tcPr>
            <w:tcW w:type="dxa" w:w="25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蓝灰防御图形</w:t>
            </w:r>
          </w:p>
        </w:tc>
        <w:tc>
          <w:tcPr>
            <w:tcW w:type="dxa" w:w="338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护盾满时不可用 仍消耗行动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胜利条件和反馈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日常解释力降为零，同时四张入选证据都已经出示，才判定证据链成立。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重复使用同一张牌最多把日常解释力压到一，不能直接结束。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胜利后显示 日常解释已被动摇，并提供进入阶段推演按钮。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音效只跟随已提交的战斗效果；无效点击和等待阶段保持静默。背景音乐进入对决时播放，结束或退出时停止。</w:t>
      </w:r>
    </w:p>
    <w:p>
      <w:pPr>
        <w:pStyle w:val="StatusLine"/>
        <w:keepNext w:val="0"/>
        <w:keepLines/>
        <w:widowControl w:val="1"/>
      </w:pPr>
      <w:r>
        <w:rPr>
          <w:rFonts w:ascii="Hiragino Sans GB" w:hAnsi="Hiragino Sans GB" w:eastAsia="Hiragino Sans GB" w:cs="Hiragino Sans GB"/>
          <w:b/>
          <w:color w:val="315CFF"/>
          <w:sz w:val="18"/>
        </w:rPr>
        <w:t>建议新增</w:t>
      </w:r>
      <w:r>
        <w:rPr>
          <w:rFonts w:ascii="Hiragino Sans GB" w:hAnsi="Hiragino Sans GB" w:eastAsia="Hiragino Sans GB" w:cs="Hiragino Sans GB"/>
          <w:color w:val="171717"/>
          <w:sz w:val="19"/>
        </w:rPr>
        <w:t xml:space="preserve">  提供显式静音开关并记住选择。当前有背景音乐和反馈音，但没有可见音频控制。</w:t>
      </w:r>
    </w:p>
    <w:p>
      <w:pPr>
        <w:pStyle w:val="Heading1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36"/>
        </w:rPr>
        <w:t>十二 失败与恢复</w:t>
      </w:r>
    </w:p>
    <w:p>
      <w:pPr>
        <w:pStyle w:val="StatusLine"/>
        <w:keepNext w:val="0"/>
        <w:keepLines/>
        <w:widowControl w:val="1"/>
      </w:pPr>
      <w:r>
        <w:rPr>
          <w:rFonts w:ascii="Hiragino Sans GB" w:hAnsi="Hiragino Sans GB" w:eastAsia="Hiragino Sans GB" w:cs="Hiragino Sans GB"/>
          <w:b/>
          <w:color w:val="407A57"/>
          <w:sz w:val="18"/>
        </w:rPr>
        <w:t>已实现</w:t>
      </w:r>
      <w:r>
        <w:rPr>
          <w:rFonts w:ascii="Hiragino Sans GB" w:hAnsi="Hiragino Sans GB" w:eastAsia="Hiragino Sans GB" w:cs="Hiragino Sans GB"/>
          <w:color w:val="171717"/>
          <w:sz w:val="19"/>
        </w:rPr>
        <w:t xml:space="preserve">  论证稳定度降为零时显示证据链未能闭合。玩家可查看本次分析，再返回调查重组。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失败界面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标题使用 证据链未能闭合，不使用 真相错误 或 游戏结束。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说明 日常解释暂时成立，并提示调整出牌顺序或先用防御策略。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查看本次分析请求阶段裁决，结果页提供返回调查重组。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返回调查后保留已发现六条线索和已选牌组，重置战斗回合、对话、体力、护盾和结果。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错误与失败的区别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728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3168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24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用户动作</w:t>
            </w:r>
          </w:p>
        </w:tc>
        <w:tc>
          <w:tcPr>
            <w:tcW w:type="dxa" w:w="2376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视觉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玩法失败</w:t>
            </w:r>
          </w:p>
        </w:tc>
        <w:tc>
          <w:tcPr>
            <w:tcW w:type="dxa" w:w="316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证据链或资源管理未通过</w:t>
            </w:r>
          </w:p>
        </w:tc>
        <w:tc>
          <w:tcPr>
            <w:tcW w:type="dxa" w:w="32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查看分析并重组</w:t>
            </w:r>
          </w:p>
        </w:tc>
        <w:tc>
          <w:tcPr>
            <w:tcW w:type="dxa" w:w="237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红色但保持可恢复语气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接口错误</w:t>
            </w:r>
          </w:p>
        </w:tc>
        <w:tc>
          <w:tcPr>
            <w:tcW w:type="dxa" w:w="316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回应或裁决请求失败</w:t>
            </w:r>
          </w:p>
        </w:tc>
        <w:tc>
          <w:tcPr>
            <w:tcW w:type="dxa" w:w="32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保留当前上下文并重试</w:t>
            </w:r>
          </w:p>
        </w:tc>
        <w:tc>
          <w:tcPr>
            <w:tcW w:type="dxa" w:w="237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role alert 紧邻操作区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来源降级</w:t>
            </w:r>
          </w:p>
        </w:tc>
        <w:tc>
          <w:tcPr>
            <w:tcW w:type="dxa" w:w="316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知乎接口暂不可用</w:t>
            </w:r>
          </w:p>
        </w:tc>
        <w:tc>
          <w:tcPr>
            <w:tcW w:type="dxa" w:w="32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继续使用策划案卷</w:t>
            </w:r>
          </w:p>
        </w:tc>
        <w:tc>
          <w:tcPr>
            <w:tcW w:type="dxa" w:w="237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黄色或蓝色来源提示 非错误阻断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规则错误</w:t>
            </w:r>
          </w:p>
        </w:tc>
        <w:tc>
          <w:tcPr>
            <w:tcW w:type="dxa" w:w="316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线索或牌组不满足门槛</w:t>
            </w:r>
          </w:p>
        </w:tc>
        <w:tc>
          <w:tcPr>
            <w:tcW w:type="dxa" w:w="32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回到对应卡片补齐</w:t>
            </w:r>
          </w:p>
        </w:tc>
        <w:tc>
          <w:tcPr>
            <w:tcW w:type="dxa" w:w="237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明确缺少数量或名称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恢复体验建议</w:t>
      </w:r>
    </w:p>
    <w:p>
      <w:pPr>
        <w:pStyle w:val="StatusLine"/>
        <w:keepNext w:val="0"/>
        <w:keepLines/>
        <w:widowControl w:val="1"/>
      </w:pPr>
      <w:r>
        <w:rPr>
          <w:rFonts w:ascii="Hiragino Sans GB" w:hAnsi="Hiragino Sans GB" w:eastAsia="Hiragino Sans GB" w:cs="Hiragino Sans GB"/>
          <w:b/>
          <w:color w:val="315CFF"/>
          <w:sz w:val="18"/>
        </w:rPr>
        <w:t>建议新增</w:t>
      </w:r>
      <w:r>
        <w:rPr>
          <w:rFonts w:ascii="Hiragino Sans GB" w:hAnsi="Hiragino Sans GB" w:eastAsia="Hiragino Sans GB" w:cs="Hiragino Sans GB"/>
          <w:color w:val="171717"/>
          <w:sz w:val="19"/>
        </w:rPr>
        <w:t xml:space="preserve">  在失败分析中高亮本轮未出示的入选证据，并提供 返回并定位牌组 按钮。当前只返回调查顶部。</w:t>
      </w:r>
    </w:p>
    <w:p>
      <w:pPr>
        <w:pStyle w:val="StatusLine"/>
        <w:keepNext w:val="0"/>
        <w:keepLines/>
        <w:widowControl w:val="1"/>
      </w:pPr>
      <w:r>
        <w:rPr>
          <w:rFonts w:ascii="Hiragino Sans GB" w:hAnsi="Hiragino Sans GB" w:eastAsia="Hiragino Sans GB" w:cs="Hiragino Sans GB"/>
          <w:b/>
          <w:color w:val="315CFF"/>
          <w:sz w:val="18"/>
        </w:rPr>
        <w:t>建议新增</w:t>
      </w:r>
      <w:r>
        <w:rPr>
          <w:rFonts w:ascii="Hiragino Sans GB" w:hAnsi="Hiragino Sans GB" w:eastAsia="Hiragino Sans GB" w:cs="Hiragino Sans GB"/>
          <w:color w:val="171717"/>
          <w:sz w:val="19"/>
        </w:rPr>
        <w:t xml:space="preserve">  保留最近一次出牌顺序作为可折叠回顾，帮助玩家理解失败原因。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失败验收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失败后不会清空搜证进度。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错误提示不会被刘看山面板遮挡。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返回调查后可以直接调整第四张方向牌并重新进入。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失败文案不暗示原作答案。</w:t>
      </w:r>
    </w:p>
    <w:p>
      <w:pPr>
        <w:pStyle w:val="Heading1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36"/>
        </w:rPr>
        <w:t>十三 阶段推演 End</w:t>
      </w:r>
    </w:p>
    <w:p>
      <w:pPr>
        <w:pStyle w:val="StatusLine"/>
        <w:keepNext w:val="0"/>
        <w:keepLines/>
        <w:widowControl w:val="1"/>
      </w:pPr>
      <w:r>
        <w:rPr>
          <w:rFonts w:ascii="Hiragino Sans GB" w:hAnsi="Hiragino Sans GB" w:eastAsia="Hiragino Sans GB" w:cs="Hiragino Sans GB"/>
          <w:b/>
          <w:color w:val="407A57"/>
          <w:sz w:val="18"/>
        </w:rPr>
        <w:t>已实现</w:t>
      </w:r>
      <w:r>
        <w:rPr>
          <w:rFonts w:ascii="Hiragino Sans GB" w:hAnsi="Hiragino Sans GB" w:eastAsia="Hiragino Sans GB" w:cs="Hiragino Sans GB"/>
          <w:color w:val="171717"/>
          <w:sz w:val="19"/>
        </w:rPr>
        <w:t xml:space="preserve">  胜利后进入独立 End 页面。它总结证据链，引导玩家选择阶段假说和知乎求证问题，不提供原作结局。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页面结构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655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4896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396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阶段裁决头图</w:t>
            </w:r>
          </w:p>
        </w:tc>
        <w:tc>
          <w:tcPr>
            <w:tcW w:type="dxa" w:w="48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案卷暂时封存 分数与阶段裁决</w:t>
            </w:r>
          </w:p>
        </w:tc>
        <w:tc>
          <w:tcPr>
            <w:tcW w:type="dxa" w:w="39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固定显示版权和推演边界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四卡证据链</w:t>
            </w:r>
          </w:p>
        </w:tc>
        <w:tc>
          <w:tcPr>
            <w:tcW w:type="dxa" w:w="48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本局带入质证的四张证据</w:t>
            </w:r>
          </w:p>
        </w:tc>
        <w:tc>
          <w:tcPr>
            <w:tcW w:type="dxa" w:w="39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按选中顺序或统一证据顺序显示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假说选择</w:t>
            </w:r>
          </w:p>
        </w:tc>
        <w:tc>
          <w:tcPr>
            <w:tcW w:type="dxa" w:w="48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世界规则置换 感知记忆错位 观察实验 证据不足</w:t>
            </w:r>
          </w:p>
        </w:tc>
        <w:tc>
          <w:tcPr>
            <w:tcW w:type="dxa" w:w="39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选择后显示支持 缺口 下一步验证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求证问题</w:t>
            </w:r>
          </w:p>
        </w:tc>
        <w:tc>
          <w:tcPr>
            <w:tcW w:type="dxa" w:w="48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直接曝光 交叉验证 低风险试探</w:t>
            </w:r>
          </w:p>
        </w:tc>
        <w:tc>
          <w:tcPr>
            <w:tcW w:type="dxa" w:w="39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显示信息价值 暴露风险 解释与局限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底部动作</w:t>
            </w:r>
          </w:p>
        </w:tc>
        <w:tc>
          <w:tcPr>
            <w:tcW w:type="dxa" w:w="48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查看原作 重新组牌 封存案卷完成</w:t>
            </w:r>
          </w:p>
        </w:tc>
        <w:tc>
          <w:tcPr>
            <w:tcW w:type="dxa" w:w="39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完成按钮在两项都选择后启用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刘看山</w:t>
            </w:r>
          </w:p>
        </w:tc>
        <w:tc>
          <w:tcPr>
            <w:tcW w:type="dxa" w:w="489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解释推荐依据和安全提问</w:t>
            </w:r>
          </w:p>
        </w:tc>
        <w:tc>
          <w:tcPr>
            <w:tcW w:type="dxa" w:w="39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强调推荐只来自牌组方向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推荐逻辑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0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第四张方向牌</w:t>
            </w:r>
          </w:p>
        </w:tc>
        <w:tc>
          <w:tcPr>
            <w:tcW w:type="dxa" w:w="324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默认推荐</w:t>
            </w:r>
          </w:p>
        </w:tc>
        <w:tc>
          <w:tcPr>
            <w:tcW w:type="dxa" w:w="4968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解释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城市资料</w:t>
            </w:r>
          </w:p>
        </w:tc>
        <w:tc>
          <w:tcPr>
            <w:tcW w:type="dxa" w:w="32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世界规则发生置换</w:t>
            </w:r>
          </w:p>
        </w:tc>
        <w:tc>
          <w:tcPr>
            <w:tcW w:type="dxa" w:w="496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牌组把身体异常与公共记录冲突连在一起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灰夹克</w:t>
            </w:r>
          </w:p>
        </w:tc>
        <w:tc>
          <w:tcPr>
            <w:tcW w:type="dxa" w:w="32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有人进行现实操控或观察实验</w:t>
            </w:r>
          </w:p>
        </w:tc>
        <w:tc>
          <w:tcPr>
            <w:tcW w:type="dxa" w:w="496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牌组把定向测试与跟随行为连在一起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未匹配</w:t>
            </w:r>
          </w:p>
        </w:tc>
        <w:tc>
          <w:tcPr>
            <w:tcW w:type="dxa" w:w="32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证据不足 暂不站队</w:t>
            </w:r>
          </w:p>
        </w:tc>
        <w:tc>
          <w:tcPr>
            <w:tcW w:type="dxa" w:w="496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程序找不到有效方向时使用保守结论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求证问题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直接曝光信息价值高、暴露风险高。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交叉验证是当前推荐项，兼顾独立记忆来源与暴露风险。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低风险试探暴露最少，但信息价值较低。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选择后提供复制问题按钮，复制成功提示约 1.6 秒。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完成回执建议</w:t>
      </w:r>
    </w:p>
    <w:p>
      <w:pPr>
        <w:pStyle w:val="StatusLine"/>
        <w:keepNext w:val="0"/>
        <w:keepLines/>
        <w:widowControl w:val="1"/>
      </w:pPr>
      <w:r>
        <w:rPr>
          <w:rFonts w:ascii="Hiragino Sans GB" w:hAnsi="Hiragino Sans GB" w:eastAsia="Hiragino Sans GB" w:cs="Hiragino Sans GB"/>
          <w:b/>
          <w:color w:val="F05A28"/>
          <w:sz w:val="18"/>
        </w:rPr>
        <w:t>当前行为</w:t>
      </w:r>
      <w:r>
        <w:rPr>
          <w:rFonts w:ascii="Hiragino Sans GB" w:hAnsi="Hiragino Sans GB" w:eastAsia="Hiragino Sans GB" w:cs="Hiragino Sans GB"/>
          <w:color w:val="171717"/>
          <w:sz w:val="19"/>
        </w:rPr>
        <w:t xml:space="preserve">  点击封存案卷完成后保存分数并返回入口页。入口页显示已完成和最佳裁决分数，但没有独立完成回执。</w:t>
      </w:r>
    </w:p>
    <w:p>
      <w:pPr>
        <w:pStyle w:val="StatusLine"/>
        <w:keepNext w:val="0"/>
        <w:keepLines/>
        <w:widowControl w:val="1"/>
      </w:pPr>
      <w:r>
        <w:rPr>
          <w:rFonts w:ascii="Hiragino Sans GB" w:hAnsi="Hiragino Sans GB" w:eastAsia="Hiragino Sans GB" w:cs="Hiragino Sans GB"/>
          <w:b/>
          <w:color w:val="315CFF"/>
          <w:sz w:val="18"/>
        </w:rPr>
        <w:t>建议新增</w:t>
      </w:r>
      <w:r>
        <w:rPr>
          <w:rFonts w:ascii="Hiragino Sans GB" w:hAnsi="Hiragino Sans GB" w:eastAsia="Hiragino Sans GB" w:cs="Hiragino Sans GB"/>
          <w:color w:val="171717"/>
          <w:sz w:val="19"/>
        </w:rPr>
        <w:t xml:space="preserve">  在返回入口前显示轻量完成回执。此项为 P1，不影响本轮 P0 演示。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回执标题为 本局案卷已封存，显示分数、四卡证据链、所选假说、所选问题和来源模式。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主动作 返回故事页；次动作 再玩一次、复制求证问题、查看原作。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回执不得使用 通关真相 解锁结局 等措辞。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若云端保存失败，显示 已保存在本机，不阻断离开。</w:t>
      </w:r>
    </w:p>
    <w:p>
      <w:pPr>
        <w:pStyle w:val="Heading1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36"/>
        </w:rPr>
        <w:t>十四 加载 错误 空状态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528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当前实现</w:t>
            </w:r>
          </w:p>
        </w:tc>
        <w:tc>
          <w:tcPr>
            <w:tcW w:type="dxa" w:w="504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建议呈现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故事列表加载</w:t>
            </w:r>
          </w:p>
        </w:tc>
        <w:tc>
          <w:tcPr>
            <w:tcW w:type="dxa" w:w="35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居中加载文字</w:t>
            </w:r>
          </w:p>
        </w:tc>
        <w:tc>
          <w:tcPr>
            <w:tcW w:type="dxa" w:w="50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P1 可替换为标题和主卡骨架，至少保留 300 px 高度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故事详情加载</w:t>
            </w:r>
          </w:p>
        </w:tc>
        <w:tc>
          <w:tcPr>
            <w:tcW w:type="dxa" w:w="35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加载文字与返回故事页</w:t>
            </w:r>
          </w:p>
        </w:tc>
        <w:tc>
          <w:tcPr>
            <w:tcW w:type="dxa" w:w="50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保留返回按钮，不展示上一案卷残影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列表或详情错误</w:t>
            </w:r>
          </w:p>
        </w:tc>
        <w:tc>
          <w:tcPr>
            <w:tcW w:type="dxa" w:w="35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红色错误文字加重新加载</w:t>
            </w:r>
          </w:p>
        </w:tc>
        <w:tc>
          <w:tcPr>
            <w:tcW w:type="dxa" w:w="50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错误说人话，按钮紧邻错误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没有可玩故事</w:t>
            </w:r>
          </w:p>
        </w:tc>
        <w:tc>
          <w:tcPr>
            <w:tcW w:type="dxa" w:w="35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今日互动案卷暂不可用</w:t>
            </w:r>
          </w:p>
        </w:tc>
        <w:tc>
          <w:tcPr>
            <w:tcW w:type="dxa" w:w="50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提供重新加载，不展示空白地图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证据库为空</w:t>
            </w:r>
          </w:p>
        </w:tc>
        <w:tc>
          <w:tcPr>
            <w:tcW w:type="dxa" w:w="35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调查提示空状态</w:t>
            </w:r>
          </w:p>
        </w:tc>
        <w:tc>
          <w:tcPr>
            <w:tcW w:type="dxa" w:w="50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提示去左侧点击场景热点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质证回应失败</w:t>
            </w:r>
          </w:p>
        </w:tc>
        <w:tc>
          <w:tcPr>
            <w:tcW w:type="dxa" w:w="35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对决区错误提示</w:t>
            </w:r>
          </w:p>
        </w:tc>
        <w:tc>
          <w:tcPr>
            <w:tcW w:type="dxa" w:w="50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保留手牌与回合上下文，允许安全重试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裁决失败</w:t>
            </w:r>
          </w:p>
        </w:tc>
        <w:tc>
          <w:tcPr>
            <w:tcW w:type="dxa" w:w="35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结果区错误提示</w:t>
            </w:r>
          </w:p>
        </w:tc>
        <w:tc>
          <w:tcPr>
            <w:tcW w:type="dxa" w:w="50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不改变本地胜负结果，允许重试请求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资料同步失败</w:t>
            </w:r>
          </w:p>
        </w:tc>
        <w:tc>
          <w:tcPr>
            <w:tcW w:type="dxa" w:w="35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非阻塞本地保存提示</w:t>
            </w:r>
          </w:p>
        </w:tc>
        <w:tc>
          <w:tcPr>
            <w:tcW w:type="dxa" w:w="504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说明结果仍已保存在本机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状态文案规则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错误说明发生了什么、用户还能做什么，不显示堆栈和接口路径。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离线降级属于来源状态，不使用红色错误样式。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加载和提交按钮保留原尺寸，避免文字变化导致布局跳动。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所有异步反馈使用 role status 或 aria live；真正错误使用 role alert。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数据与状态映射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数据或状态</w:t>
            </w:r>
          </w:p>
        </w:tc>
        <w:tc>
          <w:tcPr>
            <w:tcW w:type="dxa" w:w="432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驱动界面</w:t>
            </w:r>
          </w:p>
        </w:tc>
        <w:tc>
          <w:tcPr>
            <w:tcW w:type="dxa" w:w="396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空值或异常处理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6"/>
              </w:rPr>
              <w:t>storyFeed source</w:t>
            </w:r>
          </w:p>
        </w:tc>
        <w:tc>
          <w:tcPr>
            <w:tcW w:type="dxa" w:w="432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入口在线或离线状态</w:t>
            </w:r>
          </w:p>
        </w:tc>
        <w:tc>
          <w:tcPr>
            <w:tcW w:type="dxa" w:w="39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缺失时按离线处理并显示说明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6"/>
              </w:rPr>
              <w:t>storyFeed warning</w:t>
            </w:r>
          </w:p>
        </w:tc>
        <w:tc>
          <w:tcPr>
            <w:tcW w:type="dxa" w:w="432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透明降级原因</w:t>
            </w:r>
          </w:p>
        </w:tc>
        <w:tc>
          <w:tcPr>
            <w:tcW w:type="dxa" w:w="39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没有 warning 时显示 Work ID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6"/>
              </w:rPr>
              <w:t>featuredStory playable</w:t>
            </w:r>
          </w:p>
        </w:tc>
        <w:tc>
          <w:tcPr>
            <w:tcW w:type="dxa" w:w="432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唯一可进入故事</w:t>
            </w:r>
          </w:p>
        </w:tc>
        <w:tc>
          <w:tcPr>
            <w:tcW w:type="dxa" w:w="39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没有可玩项时显示重试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6"/>
              </w:rPr>
              <w:t>demo source mode</w:t>
            </w:r>
          </w:p>
        </w:tc>
        <w:tc>
          <w:tcPr>
            <w:tcW w:type="dxa" w:w="432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开场与来源阅读器模式</w:t>
            </w:r>
          </w:p>
        </w:tc>
        <w:tc>
          <w:tcPr>
            <w:tcW w:type="dxa" w:w="39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只接受 zhihu live 或 curated fallback 的已知视觉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6"/>
              </w:rPr>
              <w:t>verifiedQuoteCount</w:t>
            </w:r>
          </w:p>
        </w:tc>
        <w:tc>
          <w:tcPr>
            <w:tcW w:type="dxa" w:w="432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短引核验徽标</w:t>
            </w:r>
          </w:p>
        </w:tc>
        <w:tc>
          <w:tcPr>
            <w:tcW w:type="dxa" w:w="39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零时不得显示已核验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6"/>
              </w:rPr>
              <w:t>discovered</w:t>
            </w:r>
          </w:p>
        </w:tc>
        <w:tc>
          <w:tcPr>
            <w:tcW w:type="dxa" w:w="432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热点 证据库 搜证 KPI</w:t>
            </w:r>
          </w:p>
        </w:tc>
        <w:tc>
          <w:tcPr>
            <w:tcW w:type="dxa" w:w="39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可逆操作必须同步清除已选状态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6"/>
              </w:rPr>
              <w:t>selectedEvidence</w:t>
            </w:r>
          </w:p>
        </w:tc>
        <w:tc>
          <w:tcPr>
            <w:tcW w:type="dxa" w:w="432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四卡牌组 对决初始手牌 End 证据链</w:t>
            </w:r>
          </w:p>
        </w:tc>
        <w:tc>
          <w:tcPr>
            <w:tcW w:type="dxa" w:w="39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最多四张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6"/>
              </w:rPr>
              <w:t>keyEvidenceIds</w:t>
            </w:r>
          </w:p>
        </w:tc>
        <w:tc>
          <w:tcPr>
            <w:tcW w:type="dxa" w:w="432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必选锚点</w:t>
            </w:r>
          </w:p>
        </w:tc>
        <w:tc>
          <w:tcPr>
            <w:tcW w:type="dxa" w:w="39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缺失时进入质证失败并列出名称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6"/>
              </w:rPr>
              <w:t>hypothesisEvidenceIds</w:t>
            </w:r>
          </w:p>
        </w:tc>
        <w:tc>
          <w:tcPr>
            <w:tcW w:type="dxa" w:w="432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第四张方向牌范围</w:t>
            </w:r>
          </w:p>
        </w:tc>
        <w:tc>
          <w:tcPr>
            <w:tcW w:type="dxa" w:w="39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背景卡禁用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6"/>
              </w:rPr>
              <w:t>battle</w:t>
            </w:r>
          </w:p>
        </w:tc>
        <w:tc>
          <w:tcPr>
            <w:tcW w:type="dxa" w:w="432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生命 体力 护盾 回合 手牌 胜负</w:t>
            </w:r>
          </w:p>
        </w:tc>
        <w:tc>
          <w:tcPr>
            <w:tcW w:type="dxa" w:w="39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任何阶段切换前后保持一致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6"/>
              </w:rPr>
              <w:t>verdict</w:t>
            </w:r>
          </w:p>
        </w:tc>
        <w:tc>
          <w:tcPr>
            <w:tcW w:type="dxa" w:w="432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阶段裁决和分数</w:t>
            </w:r>
          </w:p>
        </w:tc>
        <w:tc>
          <w:tcPr>
            <w:tcW w:type="dxa" w:w="39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请求失败不改变 battleResult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6"/>
              </w:rPr>
              <w:t>storyEnding</w:t>
            </w:r>
          </w:p>
        </w:tc>
        <w:tc>
          <w:tcPr>
            <w:tcW w:type="dxa" w:w="432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四假说 三问题 End 文案</w:t>
            </w:r>
          </w:p>
        </w:tc>
        <w:tc>
          <w:tcPr>
            <w:tcW w:type="dxa" w:w="396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6"/>
              </w:rPr>
              <w:t>缺失时不进入 End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36"/>
        </w:rPr>
        <w:t>十五 桌面与移动端适配</w:t>
      </w:r>
    </w:p>
    <w:p>
      <w:pPr>
        <w:keepNext w:val="0"/>
        <w:keepLines/>
        <w:spacing w:after="100" w:line="300" w:lineRule="auto"/>
        <w:widowControl w:val="1"/>
      </w:pPr>
      <w:r>
        <w:rPr>
          <w:rFonts w:ascii="Hiragino Sans GB" w:hAnsi="Hiragino Sans GB" w:eastAsia="Hiragino Sans GB" w:cs="Hiragino Sans GB"/>
          <w:color w:val="171717"/>
        </w:rPr>
        <w:t>当前 CSS 已覆盖 1100、900、820、680、560 和 420 px 等断点。UI 交付可归并为四档设计稿，前端继续保留细分规则。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设计档</w:t>
            </w:r>
          </w:p>
        </w:tc>
        <w:tc>
          <w:tcPr>
            <w:tcW w:type="dxa" w:w="1944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建议宽度</w:t>
            </w:r>
          </w:p>
        </w:tc>
        <w:tc>
          <w:tcPr>
            <w:tcW w:type="dxa" w:w="648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主要布局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宽桌面</w:t>
            </w:r>
          </w:p>
        </w:tc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1440 px</w:t>
            </w:r>
          </w:p>
        </w:tc>
        <w:tc>
          <w:tcPr>
            <w:tcW w:type="dxa" w:w="648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入口双列 调查三栏 对决四卡横排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桌面或平板横屏</w:t>
            </w:r>
          </w:p>
        </w:tc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1024 px</w:t>
            </w:r>
          </w:p>
        </w:tc>
        <w:tc>
          <w:tcPr>
            <w:tcW w:type="dxa" w:w="648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适当压缩栏宽 保持主要信息同屏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移动端</w:t>
            </w:r>
          </w:p>
        </w:tc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390 px</w:t>
            </w:r>
          </w:p>
        </w:tc>
        <w:tc>
          <w:tcPr>
            <w:tcW w:type="dxa" w:w="648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调查上方双列 下方证据牌组 刘看山面板近全宽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紧凑移动端</w:t>
            </w:r>
          </w:p>
        </w:tc>
        <w:tc>
          <w:tcPr>
            <w:tcW w:type="dxa" w:w="1944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360 px</w:t>
            </w:r>
          </w:p>
        </w:tc>
        <w:tc>
          <w:tcPr>
            <w:tcW w:type="dxa" w:w="648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标题压缩 对决两列卡片 开场和 End 全部单列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移动端规则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搜证页在 680 px 以下改为两列上区和一列下区：故事现场、来源阅读器并列，证据牌组横跨整行。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对决在 800 px 以下手牌改为两列；560 px 以下中间对话区移到角色区上方。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故事开场在 560 px 以下封面改为横向短图，按钮上下排列。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End 在 820 px 以下头图、假说和问题卡改为单列或两列自适应。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刘看山首页卡在 560 px 以下上下堆叠；悬浮触发器只保留角色头像。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固定按钮使用 env safe area inset，避免被底部手势条遮挡。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实机验收矩阵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592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设备场景</w:t>
            </w:r>
          </w:p>
        </w:tc>
        <w:tc>
          <w:tcPr>
            <w:tcW w:type="dxa" w:w="7920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必须验证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1440 乘 900</w:t>
            </w:r>
          </w:p>
        </w:tc>
        <w:tc>
          <w:tcPr>
            <w:tcW w:type="dxa" w:w="792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入口首屏 主 CTA 调查三栏 对决四卡和 End 完整可用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1024 乘 768</w:t>
            </w:r>
          </w:p>
        </w:tc>
        <w:tc>
          <w:tcPr>
            <w:tcW w:type="dxa" w:w="792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三栏不出现横向滚动，来源阅读器和牌组仍可操作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390 乘 844</w:t>
            </w:r>
          </w:p>
        </w:tc>
        <w:tc>
          <w:tcPr>
            <w:tcW w:type="dxa" w:w="792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刘看山面板不遮按钮，搜证和牌组滚动区域清晰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360 乘 800</w:t>
            </w:r>
          </w:p>
        </w:tc>
        <w:tc>
          <w:tcPr>
            <w:tcW w:type="dxa" w:w="792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标题不截断，卡牌文字可读，固定按钮不覆盖底部操作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横屏手机</w:t>
            </w:r>
          </w:p>
        </w:tc>
        <w:tc>
          <w:tcPr>
            <w:tcW w:type="dxa" w:w="792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高度较小时模态框内部滚动，对决上下文不丢失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浏览器缩放 200 百分比</w:t>
            </w:r>
          </w:p>
        </w:tc>
        <w:tc>
          <w:tcPr>
            <w:tcW w:type="dxa" w:w="7920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主要动作和来源状态仍可访问，无水平滚动</w:t>
            </w:r>
          </w:p>
        </w:tc>
      </w:tr>
    </w:tbl>
    <w:p>
      <w:pPr>
        <w:spacing w:after="40"/>
      </w:pPr>
    </w:p>
    <w:p>
      <w:pPr>
        <w:pStyle w:val="StatusLine"/>
        <w:keepNext w:val="0"/>
        <w:keepLines/>
        <w:widowControl w:val="1"/>
      </w:pPr>
      <w:r>
        <w:rPr>
          <w:rFonts w:ascii="Hiragino Sans GB" w:hAnsi="Hiragino Sans GB" w:eastAsia="Hiragino Sans GB" w:cs="Hiragino Sans GB"/>
          <w:b/>
          <w:color w:val="F05A28"/>
          <w:sz w:val="18"/>
        </w:rPr>
        <w:t>待完成</w:t>
      </w:r>
      <w:r>
        <w:rPr>
          <w:rFonts w:ascii="Hiragino Sans GB" w:hAnsi="Hiragino Sans GB" w:eastAsia="Hiragino Sans GB" w:cs="Hiragino Sans GB"/>
          <w:color w:val="171717"/>
          <w:sz w:val="19"/>
        </w:rPr>
        <w:t xml:space="preserve">  响应式 CSS 已存在，但小屏触控目标、双滚动和移动浏览器地址栏仍需真机验收。</w:t>
      </w:r>
    </w:p>
    <w:p>
      <w:pPr>
        <w:pStyle w:val="Heading1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36"/>
        </w:rPr>
        <w:t>十六 刘看山素材与动效映射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3473708"/>
            <wp:docPr id="3" name="Picture 3" title="刘看山三视图参考" descr="刘看山正面 侧面 背面的三维造型参考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rnaroun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3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after="160"/>
        <w:jc w:val="center"/>
        <w:widowControl w:val="1"/>
      </w:pPr>
      <w:r>
        <w:rPr>
          <w:rFonts w:ascii="Hiragino Sans GB" w:hAnsi="Hiragino Sans GB" w:eastAsia="Hiragino Sans GB" w:cs="Hiragino Sans GB"/>
          <w:color w:val="625C53"/>
          <w:sz w:val="17"/>
        </w:rPr>
        <w:t>刘看山三视图参考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素材</w:t>
            </w:r>
          </w:p>
        </w:tc>
        <w:tc>
          <w:tcPr>
            <w:tcW w:type="dxa" w:w="3816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当前使用位置</w:t>
            </w:r>
          </w:p>
        </w:tc>
        <w:tc>
          <w:tcPr>
            <w:tcW w:type="dxa" w:w="4608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greeting gif</w:t>
            </w:r>
          </w:p>
        </w:tc>
        <w:tc>
          <w:tcPr>
            <w:tcW w:type="dxa" w:w="381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首页默认导览和悬浮入口</w:t>
            </w:r>
          </w:p>
        </w:tc>
        <w:tc>
          <w:tcPr>
            <w:tcW w:type="dxa" w:w="46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第一次见面和未展开状态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idle gif</w:t>
            </w:r>
          </w:p>
        </w:tc>
        <w:tc>
          <w:tcPr>
            <w:tcW w:type="dxa" w:w="381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悬浮向导展开后的触发器</w:t>
            </w:r>
          </w:p>
        </w:tc>
        <w:tc>
          <w:tcPr>
            <w:tcW w:type="dxa" w:w="46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保持陪伴感，不抢正文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researching gif</w:t>
            </w:r>
          </w:p>
        </w:tc>
        <w:tc>
          <w:tcPr>
            <w:tcW w:type="dxa" w:w="381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首页任务与边界主题 对决提示</w:t>
            </w:r>
          </w:p>
        </w:tc>
        <w:tc>
          <w:tcPr>
            <w:tcW w:type="dxa" w:w="46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表达查资料与梳理论证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thinking gif</w:t>
            </w:r>
          </w:p>
        </w:tc>
        <w:tc>
          <w:tcPr>
            <w:tcW w:type="dxa" w:w="381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搜证与 End 面板</w:t>
            </w:r>
          </w:p>
        </w:tc>
        <w:tc>
          <w:tcPr>
            <w:tcW w:type="dxa" w:w="46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表达比较证据和选择下一步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celebrate gif</w:t>
            </w:r>
          </w:p>
        </w:tc>
        <w:tc>
          <w:tcPr>
            <w:tcW w:type="dxa" w:w="381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对决胜利与 End 触发器</w:t>
            </w:r>
          </w:p>
        </w:tc>
        <w:tc>
          <w:tcPr>
            <w:tcW w:type="dxa" w:w="46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只在完成节点使用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sleeping gif</w:t>
            </w:r>
          </w:p>
        </w:tc>
        <w:tc>
          <w:tcPr>
            <w:tcW w:type="dxa" w:w="381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当前未使用</w:t>
            </w:r>
          </w:p>
        </w:tc>
        <w:tc>
          <w:tcPr>
            <w:tcW w:type="dxa" w:w="46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P2 可用于长时间无操作，不进入本轮 P0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still png</w:t>
            </w:r>
          </w:p>
        </w:tc>
        <w:tc>
          <w:tcPr>
            <w:tcW w:type="dxa" w:w="381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减少动态效果</w:t>
            </w:r>
          </w:p>
        </w:tc>
        <w:tc>
          <w:tcPr>
            <w:tcW w:type="dxa" w:w="46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所有 GIF 的静态替代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portrait jpg</w:t>
            </w:r>
          </w:p>
        </w:tc>
        <w:tc>
          <w:tcPr>
            <w:tcW w:type="dxa" w:w="381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设计参考与文档封面</w:t>
            </w:r>
          </w:p>
        </w:tc>
        <w:tc>
          <w:tcPr>
            <w:tcW w:type="dxa" w:w="46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当前网页未直接使用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turnaround jpg</w:t>
            </w:r>
          </w:p>
        </w:tc>
        <w:tc>
          <w:tcPr>
            <w:tcW w:type="dxa" w:w="381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造型参考</w:t>
            </w:r>
          </w:p>
        </w:tc>
        <w:tc>
          <w:tcPr>
            <w:tcW w:type="dxa" w:w="460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当前网页未直接使用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动效规则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同一角色区域一次只播放一个 GIF，不叠加多个动作。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角色动画不承载唯一信息；标题、正文和状态文字必须独立完整。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系统启用 prefers reduced motion 时隐藏 GIF 并显示 still png，同时取消 hover 位移。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动画文件约 320 乘 320 且 20 fps，应懒加载非首屏素材，避免同时解码。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角色始终保持白色主体与干净背景，不用滤镜改变知乎 IP 造型。</w:t>
      </w:r>
    </w:p>
    <w:p>
      <w:pPr>
        <w:pStyle w:val="Heading1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36"/>
        </w:rPr>
        <w:t>十七 无障碍与可用性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当前已有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跳到主要内容链接、页面语义标签和清晰的焦点外框。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语言切换、主题标签、证据选择和假说选择使用 aria selected 或 aria pressed。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刘看山答案、问题结果和异步状态使用 aria live。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错误使用 role alert，加载使用 role status。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刘看山动画支持 prefers reduced motion 静态替代。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P0 必须补验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故事开场打开后焦点进入对话框，Tab 不离开，关闭后回到触发按钮。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所有图标按钮有中文和英文 aria label。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来源在线、离线、已核验和策划转述不仅依赖颜色。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证据卡、热点和刘看山问题按钮的触控区域至少 44 乘 44 px。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正文与背景对比不低于 4.5 比 1，大字号不低于 3 比 1。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键盘可完成从入口到 End 的全部流程。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对决倒计时不会以每秒朗读打断屏幕阅读器；只在关键阈值提示。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音频提供可见静音入口，并遵守浏览器自动播放限制。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文案可用性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按钮写结果，例如 开始搜证 返回调查重组 复制问题，不只写 确定。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错误包含缺少的数量或证据名称。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专业概念在首次出现时解释，后续统一使用 关键锚点 方向牌 阶段假说。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中英文切换后不混用固定中文来源标签；品牌名和 Work ID 可保留。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建议测试</w:t>
      </w:r>
    </w:p>
    <w:p>
      <w:pPr>
        <w:pStyle w:val="StatusLine"/>
        <w:keepNext w:val="0"/>
        <w:keepLines/>
        <w:widowControl w:val="1"/>
      </w:pPr>
      <w:r>
        <w:rPr>
          <w:rFonts w:ascii="Hiragino Sans GB" w:hAnsi="Hiragino Sans GB" w:eastAsia="Hiragino Sans GB" w:cs="Hiragino Sans GB"/>
          <w:b/>
          <w:color w:val="315CFF"/>
          <w:sz w:val="18"/>
        </w:rPr>
        <w:t>建议新增</w:t>
      </w:r>
      <w:r>
        <w:rPr>
          <w:rFonts w:ascii="Hiragino Sans GB" w:hAnsi="Hiragino Sans GB" w:eastAsia="Hiragino Sans GB" w:cs="Hiragino Sans GB"/>
          <w:color w:val="171717"/>
          <w:sz w:val="19"/>
        </w:rPr>
        <w:t xml:space="preserve">  把键盘路径、减少动态效果、200 百分比缩放和屏幕阅读器快速检查加入演示前检查表。</w:t>
      </w:r>
    </w:p>
    <w:p>
      <w:pPr>
        <w:pStyle w:val="StatusLine"/>
        <w:keepNext w:val="0"/>
        <w:keepLines/>
        <w:widowControl w:val="1"/>
      </w:pPr>
      <w:r>
        <w:rPr>
          <w:rFonts w:ascii="Hiragino Sans GB" w:hAnsi="Hiragino Sans GB" w:eastAsia="Hiragino Sans GB" w:cs="Hiragino Sans GB"/>
          <w:b/>
          <w:color w:val="315CFF"/>
          <w:sz w:val="18"/>
        </w:rPr>
        <w:t>建议新增</w:t>
      </w:r>
      <w:r>
        <w:rPr>
          <w:rFonts w:ascii="Hiragino Sans GB" w:hAnsi="Hiragino Sans GB" w:eastAsia="Hiragino Sans GB" w:cs="Hiragino Sans GB"/>
          <w:color w:val="171717"/>
          <w:sz w:val="19"/>
        </w:rPr>
        <w:t xml:space="preserve">  用自动化工具检查可访问名称、对比度和焦点顺序，但最终以人工完成主流程为准。</w:t>
      </w:r>
    </w:p>
    <w:p>
      <w:pPr>
        <w:pStyle w:val="Heading1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36"/>
        </w:rPr>
        <w:t>十八 实现优先级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P0 黑客松交付必须完成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统一入口、开场、搜证、组牌、对决、失败和 End 的字体、边框、按钮与状态样式。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保证在线短引、在线未命中、离线转述三种来源模式准确显示。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保证六条线索、三张关键锚点、一张方向牌和四卡出示门槛无视觉歧义。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完成 1440、1024、390 和 360 宽度验收，消除遮挡、溢出和双滚动。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完成故事开场的焦点管理、键盘主流程和减少动态效果验收。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确认失败可恢复、End 按钮门槛、完成后分数保存和入口最佳分数更新。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P1 演示后优先补齐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增加完成回执，保留本局假说、问题、四卡和来源模式。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增加音频静音开关并记住用户选择。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加载文字升级为稳定骨架，减少布局跳动。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失败分析高亮未出示证据并提供定位重组。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增加关键漏斗埋点：进入调查、搜齐、组牌完成、对决胜负、End 完成。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P2 后续探索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扩展更多故事时复用数据驱动场景和来源标识，不复制页面。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若接入自由对话 Agent，新增引用、拒答、会话失败与未核验提示，不替换当前稳定预设。</w:t>
      </w:r>
    </w:p>
    <w:p>
      <w:pPr>
        <w:pStyle w:val="SpecBulle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• 考虑睡眠动作、故事进度地图或可分享回执，但不能增加 P0 演示路径长度。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交付顺序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036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顺序</w:t>
            </w:r>
          </w:p>
        </w:tc>
        <w:tc>
          <w:tcPr>
            <w:tcW w:type="dxa" w:w="3528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5947"/>
            <w:shd w:fill="1E3676" w:val="clear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keepNext w:val="0"/>
              <w:keepLines/>
              <w:spacing w:after="0" w:line="276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一</w:t>
            </w:r>
          </w:p>
        </w:tc>
        <w:tc>
          <w:tcPr>
            <w:tcW w:type="dxa" w:w="35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视觉 token 和通用组件</w:t>
            </w:r>
          </w:p>
        </w:tc>
        <w:tc>
          <w:tcPr>
            <w:tcW w:type="dxa" w:w="5947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入口、调查、对决、End 使用同一套状态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二</w:t>
            </w:r>
          </w:p>
        </w:tc>
        <w:tc>
          <w:tcPr>
            <w:tcW w:type="dxa" w:w="35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入口和刘看山</w:t>
            </w:r>
          </w:p>
        </w:tc>
        <w:tc>
          <w:tcPr>
            <w:tcW w:type="dxa" w:w="5947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一分钟内理解故事与玩法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三</w:t>
            </w:r>
          </w:p>
        </w:tc>
        <w:tc>
          <w:tcPr>
            <w:tcW w:type="dxa" w:w="35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搜证与来源阅读器</w:t>
            </w:r>
          </w:p>
        </w:tc>
        <w:tc>
          <w:tcPr>
            <w:tcW w:type="dxa" w:w="5947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六线索和来源模式无歧义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四</w:t>
            </w:r>
          </w:p>
        </w:tc>
        <w:tc>
          <w:tcPr>
            <w:tcW w:type="dxa" w:w="35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组牌与对决</w:t>
            </w:r>
          </w:p>
        </w:tc>
        <w:tc>
          <w:tcPr>
            <w:tcW w:type="dxa" w:w="5947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门槛、资源和胜负清楚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五</w:t>
            </w:r>
          </w:p>
        </w:tc>
        <w:tc>
          <w:tcPr>
            <w:tcW w:type="dxa" w:w="35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End 与失败</w:t>
            </w:r>
          </w:p>
        </w:tc>
        <w:tc>
          <w:tcPr>
            <w:tcW w:type="dxa" w:w="5947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推演边界、恢复和完成可用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center"/>
              <w:widowControl w:val="1"/>
            </w:pPr>
            <w:r>
              <w:rPr>
                <w:rFonts w:ascii="Hiragino Sans GB" w:hAnsi="Hiragino Sans GB" w:eastAsia="Hiragino Sans GB" w:cs="Hiragino Sans GB"/>
                <w:b/>
                <w:color w:val="171717"/>
                <w:sz w:val="17"/>
              </w:rPr>
              <w:t>六</w:t>
            </w:r>
          </w:p>
        </w:tc>
        <w:tc>
          <w:tcPr>
            <w:tcW w:type="dxa" w:w="3528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移动端与无障碍</w:t>
            </w:r>
          </w:p>
        </w:tc>
        <w:tc>
          <w:tcPr>
            <w:tcW w:type="dxa" w:w="5947"/>
            <w:tcBorders>
              <w:top w:val="single" w:sz="8" w:color="D9D1C2"/>
              <w:left w:val="single" w:sz="8" w:color="D9D1C2"/>
              <w:bottom w:val="single" w:sz="8" w:color="D9D1C2"/>
              <w:right w:val="single" w:sz="8" w:color="D9D1C2"/>
              <w:insideH w:val="single" w:sz="8" w:color="D9D1C2"/>
              <w:insideV w:val="single" w:sz="8" w:color="D9D1C2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5F7FF" w:val="clear"/>
            <w:vAlign w:val="center"/>
          </w:tcPr>
          <w:p>
            <w:pPr>
              <w:keepNext w:val="0"/>
              <w:keepLines/>
              <w:spacing w:after="0" w:line="283" w:lineRule="auto"/>
              <w:jc w:val="left"/>
              <w:widowControl w:val="1"/>
            </w:pPr>
            <w:r>
              <w:rPr>
                <w:rFonts w:ascii="Hiragino Sans GB" w:hAnsi="Hiragino Sans GB" w:eastAsia="Hiragino Sans GB" w:cs="Hiragino Sans GB"/>
                <w:b w:val="0"/>
                <w:color w:val="171717"/>
                <w:sz w:val="17"/>
              </w:rPr>
              <w:t>主流程在目标设备完整通过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36"/>
        </w:rPr>
        <w:t>十九 UI 验收清单</w:t>
      </w:r>
    </w:p>
    <w:p>
      <w:pPr>
        <w:keepNext w:val="0"/>
        <w:keepLines/>
        <w:spacing w:after="100" w:line="300" w:lineRule="auto"/>
        <w:widowControl w:val="1"/>
      </w:pPr>
      <w:r>
        <w:rPr>
          <w:rFonts w:ascii="Hiragino Sans GB" w:hAnsi="Hiragino Sans GB" w:eastAsia="Hiragino Sans GB" w:cs="Hiragino Sans GB"/>
          <w:color w:val="171717"/>
        </w:rPr>
        <w:t>以下项目全部通过后，才把界面标记为可演示。建议由 UI 设计、前端和内容负责人共同走查一次在线模式和一次离线模式。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内容与来源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入口、开场、来源阅读器和 End 都显示故事名、作者和内容边界。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在线命中短引与策划转述在同一页可被清楚区分。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离线模式不出现 已核验原文 或 暗示接口在线。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页面没有 正确答案 真相揭晓 解锁原作结局 等误导文案。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查看原作使用真实外链且在新窗口打开。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入口与刘看山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入口首屏在目标桌面尺寸能看到故事钩子、来源状态和主按钮。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刘看山三主题切换不引起明显布局跳动。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首页导览和悬浮向导均能用键盘操作。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调查、对决、胜利、失败和 End 的向导内容与当前状态一致。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减少动态效果模式只显示静态素材。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搜证与组牌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三场景共有六条且不会重复计数。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撤销线索会同步移除证据库和牌组选择。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培训教材明确为背景线索并不可入庭。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四卡牌组必须包含三张关键锚点和一张方向牌。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所有规则错误说明缺少数量或具体证据。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对决与 End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倒计时、论证稳定度、专注、缓冲和日常解释力都同时显示文本与数值。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四张证据未全部出示时，重复强牌不能结束对决。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失败后可返回调查且搜证进度不丢失。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End 推荐假说与第四张方向牌一致，并明确只是阶段推演。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未选择假说或问题时完成按钮保持禁用。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完成后分数正确保存并在入口显示最佳成绩。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响应式与稳定性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1440、1024、390 和 360 宽度无横向滚动、遮挡或裁切。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刘看山悬浮面板不遮挡主要操作，移动端内部滚动可用。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所有点击目标满足触控尺寸，键盘焦点始终可见。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在线接口超时后自动进入透明离线模式，完整主流程仍可完成。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图片加载失败有稳定占位，不造成布局崩塌。</w:t>
      </w:r>
    </w:p>
    <w:p>
      <w:pPr>
        <w:pStyle w:val="Checklist"/>
        <w:keepNext w:val="0"/>
        <w:keepLines/>
        <w:ind w:left="331" w:hanging="259"/>
        <w:widowControl w:val="1"/>
      </w:pPr>
      <w:r>
        <w:rPr>
          <w:rFonts w:ascii="Hiragino Sans GB" w:hAnsi="Hiragino Sans GB" w:eastAsia="Hiragino Sans GB" w:cs="Hiragino Sans GB"/>
          <w:color w:val="171717"/>
          <w:sz w:val="20"/>
        </w:rPr>
        <w:t>□ 背景音乐、反馈音与退出清理正常，不发生叠播。</w:t>
      </w:r>
    </w:p>
    <w:p>
      <w:pPr>
        <w:pStyle w:val="Heading2"/>
        <w:keepNext/>
        <w:keepLines/>
        <w:widowControl w:val="1"/>
      </w:pPr>
      <w:r>
        <w:rPr>
          <w:rFonts w:ascii="Hiragino Sans GB" w:hAnsi="Hiragino Sans GB" w:eastAsia="Hiragino Sans GB" w:cs="Hiragino Sans GB"/>
          <w:b/>
          <w:color w:val="171717"/>
          <w:sz w:val="27"/>
        </w:rPr>
        <w:t>最终交付定义</w:t>
      </w:r>
    </w:p>
    <w:p>
      <w:pPr>
        <w:keepNext w:val="0"/>
        <w:keepLines/>
        <w:spacing w:after="100" w:line="300" w:lineRule="auto"/>
        <w:widowControl w:val="1"/>
      </w:pPr>
      <w:r>
        <w:rPr>
          <w:rFonts w:ascii="Hiragino Sans GB" w:hAnsi="Hiragino Sans GB" w:eastAsia="Hiragino Sans GB" w:cs="Hiragino Sans GB"/>
          <w:color w:val="171717"/>
        </w:rPr>
        <w:t>P0 清单全部通过，在线和离线两条来源路径均完成一次从入口到 End 的人工走查，且 UI 同学已经把任何建议新增项明确标为后续，才可将《蓝血》互动案卷认定为本次黑客松的完整可交付产品。</w:t>
      </w:r>
    </w:p>
    <w:sectPr w:rsidR="00FC693F" w:rsidRPr="0006063C" w:rsidSect="00034616">
      <w:footerReference w:type="default" r:id="rId9"/>
      <w:pgSz w:w="12240" w:h="15840"/>
      <w:pgMar w:top="965" w:right="1037" w:bottom="950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 w:cs="Hiragino Sans GB"/>
        <w:color w:val="6D685F"/>
        <w:sz w:val="17"/>
      </w:rPr>
      <w:t xml:space="preserve">蓝血互动游戏 UI 实现说明 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Hiragino Sans GB" w:hAnsi="Hiragino Sans GB" w:eastAsia="Hiragino Sans GB"/>
      <w:color w:val="17171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7171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7171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7171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  <w:pBdr>
        <w:top w:val="nil"/>
        <w:left w:val="nil"/>
        <w:bottom w:val="nil"/>
        <w:right w:val="nil"/>
        <w:between w:val="nil"/>
      </w:pBdr>
    </w:pPr>
    <w:rPr>
      <w:rFonts w:asciiTheme="majorHAnsi" w:eastAsiaTheme="majorEastAsia" w:hAnsiTheme="majorHAnsi" w:cstheme="majorBidi" w:ascii="Hiragino Sans GB" w:hAnsi="Hiragino Sans GB" w:eastAsia="Hiragino Sans GB"/>
      <w:b/>
      <w:color w:val="171717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iragino Sans GB" w:hAnsi="Hiragino Sans GB" w:eastAsia="Hiragino Sans GB"/>
      <w:b/>
      <w:bCs/>
      <w:color w:val="625C53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cBullet">
    <w:name w:val="Spec Bullet"/>
    <w:pPr>
      <w:spacing w:after="70" w:line="293" w:lineRule="auto"/>
    </w:pPr>
    <w:rPr>
      <w:rFonts w:ascii="Hiragino Sans GB" w:hAnsi="Hiragino Sans GB" w:eastAsia="Hiragino Sans GB"/>
      <w:sz w:val="20"/>
    </w:rPr>
  </w:style>
  <w:style w:type="paragraph" w:customStyle="1" w:styleId="Checklist">
    <w:name w:val="Checklist"/>
    <w:pPr>
      <w:spacing w:after="80" w:line="288" w:lineRule="auto"/>
    </w:pPr>
    <w:rPr>
      <w:rFonts w:ascii="Hiragino Sans GB" w:hAnsi="Hiragino Sans GB" w:eastAsia="Hiragino Sans GB"/>
      <w:sz w:val="20"/>
    </w:rPr>
  </w:style>
  <w:style w:type="paragraph" w:customStyle="1" w:styleId="StatusLine">
    <w:name w:val="Status Line"/>
    <w:pPr>
      <w:spacing w:after="80" w:line="288" w:lineRule="auto"/>
    </w:pPr>
    <w:rPr>
      <w:rFonts w:ascii="Hiragino Sans GB" w:hAnsi="Hiragino Sans GB" w:eastAsia="Hiragino Sans G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蓝血互动游戏 UI 实现说明</dc:title>
  <dc:subject>知乎黑客松蓝血互动案卷的 UI 与前端实现规范</dc:subject>
  <dc:creator>蓝血互动案卷项目组</dc:creator>
  <cp:keywords>蓝血, 刘看山, 知乎黑客松, UI, 交互游戏</cp:keywords>
  <dc:description>区分当前实现与建议后续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