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b/>
          <w:bCs/>
          <w:color w:val="000000"/>
          <w:sz w:val="44"/>
          <w:szCs w:val="44"/>
        </w:rPr>
      </w:pPr>
      <w:bookmarkStart w:id="0" w:name="_Toc414008089"/>
      <w:bookmarkStart w:id="1" w:name="_Toc414007313"/>
    </w:p>
    <w:p>
      <w:pPr>
        <w:pStyle w:val="2"/>
        <w:rPr>
          <w:lang w:val="zh-CN"/>
        </w:rPr>
      </w:pPr>
    </w:p>
    <w:p>
      <w:pPr>
        <w:pStyle w:val="2"/>
        <w:rPr>
          <w:lang w:val="zh-CN"/>
        </w:rPr>
      </w:pPr>
      <w:r>
        <w:rPr>
          <w:rFonts w:hint="eastAsia"/>
          <w:lang w:val="zh-CN"/>
        </w:rPr>
        <w:t>日常测试工作规范</w:t>
      </w:r>
      <w:bookmarkEnd w:id="0"/>
      <w:bookmarkEnd w:id="1"/>
    </w:p>
    <w:tbl>
      <w:tblPr>
        <w:tblStyle w:val="9"/>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5"/>
        <w:gridCol w:w="7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5" w:type="dxa"/>
          </w:tcPr>
          <w:p>
            <w:pPr>
              <w:pStyle w:val="14"/>
              <w:rPr>
                <w:lang w:eastAsia="zh-CN"/>
              </w:rPr>
            </w:pPr>
            <w:r>
              <w:rPr>
                <w:rFonts w:hint="eastAsia"/>
                <w:lang w:eastAsia="zh-CN"/>
              </w:rPr>
              <w:t>编号</w:t>
            </w:r>
          </w:p>
        </w:tc>
        <w:tc>
          <w:tcPr>
            <w:tcW w:w="7221" w:type="dxa"/>
          </w:tcPr>
          <w:p>
            <w:pPr>
              <w:pStyle w:val="14"/>
              <w:rPr>
                <w:lang w:eastAsia="zh-CN"/>
              </w:rPr>
            </w:pPr>
            <w:r>
              <w:rPr>
                <w:rFonts w:hint="eastAsia"/>
                <w:lang w:eastAsia="zh-CN"/>
              </w:rPr>
              <w:t>主题</w:t>
            </w:r>
            <w:r>
              <w:rPr>
                <w:rFonts w:hint="eastAsia"/>
                <w:lang w:val="en-US" w:eastAsia="zh-CN"/>
              </w:rPr>
              <w:t>／</w:t>
            </w:r>
            <w:r>
              <w:rPr>
                <w:rFonts w:hint="eastAsia"/>
                <w:lang w:eastAsia="zh-CN"/>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5" w:type="dxa"/>
          </w:tcPr>
          <w:p>
            <w:pPr>
              <w:pStyle w:val="15"/>
              <w:jc w:val="center"/>
              <w:rPr>
                <w:lang w:eastAsia="zh-CN"/>
              </w:rPr>
            </w:pPr>
            <w:r>
              <w:rPr>
                <w:rFonts w:hint="eastAsia"/>
                <w:lang w:eastAsia="zh-CN"/>
              </w:rPr>
              <w:t>1</w:t>
            </w:r>
          </w:p>
        </w:tc>
        <w:tc>
          <w:tcPr>
            <w:tcW w:w="7221" w:type="dxa"/>
          </w:tcPr>
          <w:p>
            <w:pPr>
              <w:pStyle w:val="15"/>
              <w:spacing w:before="40" w:after="40" w:line="240" w:lineRule="auto"/>
              <w:rPr>
                <w:color w:val="000000"/>
                <w:lang w:eastAsia="zh-CN"/>
              </w:rPr>
            </w:pPr>
            <w:r>
              <w:rPr>
                <w:rFonts w:hint="eastAsia"/>
                <w:color w:val="000000"/>
                <w:lang w:eastAsia="zh-CN"/>
              </w:rPr>
              <w:t>o</w:t>
            </w:r>
            <w:r>
              <w:rPr>
                <w:color w:val="000000"/>
                <w:lang w:eastAsia="zh-CN"/>
              </w:rPr>
              <w:t>nes</w:t>
            </w:r>
            <w:r>
              <w:rPr>
                <w:rFonts w:hint="eastAsia"/>
                <w:color w:val="000000"/>
                <w:lang w:eastAsia="zh-CN"/>
              </w:rPr>
              <w:t>使用规范.</w:t>
            </w:r>
          </w:p>
          <w:p>
            <w:pPr>
              <w:pStyle w:val="15"/>
              <w:numPr>
                <w:ilvl w:val="0"/>
                <w:numId w:val="2"/>
              </w:numPr>
              <w:spacing w:before="40" w:after="40" w:line="240" w:lineRule="auto"/>
              <w:rPr>
                <w:color w:val="000000"/>
                <w:lang w:eastAsia="zh-CN"/>
              </w:rPr>
            </w:pPr>
            <w:r>
              <w:rPr>
                <w:rFonts w:hint="eastAsia"/>
                <w:color w:val="000000"/>
                <w:lang w:eastAsia="zh-CN"/>
              </w:rPr>
              <w:t>日常使用,见《o</w:t>
            </w:r>
            <w:r>
              <w:rPr>
                <w:color w:val="000000"/>
                <w:lang w:eastAsia="zh-CN"/>
              </w:rPr>
              <w:t>nes</w:t>
            </w:r>
            <w:r>
              <w:rPr>
                <w:rFonts w:hint="eastAsia"/>
                <w:color w:val="000000"/>
                <w:lang w:eastAsia="zh-CN"/>
              </w:rPr>
              <w:t>、</w:t>
            </w:r>
            <w:r>
              <w:rPr>
                <w:color w:val="000000"/>
                <w:lang w:eastAsia="zh-CN"/>
              </w:rPr>
              <w:t>metersphere</w:t>
            </w:r>
            <w:r>
              <w:rPr>
                <w:rFonts w:hint="eastAsia"/>
                <w:color w:val="000000"/>
                <w:lang w:eastAsia="zh-CN"/>
              </w:rPr>
              <w:t>使用说明》 。</w:t>
            </w:r>
          </w:p>
          <w:p>
            <w:pPr>
              <w:pStyle w:val="15"/>
              <w:numPr>
                <w:ilvl w:val="0"/>
                <w:numId w:val="2"/>
              </w:numPr>
              <w:spacing w:before="40" w:after="40" w:line="240" w:lineRule="auto"/>
              <w:rPr>
                <w:lang w:eastAsia="zh-CN"/>
              </w:rPr>
            </w:pPr>
            <w:r>
              <w:rPr>
                <w:rFonts w:hint="eastAsia"/>
                <w:color w:val="000000"/>
                <w:lang w:eastAsia="zh-CN"/>
              </w:rPr>
              <w:t>其中需求、用例、执行记录、缺陷必须相互关联。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5" w:type="dxa"/>
          </w:tcPr>
          <w:p>
            <w:pPr>
              <w:pStyle w:val="15"/>
              <w:jc w:val="center"/>
              <w:rPr>
                <w:lang w:eastAsia="zh-CN"/>
              </w:rPr>
            </w:pPr>
            <w:r>
              <w:rPr>
                <w:rFonts w:hint="eastAsia"/>
                <w:lang w:eastAsia="zh-CN"/>
              </w:rPr>
              <w:t>2</w:t>
            </w:r>
          </w:p>
        </w:tc>
        <w:tc>
          <w:tcPr>
            <w:tcW w:w="7221" w:type="dxa"/>
          </w:tcPr>
          <w:p>
            <w:pPr>
              <w:pStyle w:val="15"/>
              <w:spacing w:before="156" w:after="156"/>
              <w:rPr>
                <w:lang w:eastAsia="zh-CN"/>
              </w:rPr>
            </w:pPr>
            <w:r>
              <w:rPr>
                <w:rFonts w:hint="eastAsia"/>
                <w:lang w:eastAsia="zh-CN"/>
              </w:rPr>
              <w:t>每次发布之后需要处理的文档：</w:t>
            </w:r>
          </w:p>
          <w:p>
            <w:pPr>
              <w:pStyle w:val="15"/>
              <w:spacing w:before="156" w:after="156"/>
              <w:rPr>
                <w:lang w:eastAsia="zh-CN"/>
              </w:rPr>
            </w:pPr>
            <w:r>
              <w:rPr>
                <w:rFonts w:hint="eastAsia"/>
                <w:lang w:eastAsia="zh-CN"/>
              </w:rPr>
              <w:t>1.单项目度量报表提交给w</w:t>
            </w:r>
            <w:r>
              <w:rPr>
                <w:lang w:eastAsia="zh-CN"/>
              </w:rPr>
              <w:t>iki</w:t>
            </w:r>
          </w:p>
          <w:p>
            <w:pPr>
              <w:pStyle w:val="15"/>
              <w:spacing w:before="156" w:after="156"/>
              <w:rPr>
                <w:lang w:eastAsia="zh-CN"/>
              </w:rPr>
            </w:pPr>
            <w:r>
              <w:rPr>
                <w:rFonts w:hint="eastAsia"/>
                <w:lang w:eastAsia="zh-CN"/>
              </w:rPr>
              <w:t>2.内部缺陷分析报告</w:t>
            </w:r>
          </w:p>
          <w:p>
            <w:pPr>
              <w:pStyle w:val="15"/>
              <w:spacing w:before="156" w:after="156"/>
              <w:rPr>
                <w:lang w:eastAsia="zh-CN"/>
              </w:rPr>
            </w:pPr>
            <w:r>
              <w:rPr>
                <w:rFonts w:hint="eastAsia"/>
                <w:lang w:eastAsia="zh-CN"/>
              </w:rPr>
              <w:t>3.历次发布总结出的有价值缺陷及生产缺陷的checklist</w:t>
            </w:r>
          </w:p>
          <w:p>
            <w:pPr>
              <w:pStyle w:val="15"/>
              <w:spacing w:before="156" w:after="156"/>
              <w:rPr>
                <w:lang w:eastAsia="zh-CN"/>
              </w:rPr>
            </w:pPr>
            <w:r>
              <w:rPr>
                <w:rFonts w:hint="eastAsia"/>
                <w:lang w:eastAsia="zh-CN"/>
              </w:rPr>
              <w:t>4.增加功能安全测试检查项目，功能安全测试执行原则：</w:t>
            </w:r>
          </w:p>
          <w:p>
            <w:pPr>
              <w:pStyle w:val="15"/>
              <w:spacing w:before="156" w:after="156"/>
              <w:ind w:firstLine="180"/>
              <w:rPr>
                <w:lang w:eastAsia="zh-CN"/>
              </w:rPr>
            </w:pPr>
            <w:r>
              <w:rPr>
                <w:rFonts w:hint="eastAsia"/>
                <w:lang w:eastAsia="zh-CN"/>
              </w:rPr>
              <w:t>a) 针对安全部给出的安全测试项目执行；</w:t>
            </w:r>
          </w:p>
          <w:p>
            <w:pPr>
              <w:pStyle w:val="15"/>
              <w:spacing w:before="156" w:after="156"/>
              <w:ind w:firstLine="180"/>
              <w:rPr>
                <w:lang w:eastAsia="zh-CN"/>
              </w:rPr>
            </w:pPr>
            <w:r>
              <w:rPr>
                <w:rFonts w:hint="eastAsia"/>
                <w:lang w:eastAsia="zh-CN"/>
              </w:rPr>
              <w:t>b) 根据需求、开发明确指定或给出的范围进行功能安全测试；</w:t>
            </w:r>
          </w:p>
          <w:p>
            <w:pPr>
              <w:pStyle w:val="15"/>
              <w:spacing w:before="156" w:after="156"/>
              <w:ind w:firstLine="200" w:firstLineChars="100"/>
              <w:rPr>
                <w:lang w:eastAsia="zh-CN"/>
              </w:rPr>
            </w:pPr>
            <w:r>
              <w:rPr>
                <w:rFonts w:hint="eastAsia"/>
                <w:lang w:eastAsia="zh-CN"/>
              </w:rPr>
              <w:t>c) 先在项目组范围内进行功能安全测试经验交流，提前熟悉相关测试内容，早作准备。</w:t>
            </w:r>
          </w:p>
          <w:p>
            <w:pPr>
              <w:rPr>
                <w:szCs w:val="18"/>
              </w:rPr>
            </w:pPr>
            <w:r>
              <w:rPr>
                <w:rFonts w:hint="eastAsia"/>
                <w:szCs w:val="18"/>
              </w:rPr>
              <w:t>5.需按照SIT测试流程文档规范操作，并提交给w</w:t>
            </w:r>
            <w:r>
              <w:rPr>
                <w:szCs w:val="18"/>
              </w:rPr>
              <w:t>iki</w:t>
            </w:r>
            <w:r>
              <w:rPr>
                <w:rFonts w:hint="eastAsia"/>
                <w:szCs w:val="18"/>
              </w:rPr>
              <w:t>。</w:t>
            </w:r>
          </w:p>
          <w:p>
            <w:pPr>
              <w:rPr>
                <w:color w:val="000000"/>
                <w:sz w:val="44"/>
                <w:szCs w:val="44"/>
                <w:lang w:val="zh-CN"/>
              </w:rPr>
            </w:pPr>
            <w:bookmarkStart w:id="10" w:name="_GoBack"/>
            <w:bookmarkEnd w:id="1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5" w:type="dxa"/>
          </w:tcPr>
          <w:p>
            <w:pPr>
              <w:pStyle w:val="15"/>
              <w:jc w:val="center"/>
              <w:rPr>
                <w:lang w:eastAsia="zh-CN"/>
              </w:rPr>
            </w:pPr>
            <w:r>
              <w:rPr>
                <w:rFonts w:hint="eastAsia"/>
                <w:lang w:eastAsia="zh-CN"/>
              </w:rPr>
              <w:t>3</w:t>
            </w:r>
          </w:p>
        </w:tc>
        <w:tc>
          <w:tcPr>
            <w:tcW w:w="7221" w:type="dxa"/>
          </w:tcPr>
          <w:p>
            <w:pPr>
              <w:pStyle w:val="15"/>
              <w:spacing w:before="156" w:after="156"/>
              <w:rPr>
                <w:lang w:eastAsia="zh-CN"/>
              </w:rPr>
            </w:pPr>
            <w:r>
              <w:rPr>
                <w:rFonts w:hint="eastAsia"/>
                <w:lang w:eastAsia="zh-CN"/>
              </w:rPr>
              <w:t>测试报告请根据发布类型选择相应的测试报告模板进行编写。</w:t>
            </w:r>
          </w:p>
          <w:p>
            <w:pPr>
              <w:pStyle w:val="15"/>
              <w:spacing w:before="156" w:after="156"/>
              <w:rPr>
                <w:lang w:eastAsia="zh-CN"/>
              </w:rPr>
            </w:pPr>
            <w:bookmarkStart w:id="2" w:name="_MON_1732549031"/>
            <w:bookmarkEnd w:id="2"/>
            <w:r>
              <w:rPr>
                <w:lang w:eastAsia="zh-CN"/>
              </w:rPr>
              <w:object>
                <v:shape id="_x0000_i1026" o:spt="75" type="#_x0000_t75" style="height:52.5pt;width:75.75pt;" o:ole="t" filled="f" o:preferrelative="t" stroked="f" coordsize="21600,21600">
                  <v:path/>
                  <v:fill on="f" focussize="0,0"/>
                  <v:stroke on="f" joinstyle="miter"/>
                  <v:imagedata r:id="rId5" o:title=""/>
                  <o:lock v:ext="edit" aspectratio="t"/>
                  <w10:wrap type="none"/>
                  <w10:anchorlock/>
                </v:shape>
                <o:OLEObject Type="Embed" ProgID="Word.Document.12" ShapeID="_x0000_i1026" DrawAspect="Icon" ObjectID="_1468075725" r:id="rId4">
                  <o:LockedField>false</o:LockedField>
                </o:OLEObject>
              </w:object>
            </w:r>
            <w:r>
              <w:rPr>
                <w:rFonts w:hint="eastAsia"/>
                <w:lang w:eastAsia="zh-CN"/>
              </w:rPr>
              <w:t xml:space="preserve">     </w:t>
            </w:r>
            <w:bookmarkStart w:id="3" w:name="_MON_1732549133"/>
            <w:bookmarkEnd w:id="3"/>
            <w:r>
              <w:rPr>
                <w:lang w:eastAsia="zh-CN"/>
              </w:rPr>
              <w:object>
                <v:shape id="_x0000_i1027" o:spt="75" type="#_x0000_t75" style="height:52.5pt;width:75.75pt;" o:ole="t" filled="f" o:preferrelative="t" stroked="f" coordsize="21600,21600">
                  <v:path/>
                  <v:fill on="f" focussize="0,0"/>
                  <v:stroke on="f" joinstyle="miter"/>
                  <v:imagedata r:id="rId7" o:title=""/>
                  <o:lock v:ext="edit" aspectratio="t"/>
                  <w10:wrap type="none"/>
                  <w10:anchorlock/>
                </v:shape>
                <o:OLEObject Type="Embed" ProgID="Word.Document.12" ShapeID="_x0000_i1027" DrawAspect="Icon" ObjectID="_1468075726" r:id="rId6">
                  <o:LockedField>false</o:LockedField>
                </o:OLEObject>
              </w:object>
            </w:r>
          </w:p>
          <w:p>
            <w:pPr>
              <w:pStyle w:val="15"/>
              <w:spacing w:before="156" w:after="156"/>
              <w:rPr>
                <w:lang w:eastAsia="zh-CN"/>
              </w:rPr>
            </w:pPr>
            <w:r>
              <w:rPr>
                <w:rFonts w:hint="eastAsia"/>
                <w:lang w:eastAsia="zh-CN"/>
              </w:rPr>
              <w:t>测试遗留缺陷含2级以上缺陷都为不通过。</w:t>
            </w:r>
          </w:p>
          <w:p>
            <w:pPr>
              <w:pStyle w:val="15"/>
              <w:spacing w:before="156" w:after="156"/>
              <w:rPr>
                <w:lang w:eastAsia="zh-CN"/>
              </w:rPr>
            </w:pPr>
            <w:r>
              <w:rPr>
                <w:rFonts w:hint="eastAsia"/>
                <w:lang w:eastAsia="zh-CN"/>
              </w:rPr>
              <w:t>测试报告的测试结论编写要求</w:t>
            </w:r>
          </w:p>
          <w:p>
            <w:pPr>
              <w:pStyle w:val="15"/>
              <w:spacing w:before="156" w:after="156"/>
              <w:rPr>
                <w:lang w:eastAsia="zh-CN"/>
              </w:rPr>
            </w:pPr>
            <w:r>
              <w:rPr>
                <w:rFonts w:hint="eastAsia"/>
                <w:lang w:eastAsia="zh-CN"/>
              </w:rPr>
              <w:t>样例：</w:t>
            </w:r>
          </w:p>
          <w:p>
            <w:pPr>
              <w:pStyle w:val="15"/>
              <w:spacing w:before="156" w:after="156"/>
              <w:rPr>
                <w:lang w:eastAsia="zh-CN"/>
              </w:rPr>
            </w:pPr>
            <w:r>
              <w:rPr>
                <w:rFonts w:hint="eastAsia"/>
                <w:lang w:eastAsia="zh-CN"/>
              </w:rPr>
              <w:t>本次发布工单N个，设计工单案例N个，发现缺陷总数N个，已修复缺陷N个，遗留N个1级缺陷，本次测试通过。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5" w:type="dxa"/>
          </w:tcPr>
          <w:p>
            <w:pPr>
              <w:pStyle w:val="15"/>
              <w:jc w:val="center"/>
              <w:rPr>
                <w:lang w:eastAsia="zh-CN"/>
              </w:rPr>
            </w:pPr>
            <w:r>
              <w:rPr>
                <w:rFonts w:hint="eastAsia"/>
                <w:lang w:eastAsia="zh-CN"/>
              </w:rPr>
              <w:t>4</w:t>
            </w:r>
          </w:p>
        </w:tc>
        <w:tc>
          <w:tcPr>
            <w:tcW w:w="7221" w:type="dxa"/>
          </w:tcPr>
          <w:p>
            <w:pPr>
              <w:pStyle w:val="15"/>
              <w:spacing w:before="156" w:after="156"/>
              <w:rPr>
                <w:lang w:eastAsia="zh-CN"/>
              </w:rPr>
            </w:pPr>
            <w:r>
              <w:rPr>
                <w:rFonts w:hint="eastAsia"/>
                <w:lang w:eastAsia="zh-CN"/>
              </w:rPr>
              <w:t>每次测试版本提交时，由开发组提交正式邮件给测试，测试申请模板见下。</w:t>
            </w:r>
          </w:p>
          <w:p>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cs="宋体"/>
                <w:szCs w:val="18"/>
              </w:rPr>
            </w:pPr>
            <w:bookmarkStart w:id="4" w:name="_MON_1732549424"/>
            <w:bookmarkEnd w:id="4"/>
            <w:r>
              <w:rPr>
                <w:rFonts w:ascii="宋体" w:hAnsi="宋体" w:cs="宋体"/>
                <w:szCs w:val="18"/>
              </w:rPr>
              <w:object>
                <v:shape id="_x0000_i1028" o:spt="75" type="#_x0000_t75" style="height:52.5pt;width:75.75pt;" o:ole="t" filled="f" o:preferrelative="t" stroked="f" coordsize="21600,21600">
                  <v:path/>
                  <v:fill on="f" focussize="0,0"/>
                  <v:stroke on="f" joinstyle="miter"/>
                  <v:imagedata r:id="rId9" o:title=""/>
                  <o:lock v:ext="edit" aspectratio="t"/>
                  <w10:wrap type="none"/>
                  <w10:anchorlock/>
                </v:shape>
                <o:OLEObject Type="Embed" ProgID="Word.Document.12" ShapeID="_x0000_i1028" DrawAspect="Icon" ObjectID="_1468075727" r:id="rId8">
                  <o:LockedField>false</o:LockedField>
                </o:OLEObject>
              </w:object>
            </w:r>
          </w:p>
        </w:tc>
      </w:tr>
    </w:tbl>
    <w:p>
      <w:pPr>
        <w:rPr>
          <w:color w:val="000000"/>
          <w:sz w:val="44"/>
          <w:szCs w:val="44"/>
          <w:lang w:val="zh-CN"/>
        </w:rPr>
      </w:pPr>
    </w:p>
    <w:p>
      <w:pPr>
        <w:pStyle w:val="2"/>
        <w:numPr>
          <w:ilvl w:val="0"/>
          <w:numId w:val="3"/>
        </w:numPr>
        <w:rPr>
          <w:lang w:val="zh-CN"/>
        </w:rPr>
      </w:pPr>
      <w:bookmarkStart w:id="5" w:name="_Toc414007314"/>
      <w:bookmarkStart w:id="6" w:name="_Toc414008090"/>
      <w:r>
        <w:rPr>
          <w:rFonts w:hint="eastAsia"/>
          <w:lang w:val="zh-CN"/>
        </w:rPr>
        <w:t>测试总结和分析</w:t>
      </w:r>
      <w:bookmarkEnd w:id="5"/>
      <w:bookmarkEnd w:id="6"/>
    </w:p>
    <w:tbl>
      <w:tblPr>
        <w:tblStyle w:val="9"/>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7"/>
        <w:gridCol w:w="72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7" w:type="dxa"/>
          </w:tcPr>
          <w:p>
            <w:pPr>
              <w:pStyle w:val="14"/>
              <w:rPr>
                <w:lang w:eastAsia="zh-CN"/>
              </w:rPr>
            </w:pPr>
            <w:r>
              <w:rPr>
                <w:rFonts w:hint="eastAsia"/>
                <w:lang w:eastAsia="zh-CN"/>
              </w:rPr>
              <w:t>编号</w:t>
            </w:r>
          </w:p>
        </w:tc>
        <w:tc>
          <w:tcPr>
            <w:tcW w:w="7219" w:type="dxa"/>
          </w:tcPr>
          <w:p>
            <w:pPr>
              <w:pStyle w:val="14"/>
              <w:rPr>
                <w:lang w:eastAsia="zh-CN"/>
              </w:rPr>
            </w:pPr>
            <w:r>
              <w:rPr>
                <w:rFonts w:hint="eastAsia"/>
                <w:lang w:eastAsia="zh-CN"/>
              </w:rPr>
              <w:t>主题</w:t>
            </w:r>
            <w:r>
              <w:rPr>
                <w:rFonts w:hint="eastAsia"/>
                <w:lang w:val="en-US" w:eastAsia="zh-CN"/>
              </w:rPr>
              <w:t>／</w:t>
            </w:r>
            <w:r>
              <w:rPr>
                <w:rFonts w:hint="eastAsia"/>
                <w:lang w:eastAsia="zh-CN"/>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7" w:type="dxa"/>
          </w:tcPr>
          <w:p>
            <w:pPr>
              <w:pStyle w:val="15"/>
              <w:jc w:val="center"/>
            </w:pPr>
            <w:r>
              <w:rPr>
                <w:rFonts w:hint="eastAsia"/>
                <w:lang w:eastAsia="zh-CN"/>
              </w:rPr>
              <w:t>1</w:t>
            </w:r>
          </w:p>
        </w:tc>
        <w:tc>
          <w:tcPr>
            <w:tcW w:w="7219" w:type="dxa"/>
          </w:tcPr>
          <w:p>
            <w:pPr>
              <w:rPr>
                <w:rFonts w:ascii="Arial" w:hAnsi="Arial"/>
                <w:sz w:val="20"/>
                <w:szCs w:val="20"/>
              </w:rPr>
            </w:pPr>
            <w:r>
              <w:rPr>
                <w:rFonts w:hint="eastAsia" w:ascii="Arial" w:hAnsi="Arial"/>
                <w:sz w:val="20"/>
                <w:szCs w:val="20"/>
              </w:rPr>
              <w:t>异常测试发现的缺陷及相关用例补充。</w:t>
            </w:r>
          </w:p>
          <w:p>
            <w:pPr>
              <w:pStyle w:val="15"/>
              <w:numPr>
                <w:ilvl w:val="0"/>
                <w:numId w:val="4"/>
              </w:numPr>
              <w:spacing w:before="40" w:after="40" w:line="240" w:lineRule="auto"/>
              <w:rPr>
                <w:lang w:eastAsia="zh-CN"/>
              </w:rPr>
            </w:pPr>
            <w:r>
              <w:rPr>
                <w:rFonts w:hint="eastAsia"/>
                <w:lang w:eastAsia="zh-CN"/>
              </w:rPr>
              <w:t>对此类缺陷分析分类处理：</w:t>
            </w:r>
          </w:p>
          <w:p>
            <w:pPr>
              <w:pStyle w:val="15"/>
              <w:numPr>
                <w:ilvl w:val="7"/>
                <w:numId w:val="1"/>
              </w:numPr>
              <w:tabs>
                <w:tab w:val="clear" w:pos="4341"/>
              </w:tabs>
              <w:spacing w:before="40" w:after="40" w:line="240" w:lineRule="auto"/>
              <w:ind w:left="928"/>
              <w:rPr>
                <w:lang w:eastAsia="zh-CN"/>
              </w:rPr>
            </w:pPr>
            <w:r>
              <w:rPr>
                <w:rFonts w:hint="eastAsia"/>
                <w:lang w:eastAsia="zh-CN"/>
              </w:rPr>
              <w:t>由于测试人员经验局限或需求理解不到位等原因造成的用例遗漏，要求保留此类缺陷并补充相关用例。</w:t>
            </w:r>
          </w:p>
          <w:p>
            <w:pPr>
              <w:pStyle w:val="15"/>
              <w:numPr>
                <w:ilvl w:val="7"/>
                <w:numId w:val="1"/>
              </w:numPr>
              <w:tabs>
                <w:tab w:val="clear" w:pos="4341"/>
              </w:tabs>
              <w:spacing w:before="40" w:after="40" w:line="240" w:lineRule="auto"/>
              <w:ind w:left="928"/>
              <w:rPr>
                <w:lang w:eastAsia="zh-CN"/>
              </w:rPr>
            </w:pPr>
            <w:r>
              <w:rPr>
                <w:rFonts w:hint="eastAsia"/>
                <w:lang w:eastAsia="zh-CN"/>
              </w:rPr>
              <w:t>测试人员凭借对系统的熟悉或偶然发现的有价值缺陷，要求保留此类缺陷，尽量补充相关用例，或相关缺陷与需求关联。</w:t>
            </w:r>
          </w:p>
          <w:p>
            <w:pPr>
              <w:pStyle w:val="15"/>
              <w:numPr>
                <w:ilvl w:val="7"/>
                <w:numId w:val="1"/>
              </w:numPr>
              <w:tabs>
                <w:tab w:val="clear" w:pos="4341"/>
              </w:tabs>
              <w:spacing w:before="40" w:after="40" w:line="240" w:lineRule="auto"/>
              <w:ind w:left="928"/>
              <w:rPr>
                <w:lang w:eastAsia="zh-CN"/>
              </w:rPr>
            </w:pPr>
            <w:r>
              <w:rPr>
                <w:rFonts w:hint="eastAsia"/>
                <w:lang w:eastAsia="zh-CN"/>
              </w:rPr>
              <w:t>偶然发现的无价值缺陷，可以暂不处理。</w:t>
            </w:r>
          </w:p>
          <w:p>
            <w:pPr>
              <w:pStyle w:val="15"/>
              <w:numPr>
                <w:ilvl w:val="0"/>
                <w:numId w:val="4"/>
              </w:numPr>
              <w:spacing w:before="40" w:after="40" w:line="240" w:lineRule="auto"/>
              <w:rPr>
                <w:lang w:eastAsia="zh-CN"/>
              </w:rPr>
            </w:pPr>
            <w:r>
              <w:rPr>
                <w:rFonts w:hint="eastAsia"/>
                <w:lang w:eastAsia="zh-CN"/>
              </w:rPr>
              <w:t>各项目组日常做好异常测试发现缺陷的统计和分析。</w:t>
            </w:r>
          </w:p>
          <w:p>
            <w:pPr>
              <w:pStyle w:val="15"/>
              <w:numPr>
                <w:ilvl w:val="0"/>
                <w:numId w:val="4"/>
              </w:numPr>
              <w:spacing w:before="40" w:after="40" w:line="240" w:lineRule="auto"/>
              <w:rPr>
                <w:lang w:eastAsia="zh-CN"/>
              </w:rPr>
            </w:pPr>
            <w:r>
              <w:rPr>
                <w:rFonts w:hint="eastAsia"/>
                <w:lang w:eastAsia="zh-CN"/>
              </w:rPr>
              <w:t>每次发布前增加测试检查表，其中需要重点统计集成测试过程中偶发的有价值缺陷及生产缺陷，各项目组可自定义此检查表。</w:t>
            </w:r>
          </w:p>
          <w:p>
            <w:pPr>
              <w:pStyle w:val="15"/>
              <w:numPr>
                <w:ilvl w:val="0"/>
                <w:numId w:val="4"/>
              </w:numPr>
              <w:spacing w:before="40" w:after="40" w:line="240" w:lineRule="auto"/>
              <w:rPr>
                <w:lang w:eastAsia="zh-CN"/>
              </w:rPr>
            </w:pPr>
            <w:r>
              <w:rPr>
                <w:rFonts w:hint="eastAsia"/>
                <w:lang w:eastAsia="zh-CN"/>
              </w:rPr>
              <w:t>在集成测试上线前检查表中增加异常测试发现的缺陷及相关用例补充的检查。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7" w:type="dxa"/>
          </w:tcPr>
          <w:p>
            <w:pPr>
              <w:pStyle w:val="15"/>
              <w:jc w:val="center"/>
              <w:rPr>
                <w:lang w:eastAsia="zh-CN"/>
              </w:rPr>
            </w:pPr>
            <w:r>
              <w:rPr>
                <w:rFonts w:hint="eastAsia"/>
                <w:lang w:eastAsia="zh-CN"/>
              </w:rPr>
              <w:t>2</w:t>
            </w:r>
          </w:p>
        </w:tc>
        <w:tc>
          <w:tcPr>
            <w:tcW w:w="7219" w:type="dxa"/>
          </w:tcPr>
          <w:p>
            <w:pPr>
              <w:pStyle w:val="15"/>
              <w:spacing w:before="156" w:after="156"/>
              <w:rPr>
                <w:lang w:eastAsia="zh-CN"/>
              </w:rPr>
            </w:pPr>
            <w:r>
              <w:rPr>
                <w:rFonts w:hint="eastAsia"/>
                <w:lang w:eastAsia="zh-CN"/>
              </w:rPr>
              <w:t>安全用例需要在放入回归案例库中，并且加入自动化用例中。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7" w:type="dxa"/>
          </w:tcPr>
          <w:p>
            <w:pPr>
              <w:pStyle w:val="15"/>
              <w:jc w:val="center"/>
              <w:rPr>
                <w:lang w:eastAsia="zh-CN"/>
              </w:rPr>
            </w:pPr>
            <w:r>
              <w:rPr>
                <w:rFonts w:hint="eastAsia"/>
                <w:lang w:eastAsia="zh-CN"/>
              </w:rPr>
              <w:t>3</w:t>
            </w:r>
          </w:p>
        </w:tc>
        <w:tc>
          <w:tcPr>
            <w:tcW w:w="7219" w:type="dxa"/>
          </w:tcPr>
          <w:p>
            <w:pPr>
              <w:pStyle w:val="15"/>
              <w:spacing w:before="156" w:after="156"/>
              <w:rPr>
                <w:szCs w:val="18"/>
                <w:lang w:eastAsia="zh-CN"/>
              </w:rPr>
            </w:pPr>
            <w:r>
              <w:rPr>
                <w:rFonts w:hint="eastAsia"/>
                <w:szCs w:val="18"/>
                <w:lang w:eastAsia="zh-CN"/>
              </w:rPr>
              <w:t>项目管理注意事项</w:t>
            </w:r>
          </w:p>
          <w:p>
            <w:pPr>
              <w:pStyle w:val="15"/>
              <w:spacing w:before="156" w:after="156"/>
              <w:rPr>
                <w:lang w:eastAsia="zh-CN"/>
              </w:rPr>
            </w:pPr>
            <w:r>
              <w:rPr>
                <w:rFonts w:hint="eastAsia"/>
                <w:szCs w:val="18"/>
                <w:lang w:eastAsia="zh-CN"/>
              </w:rPr>
              <w:t>1.</w:t>
            </w:r>
            <w:r>
              <w:rPr>
                <w:rFonts w:hint="eastAsia"/>
                <w:lang w:eastAsia="zh-CN"/>
              </w:rPr>
              <w:t>常规和紧急版本，需会议评审并邮件确认回归测试范围和受影响范围；</w:t>
            </w:r>
          </w:p>
          <w:p>
            <w:pPr>
              <w:pStyle w:val="15"/>
              <w:spacing w:before="156" w:after="156"/>
              <w:rPr>
                <w:lang w:eastAsia="zh-CN"/>
              </w:rPr>
            </w:pPr>
            <w:r>
              <w:rPr>
                <w:rFonts w:hint="eastAsia"/>
                <w:lang w:eastAsia="zh-CN"/>
              </w:rPr>
              <w:t>2. 联调测试需提前与关联系统沟通；</w:t>
            </w:r>
          </w:p>
          <w:p>
            <w:pPr>
              <w:pStyle w:val="15"/>
              <w:spacing w:before="156" w:after="156"/>
              <w:rPr>
                <w:lang w:eastAsia="zh-CN"/>
              </w:rPr>
            </w:pPr>
            <w:r>
              <w:rPr>
                <w:rFonts w:hint="eastAsia"/>
                <w:lang w:eastAsia="zh-CN"/>
              </w:rPr>
              <w:t>3. 工单集成测试报告需及时上传W</w:t>
            </w:r>
            <w:r>
              <w:rPr>
                <w:lang w:eastAsia="zh-CN"/>
              </w:rPr>
              <w:t>IKI</w:t>
            </w:r>
            <w:r>
              <w:rPr>
                <w:rFonts w:hint="eastAsia"/>
                <w:lang w:eastAsia="zh-CN"/>
              </w:rPr>
              <w:t>，最晚不超过发布后3个工作日</w:t>
            </w:r>
          </w:p>
          <w:p>
            <w:pPr>
              <w:pStyle w:val="15"/>
              <w:spacing w:before="156" w:after="156"/>
              <w:rPr>
                <w:lang w:eastAsia="zh-CN"/>
              </w:rPr>
            </w:pPr>
            <w:r>
              <w:rPr>
                <w:rFonts w:hint="eastAsia"/>
                <w:lang w:eastAsia="zh-CN"/>
              </w:rPr>
              <w:t>4. 测试报告中的统计数据必须与O</w:t>
            </w:r>
            <w:r>
              <w:rPr>
                <w:lang w:eastAsia="zh-CN"/>
              </w:rPr>
              <w:t>NES</w:t>
            </w:r>
            <w:r>
              <w:rPr>
                <w:rFonts w:hint="eastAsia"/>
                <w:lang w:eastAsia="zh-CN"/>
              </w:rPr>
              <w:t>对应。</w:t>
            </w:r>
          </w:p>
          <w:p>
            <w:r>
              <w:rPr>
                <w:rFonts w:hint="eastAsia" w:ascii="Arial" w:hAnsi="Arial"/>
                <w:sz w:val="20"/>
                <w:szCs w:val="20"/>
              </w:rPr>
              <w:t>5. 发包方式？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7" w:type="dxa"/>
          </w:tcPr>
          <w:p>
            <w:pPr>
              <w:pStyle w:val="15"/>
              <w:jc w:val="center"/>
              <w:rPr>
                <w:lang w:eastAsia="zh-CN"/>
              </w:rPr>
            </w:pPr>
            <w:r>
              <w:rPr>
                <w:rFonts w:hint="eastAsia"/>
                <w:lang w:eastAsia="zh-CN"/>
              </w:rPr>
              <w:t>4</w:t>
            </w:r>
          </w:p>
        </w:tc>
        <w:tc>
          <w:tcPr>
            <w:tcW w:w="7219" w:type="dxa"/>
          </w:tcPr>
          <w:p>
            <w:pPr>
              <w:pStyle w:val="15"/>
              <w:spacing w:before="156" w:after="156"/>
              <w:rPr>
                <w:szCs w:val="18"/>
                <w:lang w:eastAsia="zh-CN"/>
              </w:rPr>
            </w:pPr>
            <w:r>
              <w:rPr>
                <w:rFonts w:hint="eastAsia"/>
                <w:szCs w:val="18"/>
                <w:lang w:eastAsia="zh-CN"/>
              </w:rPr>
              <w:t>关于测试技术规范宣导</w:t>
            </w:r>
          </w:p>
          <w:p>
            <w:pPr>
              <w:pStyle w:val="15"/>
              <w:spacing w:before="156" w:after="156"/>
              <w:rPr>
                <w:szCs w:val="18"/>
                <w:lang w:eastAsia="zh-CN"/>
              </w:rPr>
            </w:pPr>
            <w:r>
              <w:rPr>
                <w:rFonts w:hint="eastAsia"/>
                <w:szCs w:val="18"/>
                <w:lang w:eastAsia="zh-CN"/>
              </w:rPr>
              <w:t>1.测试申请单格式明确，需与开发宣导。</w:t>
            </w:r>
          </w:p>
          <w:p>
            <w:pPr>
              <w:pStyle w:val="15"/>
              <w:spacing w:before="156" w:after="156"/>
              <w:rPr>
                <w:szCs w:val="18"/>
                <w:lang w:eastAsia="zh-CN"/>
              </w:rPr>
            </w:pPr>
            <w:r>
              <w:rPr>
                <w:rFonts w:hint="eastAsia"/>
                <w:szCs w:val="18"/>
                <w:lang w:eastAsia="zh-CN"/>
              </w:rPr>
              <w:t>2.确认重点项目都有独立的测试环境并与生产一致。</w:t>
            </w:r>
          </w:p>
          <w:p>
            <w:pPr>
              <w:pStyle w:val="15"/>
              <w:spacing w:before="156" w:after="156"/>
              <w:rPr>
                <w:szCs w:val="18"/>
                <w:lang w:eastAsia="zh-CN"/>
              </w:rPr>
            </w:pPr>
            <w:r>
              <w:rPr>
                <w:rFonts w:hint="eastAsia"/>
                <w:szCs w:val="18"/>
                <w:lang w:eastAsia="zh-CN"/>
              </w:rPr>
              <w:t>3.明确黑盒测试范围及测试方式：</w:t>
            </w:r>
          </w:p>
          <w:p>
            <w:pPr>
              <w:pStyle w:val="15"/>
              <w:spacing w:before="156" w:after="156"/>
              <w:rPr>
                <w:szCs w:val="18"/>
                <w:lang w:eastAsia="zh-CN"/>
              </w:rPr>
            </w:pPr>
            <w:r>
              <w:rPr>
                <w:rFonts w:hint="eastAsia"/>
                <w:szCs w:val="18"/>
                <w:lang w:eastAsia="zh-CN"/>
              </w:rPr>
              <w:t xml:space="preserve">     1）数据类无界面系统，根据业务需求，可采用数据库验证方式；</w:t>
            </w:r>
          </w:p>
          <w:p>
            <w:pPr>
              <w:pStyle w:val="15"/>
              <w:spacing w:before="156" w:after="156"/>
              <w:rPr>
                <w:szCs w:val="18"/>
                <w:lang w:eastAsia="zh-CN"/>
              </w:rPr>
            </w:pPr>
            <w:r>
              <w:rPr>
                <w:rFonts w:hint="eastAsia"/>
                <w:szCs w:val="18"/>
                <w:lang w:eastAsia="zh-CN"/>
              </w:rPr>
              <w:t xml:space="preserve">     2）界面类系统，按界面测试，接口类测试可至关联系统的界面检查；</w:t>
            </w:r>
          </w:p>
          <w:p>
            <w:pPr>
              <w:pStyle w:val="15"/>
              <w:spacing w:before="156" w:after="156"/>
              <w:rPr>
                <w:szCs w:val="18"/>
                <w:lang w:eastAsia="zh-CN"/>
              </w:rPr>
            </w:pPr>
            <w:r>
              <w:rPr>
                <w:rFonts w:hint="eastAsia"/>
                <w:szCs w:val="18"/>
                <w:lang w:eastAsia="zh-CN"/>
              </w:rPr>
              <w:t xml:space="preserve">     3）界面类系统，如在本系统和接口方系统都无法实现界面测试，则该案例为集成测试不可测，属于单元测试范畴。</w:t>
            </w:r>
          </w:p>
          <w:p>
            <w:pPr>
              <w:pStyle w:val="15"/>
              <w:spacing w:before="156" w:after="156"/>
              <w:rPr>
                <w:szCs w:val="18"/>
                <w:lang w:eastAsia="zh-CN"/>
              </w:rPr>
            </w:pPr>
            <w:r>
              <w:rPr>
                <w:rFonts w:hint="eastAsia"/>
                <w:szCs w:val="18"/>
                <w:lang w:eastAsia="zh-CN"/>
              </w:rPr>
              <w:t>4. 重申测试注意点：</w:t>
            </w:r>
          </w:p>
          <w:p>
            <w:pPr>
              <w:pStyle w:val="15"/>
              <w:spacing w:before="156" w:after="156"/>
              <w:ind w:firstLine="180"/>
              <w:rPr>
                <w:szCs w:val="18"/>
                <w:lang w:eastAsia="zh-CN"/>
              </w:rPr>
            </w:pPr>
            <w:r>
              <w:rPr>
                <w:rFonts w:hint="eastAsia"/>
                <w:szCs w:val="18"/>
                <w:lang w:eastAsia="zh-CN"/>
              </w:rPr>
              <w:t>1）准入明确，严格执行准入标准；</w:t>
            </w:r>
          </w:p>
          <w:p>
            <w:pPr>
              <w:pStyle w:val="15"/>
              <w:spacing w:before="156" w:after="156"/>
              <w:ind w:firstLine="180"/>
              <w:rPr>
                <w:szCs w:val="18"/>
                <w:lang w:eastAsia="zh-CN"/>
              </w:rPr>
            </w:pPr>
            <w:r>
              <w:rPr>
                <w:rFonts w:hint="eastAsia"/>
                <w:szCs w:val="18"/>
                <w:lang w:eastAsia="zh-CN"/>
              </w:rPr>
              <w:t>2）需求明确，加强需求评审，不符合准入应及时打回；</w:t>
            </w:r>
          </w:p>
          <w:p>
            <w:pPr>
              <w:pStyle w:val="15"/>
              <w:spacing w:before="156" w:after="156"/>
              <w:ind w:firstLine="180"/>
              <w:rPr>
                <w:szCs w:val="18"/>
                <w:lang w:eastAsia="zh-CN"/>
              </w:rPr>
            </w:pPr>
            <w:r>
              <w:rPr>
                <w:rFonts w:hint="eastAsia"/>
                <w:szCs w:val="18"/>
                <w:lang w:eastAsia="zh-CN"/>
              </w:rPr>
              <w:t>3）职责明确，明确集成测试范围，集成测试应符合黑盒测试标准。</w:t>
            </w:r>
          </w:p>
          <w:p>
            <w:pPr>
              <w:pStyle w:val="15"/>
              <w:spacing w:before="156" w:after="156"/>
              <w:rPr>
                <w:szCs w:val="18"/>
                <w:lang w:eastAsia="zh-CN"/>
              </w:rPr>
            </w:pPr>
            <w:r>
              <w:rPr>
                <w:rFonts w:hint="eastAsia"/>
                <w:szCs w:val="18"/>
                <w:lang w:eastAsia="zh-CN"/>
              </w:rPr>
              <w:t>5. 明确回归测试范围：5个重点项目的回归测试，自动化测试100%回归，手工测试回归范围需与开发等多方开会评审，要有评审记录。</w:t>
            </w:r>
          </w:p>
          <w:p>
            <w:r>
              <w:rPr>
                <w:rFonts w:hint="eastAsia"/>
                <w:szCs w:val="18"/>
              </w:rPr>
              <w:t>6. 明确联调测试的重要性，多系统联调时牵头项目需主动进行系统间协调，下游系统应做好其下游系统的联调。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7" w:type="dxa"/>
          </w:tcPr>
          <w:p>
            <w:pPr>
              <w:pStyle w:val="15"/>
              <w:jc w:val="center"/>
              <w:rPr>
                <w:lang w:eastAsia="zh-CN"/>
              </w:rPr>
            </w:pPr>
            <w:r>
              <w:rPr>
                <w:rFonts w:hint="eastAsia"/>
                <w:lang w:eastAsia="zh-CN"/>
              </w:rPr>
              <w:t>6</w:t>
            </w:r>
          </w:p>
        </w:tc>
        <w:tc>
          <w:tcPr>
            <w:tcW w:w="7219" w:type="dxa"/>
          </w:tcPr>
          <w:p>
            <w:pPr>
              <w:pStyle w:val="15"/>
              <w:spacing w:before="156" w:after="156"/>
              <w:rPr>
                <w:szCs w:val="18"/>
                <w:lang w:eastAsia="zh-CN"/>
              </w:rPr>
            </w:pPr>
            <w:r>
              <w:rPr>
                <w:rFonts w:hint="eastAsia"/>
                <w:szCs w:val="18"/>
                <w:lang w:eastAsia="zh-CN"/>
              </w:rPr>
              <w:t>集成测试用例设计指南：</w:t>
            </w:r>
            <w:r>
              <w:rPr>
                <w:szCs w:val="18"/>
                <w:lang w:eastAsia="zh-CN"/>
              </w:rPr>
              <w:t xml:space="preserve"> </w:t>
            </w:r>
            <w:bookmarkStart w:id="7" w:name="_MON_1732549809"/>
            <w:bookmarkEnd w:id="7"/>
            <w:r>
              <w:rPr>
                <w:szCs w:val="18"/>
                <w:lang w:eastAsia="zh-CN"/>
              </w:rPr>
              <w:object>
                <v:shape id="_x0000_i1029" o:spt="75" type="#_x0000_t75" style="height:52.5pt;width:75.75pt;" o:ole="t" filled="f" o:preferrelative="t" stroked="f" coordsize="21600,21600">
                  <v:path/>
                  <v:fill on="f" focussize="0,0"/>
                  <v:stroke on="f" joinstyle="miter"/>
                  <v:imagedata r:id="rId11" o:title=""/>
                  <o:lock v:ext="edit" aspectratio="t"/>
                  <w10:wrap type="none"/>
                  <w10:anchorlock/>
                </v:shape>
                <o:OLEObject Type="Embed" ProgID="Word.Document.12" ShapeID="_x0000_i1029" DrawAspect="Icon" ObjectID="_1468075728" r:id="rId10">
                  <o:LockedField>false</o:LockedField>
                </o:OLEObject>
              </w:object>
            </w:r>
          </w:p>
        </w:tc>
      </w:tr>
    </w:tbl>
    <w:p/>
    <w:p>
      <w:pPr>
        <w:pStyle w:val="2"/>
        <w:numPr>
          <w:ilvl w:val="0"/>
          <w:numId w:val="3"/>
        </w:numPr>
        <w:rPr>
          <w:lang w:val="zh-CN"/>
        </w:rPr>
      </w:pPr>
      <w:bookmarkStart w:id="8" w:name="_Toc414008091"/>
      <w:bookmarkStart w:id="9" w:name="_Toc414007315"/>
      <w:r>
        <w:rPr>
          <w:rFonts w:hint="eastAsia"/>
          <w:lang w:val="zh-CN"/>
        </w:rPr>
        <w:t>历次生产问题回顾</w:t>
      </w:r>
      <w:bookmarkEnd w:id="8"/>
      <w:bookmarkEnd w:id="9"/>
    </w:p>
    <w:tbl>
      <w:tblPr>
        <w:tblStyle w:val="9"/>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8"/>
        <w:gridCol w:w="7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8" w:type="dxa"/>
          </w:tcPr>
          <w:p>
            <w:pPr>
              <w:pStyle w:val="14"/>
              <w:rPr>
                <w:lang w:eastAsia="zh-CN"/>
              </w:rPr>
            </w:pPr>
            <w:r>
              <w:rPr>
                <w:rFonts w:hint="eastAsia"/>
                <w:lang w:eastAsia="zh-CN"/>
              </w:rPr>
              <w:t>编号</w:t>
            </w:r>
          </w:p>
        </w:tc>
        <w:tc>
          <w:tcPr>
            <w:tcW w:w="7218" w:type="dxa"/>
          </w:tcPr>
          <w:p>
            <w:pPr>
              <w:pStyle w:val="14"/>
              <w:rPr>
                <w:lang w:eastAsia="zh-CN"/>
              </w:rPr>
            </w:pPr>
            <w:r>
              <w:rPr>
                <w:rFonts w:hint="eastAsia"/>
                <w:lang w:eastAsia="zh-CN"/>
              </w:rPr>
              <w:t>主题</w:t>
            </w:r>
            <w:r>
              <w:rPr>
                <w:rFonts w:hint="eastAsia"/>
                <w:lang w:val="en-US" w:eastAsia="zh-CN"/>
              </w:rPr>
              <w:t>／</w:t>
            </w:r>
            <w:r>
              <w:rPr>
                <w:rFonts w:hint="eastAsia"/>
                <w:lang w:eastAsia="zh-CN"/>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8" w:type="dxa"/>
          </w:tcPr>
          <w:p>
            <w:pPr>
              <w:jc w:val="center"/>
            </w:pPr>
            <w:r>
              <w:rPr>
                <w:rFonts w:hint="eastAsia"/>
              </w:rPr>
              <w:t>1</w:t>
            </w:r>
          </w:p>
        </w:tc>
        <w:tc>
          <w:tcPr>
            <w:tcW w:w="7218" w:type="dxa"/>
          </w:tcPr>
          <w:p>
            <w:pPr>
              <w:pStyle w:val="15"/>
              <w:spacing w:before="156" w:after="156"/>
              <w:rPr>
                <w:lang w:eastAsia="zh-CN"/>
              </w:rPr>
            </w:pPr>
            <w:r>
              <w:rPr>
                <w:rFonts w:hint="eastAsia"/>
                <w:lang w:eastAsia="zh-CN"/>
              </w:rPr>
              <w:t>20</w:t>
            </w:r>
            <w:r>
              <w:rPr>
                <w:lang w:eastAsia="zh-CN"/>
              </w:rPr>
              <w:t>221213</w:t>
            </w:r>
            <w:r>
              <w:rPr>
                <w:rFonts w:hint="eastAsia"/>
                <w:lang w:eastAsia="zh-CN"/>
              </w:rPr>
              <w:t>针对X</w:t>
            </w:r>
            <w:r>
              <w:rPr>
                <w:lang w:eastAsia="zh-CN"/>
              </w:rPr>
              <w:t>X</w:t>
            </w:r>
            <w:r>
              <w:rPr>
                <w:rFonts w:hint="eastAsia"/>
                <w:lang w:eastAsia="zh-CN"/>
              </w:rPr>
              <w:t>生产问题分析的测试规范：</w:t>
            </w:r>
          </w:p>
          <w:p>
            <w:pPr>
              <w:pStyle w:val="15"/>
              <w:numPr>
                <w:ilvl w:val="0"/>
                <w:numId w:val="5"/>
              </w:numPr>
              <w:spacing w:before="156" w:after="156" w:line="240" w:lineRule="auto"/>
              <w:rPr>
                <w:lang w:eastAsia="zh-CN"/>
              </w:rPr>
            </w:pPr>
            <w:r>
              <w:rPr>
                <w:rFonts w:hint="eastAsia"/>
                <w:lang w:eastAsia="zh-CN"/>
              </w:rPr>
              <w:t>测试环境需以生产环境为准，尽可能模拟；如测试环境存在问题时得出的测试报告也必须按照实际测试结果进行报告结论定义；</w:t>
            </w:r>
          </w:p>
          <w:p>
            <w:pPr>
              <w:pStyle w:val="15"/>
              <w:numPr>
                <w:ilvl w:val="0"/>
                <w:numId w:val="5"/>
              </w:numPr>
              <w:spacing w:before="156" w:after="156" w:line="240" w:lineRule="auto"/>
              <w:rPr>
                <w:lang w:eastAsia="zh-CN"/>
              </w:rPr>
            </w:pPr>
            <w:r>
              <w:rPr>
                <w:rFonts w:hint="eastAsia"/>
                <w:lang w:eastAsia="zh-CN"/>
              </w:rPr>
              <w:t>功能区所有项目测试结论定义原则：遗留2级以上（含2级）的缺陷则测试不通过；如只遗留2级、3级缺陷，且业务部门和开发部门明确邮件回复接收风险，则可以写测试通过。</w:t>
            </w:r>
          </w:p>
          <w:p>
            <w:pPr>
              <w:pStyle w:val="15"/>
              <w:numPr>
                <w:ilvl w:val="0"/>
                <w:numId w:val="5"/>
              </w:numPr>
              <w:spacing w:before="156" w:after="156" w:line="240" w:lineRule="auto"/>
              <w:rPr>
                <w:lang w:eastAsia="zh-CN"/>
              </w:rPr>
            </w:pPr>
            <w:r>
              <w:rPr>
                <w:rFonts w:hint="eastAsia"/>
                <w:lang w:eastAsia="zh-CN"/>
              </w:rPr>
              <w:t>测试在开展测试工作时，需确认测试范围，且必须是各方都明确确认的；测试执行中的测试内容以提交测试版本为准，而非提交的测试工单，如提交版本内容与确认的测试范围存在差异，需向业务及开发明确，且调整完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8" w:type="dxa"/>
          </w:tcPr>
          <w:p>
            <w:pPr>
              <w:jc w:val="center"/>
            </w:pPr>
            <w:r>
              <w:rPr>
                <w:rFonts w:hint="eastAsia"/>
              </w:rPr>
              <w:t>2</w:t>
            </w:r>
          </w:p>
        </w:tc>
        <w:tc>
          <w:tcPr>
            <w:tcW w:w="7218" w:type="dxa"/>
          </w:tcPr>
          <w:p>
            <w:pPr>
              <w:pStyle w:val="15"/>
              <w:spacing w:before="156" w:after="156"/>
              <w:rPr>
                <w:color w:val="000000"/>
                <w:szCs w:val="18"/>
                <w:lang w:eastAsia="zh-CN"/>
              </w:rPr>
            </w:pPr>
            <w:r>
              <w:rPr>
                <w:rFonts w:hint="eastAsia"/>
                <w:color w:val="000000"/>
                <w:szCs w:val="18"/>
                <w:lang w:eastAsia="zh-CN"/>
              </w:rPr>
              <w:t>生产缺陷案例分享</w:t>
            </w:r>
          </w:p>
          <w:p>
            <w:pPr>
              <w:pStyle w:val="15"/>
              <w:spacing w:before="156" w:after="156"/>
              <w:rPr>
                <w:color w:val="000000"/>
                <w:szCs w:val="18"/>
                <w:lang w:eastAsia="zh-CN"/>
              </w:rPr>
            </w:pPr>
            <w:r>
              <w:rPr>
                <w:rFonts w:hint="eastAsia"/>
                <w:color w:val="000000"/>
                <w:szCs w:val="18"/>
                <w:lang w:eastAsia="zh-CN"/>
              </w:rPr>
              <w:t>1）责任意识：勇于承担过错，从中吸取经验教训，改进工作规范和方法；</w:t>
            </w:r>
          </w:p>
          <w:p>
            <w:pPr>
              <w:pStyle w:val="15"/>
              <w:spacing w:before="156" w:after="156"/>
              <w:rPr>
                <w:color w:val="000000"/>
                <w:szCs w:val="18"/>
                <w:lang w:eastAsia="zh-CN"/>
              </w:rPr>
            </w:pPr>
            <w:r>
              <w:rPr>
                <w:rFonts w:hint="eastAsia"/>
                <w:color w:val="000000"/>
                <w:szCs w:val="18"/>
                <w:lang w:eastAsia="zh-CN"/>
              </w:rPr>
              <w:t>2）集成测试的价值：明确SIT测试范围，关联系统的联调测试很重要；</w:t>
            </w:r>
          </w:p>
          <w:p>
            <w:pPr>
              <w:pStyle w:val="15"/>
              <w:spacing w:before="156" w:after="156"/>
              <w:rPr>
                <w:color w:val="000000"/>
                <w:szCs w:val="18"/>
                <w:lang w:eastAsia="zh-CN"/>
              </w:rPr>
            </w:pPr>
            <w:r>
              <w:rPr>
                <w:rFonts w:hint="eastAsia"/>
                <w:color w:val="000000"/>
                <w:szCs w:val="18"/>
                <w:lang w:eastAsia="zh-CN"/>
              </w:rPr>
              <w:t>3）打破思维定式：拓展测试思路，尽可能避免测试遗漏</w:t>
            </w:r>
          </w:p>
          <w:p>
            <w:pPr>
              <w:pStyle w:val="15"/>
              <w:spacing w:before="156" w:after="156"/>
              <w:rPr>
                <w:color w:val="000000"/>
                <w:szCs w:val="18"/>
                <w:lang w:eastAsia="zh-CN"/>
              </w:rPr>
            </w:pPr>
            <w:r>
              <w:rPr>
                <w:rFonts w:hint="eastAsia"/>
                <w:color w:val="000000"/>
                <w:szCs w:val="18"/>
                <w:lang w:eastAsia="zh-CN"/>
              </w:rPr>
              <w:t>4）案例执行真实性：案例实际执行情况与o</w:t>
            </w:r>
            <w:r>
              <w:rPr>
                <w:color w:val="000000"/>
                <w:szCs w:val="18"/>
                <w:lang w:eastAsia="zh-CN"/>
              </w:rPr>
              <w:t>nes</w:t>
            </w:r>
            <w:r>
              <w:rPr>
                <w:rFonts w:hint="eastAsia"/>
                <w:color w:val="000000"/>
                <w:szCs w:val="18"/>
                <w:lang w:eastAsia="zh-CN"/>
              </w:rPr>
              <w:t>保持一致（功能区进行抽查）</w:t>
            </w:r>
          </w:p>
          <w:p>
            <w:pPr>
              <w:pStyle w:val="15"/>
              <w:spacing w:before="156" w:after="156"/>
              <w:rPr>
                <w:color w:val="000000"/>
                <w:szCs w:val="18"/>
                <w:lang w:eastAsia="zh-CN"/>
              </w:rPr>
            </w:pPr>
            <w:r>
              <w:rPr>
                <w:rFonts w:hint="eastAsia"/>
                <w:color w:val="000000"/>
                <w:szCs w:val="18"/>
                <w:lang w:eastAsia="zh-CN"/>
              </w:rPr>
              <w:t>5）测试关注点：关注系统内部各模块、接口、数据传递、关联系统接口测试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78" w:type="dxa"/>
          </w:tcPr>
          <w:p>
            <w:pPr>
              <w:jc w:val="center"/>
            </w:pPr>
            <w:r>
              <w:rPr>
                <w:rFonts w:hint="eastAsia"/>
              </w:rPr>
              <w:t>3</w:t>
            </w:r>
          </w:p>
        </w:tc>
        <w:tc>
          <w:tcPr>
            <w:tcW w:w="7218" w:type="dxa"/>
          </w:tcPr>
          <w:p>
            <w:pPr>
              <w:pStyle w:val="15"/>
              <w:spacing w:before="156" w:after="156"/>
              <w:rPr>
                <w:color w:val="000000"/>
                <w:szCs w:val="18"/>
                <w:lang w:eastAsia="zh-CN"/>
              </w:rPr>
            </w:pPr>
            <w:r>
              <w:rPr>
                <w:rFonts w:hint="eastAsia"/>
                <w:color w:val="000000"/>
                <w:szCs w:val="18"/>
                <w:lang w:eastAsia="zh-CN"/>
              </w:rPr>
              <w:t>生产缺陷案例分享</w:t>
            </w:r>
          </w:p>
          <w:p>
            <w:pPr>
              <w:pStyle w:val="15"/>
              <w:numPr>
                <w:ilvl w:val="0"/>
                <w:numId w:val="6"/>
              </w:numPr>
              <w:spacing w:before="156" w:after="156" w:line="240" w:lineRule="auto"/>
              <w:rPr>
                <w:color w:val="000000"/>
                <w:szCs w:val="18"/>
                <w:lang w:eastAsia="zh-CN"/>
              </w:rPr>
            </w:pPr>
            <w:r>
              <w:rPr>
                <w:rFonts w:hint="eastAsia"/>
                <w:color w:val="000000"/>
                <w:szCs w:val="18"/>
                <w:lang w:eastAsia="zh-CN"/>
              </w:rPr>
              <w:t>测试点分析要充分，测试案例覆盖率要达100%；测试案例要完整执行，对于案例执行结果要进行明确记录，并在测试测试完成时做统计检查。</w:t>
            </w:r>
          </w:p>
          <w:p>
            <w:pPr>
              <w:pStyle w:val="15"/>
              <w:numPr>
                <w:ilvl w:val="0"/>
                <w:numId w:val="6"/>
              </w:numPr>
              <w:spacing w:before="156" w:after="156" w:line="240" w:lineRule="auto"/>
              <w:rPr>
                <w:color w:val="000000"/>
                <w:szCs w:val="18"/>
                <w:lang w:eastAsia="zh-CN"/>
              </w:rPr>
            </w:pPr>
            <w:r>
              <w:rPr>
                <w:rFonts w:hint="eastAsia"/>
                <w:color w:val="000000"/>
                <w:szCs w:val="18"/>
                <w:lang w:eastAsia="zh-CN"/>
              </w:rPr>
              <w:t>测试执行中，对问题的判断和分析要明确；对于存在疑惑的内容，需要进一步了解，最终彻底明白，并做进一步验证。</w:t>
            </w:r>
          </w:p>
          <w:p>
            <w:pPr>
              <w:pStyle w:val="15"/>
              <w:numPr>
                <w:ilvl w:val="0"/>
                <w:numId w:val="6"/>
              </w:numPr>
              <w:spacing w:before="156" w:after="156" w:line="240" w:lineRule="auto"/>
              <w:rPr>
                <w:color w:val="000000"/>
                <w:szCs w:val="18"/>
                <w:lang w:eastAsia="zh-CN"/>
              </w:rPr>
            </w:pPr>
            <w:r>
              <w:rPr>
                <w:rFonts w:hint="eastAsia"/>
                <w:color w:val="000000"/>
                <w:szCs w:val="18"/>
                <w:lang w:eastAsia="zh-CN"/>
              </w:rPr>
              <w:t>对于协助测试和联调测试，需要明确要求，并进行最终结果检查；特别在集成环境无法测试，需要开发团队或别的小组执行相关案例时，测试案例要明确，测试过程和结果要确认。</w:t>
            </w:r>
          </w:p>
          <w:p>
            <w:pPr>
              <w:pStyle w:val="15"/>
              <w:numPr>
                <w:ilvl w:val="0"/>
                <w:numId w:val="6"/>
              </w:numPr>
              <w:spacing w:before="156" w:after="156" w:line="240" w:lineRule="auto"/>
              <w:rPr>
                <w:color w:val="000000"/>
                <w:szCs w:val="18"/>
                <w:lang w:eastAsia="zh-CN"/>
              </w:rPr>
            </w:pPr>
            <w:r>
              <w:rPr>
                <w:rFonts w:hint="eastAsia"/>
                <w:color w:val="000000"/>
                <w:szCs w:val="18"/>
                <w:lang w:eastAsia="zh-CN"/>
              </w:rPr>
              <w:t>版本回归测试范围要进行评审确认，对于各个版本的回归测试范围不可随意变更，或根据各种原因压缩或裁减回归测试范围。</w:t>
            </w:r>
          </w:p>
          <w:p>
            <w:pPr>
              <w:pStyle w:val="15"/>
              <w:numPr>
                <w:ilvl w:val="0"/>
                <w:numId w:val="6"/>
              </w:numPr>
              <w:spacing w:before="156" w:after="156" w:line="240" w:lineRule="auto"/>
              <w:rPr>
                <w:lang w:eastAsia="zh-CN"/>
              </w:rPr>
            </w:pPr>
            <w:r>
              <w:rPr>
                <w:rFonts w:hint="eastAsia"/>
                <w:color w:val="000000"/>
                <w:szCs w:val="18"/>
                <w:lang w:eastAsia="zh-CN"/>
              </w:rPr>
              <w:t>测试组长需要担当测试需求分析，对于工单需求内容进行测试和评估，指导测试人员进行测试案例设计。</w:t>
            </w:r>
          </w:p>
          <w:p>
            <w:pPr>
              <w:pStyle w:val="15"/>
              <w:numPr>
                <w:ilvl w:val="0"/>
                <w:numId w:val="6"/>
              </w:numPr>
              <w:spacing w:before="156" w:after="156" w:line="240" w:lineRule="auto"/>
              <w:rPr>
                <w:lang w:eastAsia="zh-CN"/>
              </w:rPr>
            </w:pPr>
            <w:r>
              <w:rPr>
                <w:rFonts w:hint="eastAsia"/>
                <w:color w:val="000000"/>
                <w:szCs w:val="18"/>
                <w:lang w:eastAsia="zh-CN"/>
              </w:rPr>
              <w:t>系统中重复的功能和功能替换或迁移时，需要技术人员评估测试点和测试范围；最终根据修改方案进行测试用例设计。</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utura Bk">
    <w:altName w:val="Arial"/>
    <w:panose1 w:val="00000000000000000000"/>
    <w:charset w:val="00"/>
    <w:family w:val="swiss"/>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92E"/>
    <w:multiLevelType w:val="multilevel"/>
    <w:tmpl w:val="04C5392E"/>
    <w:lvl w:ilvl="0" w:tentative="0">
      <w:start w:val="1"/>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BDD557F"/>
    <w:multiLevelType w:val="multilevel"/>
    <w:tmpl w:val="0BDD55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3763B50"/>
    <w:multiLevelType w:val="multilevel"/>
    <w:tmpl w:val="43763B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F5041E"/>
    <w:multiLevelType w:val="multilevel"/>
    <w:tmpl w:val="45F504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6F41D14"/>
    <w:multiLevelType w:val="multilevel"/>
    <w:tmpl w:val="56F41D1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8804DFB"/>
    <w:multiLevelType w:val="multilevel"/>
    <w:tmpl w:val="68804DFB"/>
    <w:lvl w:ilvl="0" w:tentative="0">
      <w:start w:val="1"/>
      <w:numFmt w:val="decimal"/>
      <w:pStyle w:val="16"/>
      <w:lvlText w:val="%1."/>
      <w:lvlJc w:val="left"/>
      <w:pPr>
        <w:tabs>
          <w:tab w:val="left" w:pos="3773"/>
        </w:tabs>
        <w:ind w:left="3773" w:hanging="360"/>
      </w:pPr>
    </w:lvl>
    <w:lvl w:ilvl="1" w:tentative="0">
      <w:start w:val="1"/>
      <w:numFmt w:val="decimal"/>
      <w:pStyle w:val="17"/>
      <w:lvlText w:val="%1.%2."/>
      <w:lvlJc w:val="left"/>
      <w:pPr>
        <w:tabs>
          <w:tab w:val="left" w:pos="4493"/>
        </w:tabs>
        <w:ind w:left="4133" w:hanging="360"/>
      </w:pPr>
    </w:lvl>
    <w:lvl w:ilvl="2" w:tentative="0">
      <w:start w:val="1"/>
      <w:numFmt w:val="decimal"/>
      <w:pStyle w:val="18"/>
      <w:lvlText w:val="%1.%2.%3."/>
      <w:lvlJc w:val="left"/>
      <w:pPr>
        <w:tabs>
          <w:tab w:val="left" w:pos="4853"/>
        </w:tabs>
        <w:ind w:left="4493" w:hanging="360"/>
      </w:pPr>
    </w:lvl>
    <w:lvl w:ilvl="3" w:tentative="0">
      <w:start w:val="1"/>
      <w:numFmt w:val="decimal"/>
      <w:pStyle w:val="19"/>
      <w:lvlText w:val="%1.%2.%3.%4."/>
      <w:lvlJc w:val="left"/>
      <w:pPr>
        <w:tabs>
          <w:tab w:val="left" w:pos="5573"/>
        </w:tabs>
        <w:ind w:left="4853" w:hanging="360"/>
      </w:pPr>
    </w:lvl>
    <w:lvl w:ilvl="4" w:tentative="0">
      <w:start w:val="1"/>
      <w:numFmt w:val="decimal"/>
      <w:lvlText w:val="%5."/>
      <w:lvlJc w:val="left"/>
      <w:pPr>
        <w:tabs>
          <w:tab w:val="left" w:pos="5273"/>
        </w:tabs>
        <w:ind w:left="5273" w:hanging="420"/>
      </w:pPr>
    </w:lvl>
    <w:lvl w:ilvl="5" w:tentative="0">
      <w:start w:val="1"/>
      <w:numFmt w:val="lowerRoman"/>
      <w:lvlText w:val="(%6)"/>
      <w:lvlJc w:val="left"/>
      <w:pPr>
        <w:tabs>
          <w:tab w:val="left" w:pos="5573"/>
        </w:tabs>
        <w:ind w:left="5573" w:hanging="360"/>
      </w:pPr>
    </w:lvl>
    <w:lvl w:ilvl="6" w:tentative="0">
      <w:start w:val="1"/>
      <w:numFmt w:val="decimal"/>
      <w:lvlText w:val="%7."/>
      <w:lvlJc w:val="left"/>
      <w:pPr>
        <w:tabs>
          <w:tab w:val="left" w:pos="5933"/>
        </w:tabs>
        <w:ind w:left="5933" w:hanging="360"/>
      </w:pPr>
    </w:lvl>
    <w:lvl w:ilvl="7" w:tentative="0">
      <w:start w:val="1"/>
      <w:numFmt w:val="lowerLetter"/>
      <w:lvlText w:val="%8."/>
      <w:lvlJc w:val="left"/>
      <w:pPr>
        <w:tabs>
          <w:tab w:val="left" w:pos="4341"/>
        </w:tabs>
        <w:ind w:left="4341" w:hanging="360"/>
      </w:pPr>
    </w:lvl>
    <w:lvl w:ilvl="8" w:tentative="0">
      <w:start w:val="1"/>
      <w:numFmt w:val="lowerRoman"/>
      <w:lvlText w:val="%9."/>
      <w:lvlJc w:val="left"/>
      <w:pPr>
        <w:tabs>
          <w:tab w:val="left" w:pos="6653"/>
        </w:tabs>
        <w:ind w:left="6653"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25"/>
    <w:rsid w:val="002E4C48"/>
    <w:rsid w:val="004D4B25"/>
    <w:rsid w:val="00807D2B"/>
    <w:rsid w:val="009041CF"/>
    <w:rsid w:val="00AA0241"/>
    <w:rsid w:val="00B34178"/>
    <w:rsid w:val="00BD037E"/>
    <w:rsid w:val="00BE7F73"/>
    <w:rsid w:val="00D00C29"/>
    <w:rsid w:val="00F06770"/>
    <w:rsid w:val="00FA19B2"/>
    <w:rsid w:val="00FA6BC8"/>
    <w:rsid w:val="D52B44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napToGrid w:val="0"/>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1">
    <w:name w:val="页眉 字符"/>
    <w:basedOn w:val="10"/>
    <w:link w:val="7"/>
    <w:uiPriority w:val="99"/>
    <w:rPr>
      <w:sz w:val="18"/>
      <w:szCs w:val="18"/>
    </w:rPr>
  </w:style>
  <w:style w:type="character" w:customStyle="1" w:styleId="12">
    <w:name w:val="页脚 字符"/>
    <w:basedOn w:val="10"/>
    <w:link w:val="6"/>
    <w:uiPriority w:val="99"/>
    <w:rPr>
      <w:sz w:val="18"/>
      <w:szCs w:val="18"/>
    </w:rPr>
  </w:style>
  <w:style w:type="character" w:customStyle="1" w:styleId="13">
    <w:name w:val="标题 1 字符"/>
    <w:basedOn w:val="10"/>
    <w:link w:val="2"/>
    <w:uiPriority w:val="9"/>
    <w:rPr>
      <w:b/>
      <w:bCs/>
      <w:kern w:val="44"/>
      <w:sz w:val="44"/>
      <w:szCs w:val="44"/>
    </w:rPr>
  </w:style>
  <w:style w:type="paragraph" w:customStyle="1" w:styleId="14">
    <w:name w:val="Table_Sm_Heading"/>
    <w:basedOn w:val="1"/>
    <w:uiPriority w:val="0"/>
    <w:pPr>
      <w:keepNext/>
      <w:keepLines/>
    </w:pPr>
    <w:rPr>
      <w:rFonts w:ascii="Arial" w:hAnsi="Arial"/>
      <w:b/>
      <w:sz w:val="20"/>
      <w:szCs w:val="20"/>
      <w:lang w:val="en-GB" w:eastAsia="en-US"/>
    </w:rPr>
  </w:style>
  <w:style w:type="paragraph" w:customStyle="1" w:styleId="15">
    <w:name w:val="Table_Medium"/>
    <w:basedOn w:val="1"/>
    <w:uiPriority w:val="0"/>
    <w:rPr>
      <w:rFonts w:ascii="Arial" w:hAnsi="Arial"/>
      <w:sz w:val="20"/>
      <w:szCs w:val="20"/>
      <w:lang w:eastAsia="en-US"/>
    </w:rPr>
  </w:style>
  <w:style w:type="paragraph" w:customStyle="1" w:styleId="16">
    <w:name w:val="Numbered list 2.1"/>
    <w:basedOn w:val="2"/>
    <w:next w:val="1"/>
    <w:uiPriority w:val="0"/>
    <w:pPr>
      <w:keepLines w:val="0"/>
      <w:numPr>
        <w:ilvl w:val="0"/>
        <w:numId w:val="1"/>
      </w:numPr>
      <w:tabs>
        <w:tab w:val="left" w:pos="720"/>
      </w:tabs>
      <w:spacing w:before="240" w:after="60" w:line="240" w:lineRule="auto"/>
    </w:pPr>
    <w:rPr>
      <w:rFonts w:ascii="Futura Bk" w:hAnsi="Futura Bk" w:eastAsia="宋体" w:cs="Times New Roman"/>
      <w:bCs w:val="0"/>
      <w:kern w:val="28"/>
      <w:sz w:val="28"/>
      <w:szCs w:val="20"/>
      <w:lang w:val="en-GB" w:eastAsia="en-US"/>
    </w:rPr>
  </w:style>
  <w:style w:type="paragraph" w:customStyle="1" w:styleId="17">
    <w:name w:val="Numbered list 2.2"/>
    <w:basedOn w:val="3"/>
    <w:next w:val="1"/>
    <w:uiPriority w:val="0"/>
    <w:pPr>
      <w:keepLines w:val="0"/>
      <w:numPr>
        <w:ilvl w:val="1"/>
        <w:numId w:val="1"/>
      </w:numPr>
      <w:tabs>
        <w:tab w:val="left" w:pos="720"/>
      </w:tabs>
      <w:spacing w:before="240" w:after="60" w:line="240" w:lineRule="auto"/>
    </w:pPr>
    <w:rPr>
      <w:rFonts w:ascii="Futura Bk" w:hAnsi="Futura Bk" w:eastAsia="宋体" w:cs="Times New Roman"/>
      <w:bCs w:val="0"/>
      <w:sz w:val="24"/>
      <w:szCs w:val="20"/>
      <w:lang w:val="en-GB" w:eastAsia="en-US"/>
    </w:rPr>
  </w:style>
  <w:style w:type="paragraph" w:customStyle="1" w:styleId="18">
    <w:name w:val="Numbered list 2.3"/>
    <w:basedOn w:val="4"/>
    <w:next w:val="1"/>
    <w:uiPriority w:val="0"/>
    <w:pPr>
      <w:keepLines w:val="0"/>
      <w:numPr>
        <w:ilvl w:val="2"/>
        <w:numId w:val="1"/>
      </w:numPr>
      <w:tabs>
        <w:tab w:val="left" w:pos="1080"/>
      </w:tabs>
      <w:spacing w:before="240" w:after="60" w:line="240" w:lineRule="auto"/>
    </w:pPr>
    <w:rPr>
      <w:rFonts w:ascii="Futura Bk" w:hAnsi="Futura Bk" w:eastAsia="宋体" w:cs="Times New Roman"/>
      <w:bCs w:val="0"/>
      <w:sz w:val="22"/>
      <w:szCs w:val="20"/>
      <w:lang w:val="en-GB" w:eastAsia="en-US"/>
    </w:rPr>
  </w:style>
  <w:style w:type="paragraph" w:customStyle="1" w:styleId="19">
    <w:name w:val="Numbered list 2.4"/>
    <w:basedOn w:val="5"/>
    <w:next w:val="1"/>
    <w:uiPriority w:val="0"/>
    <w:pPr>
      <w:keepLines w:val="0"/>
      <w:numPr>
        <w:ilvl w:val="3"/>
        <w:numId w:val="1"/>
      </w:numPr>
      <w:tabs>
        <w:tab w:val="left" w:pos="1080"/>
        <w:tab w:val="left" w:pos="1440"/>
        <w:tab w:val="left" w:pos="1800"/>
      </w:tabs>
      <w:spacing w:before="240" w:after="60" w:line="240" w:lineRule="auto"/>
    </w:pPr>
    <w:rPr>
      <w:rFonts w:ascii="Futura Bk" w:hAnsi="Futura Bk" w:eastAsia="宋体" w:cs="Times New Roman"/>
      <w:bCs w:val="0"/>
      <w:sz w:val="20"/>
      <w:szCs w:val="20"/>
      <w:lang w:val="en-GB" w:eastAsia="en-US"/>
    </w:rPr>
  </w:style>
  <w:style w:type="character" w:customStyle="1" w:styleId="20">
    <w:name w:val="标题 2 字符"/>
    <w:basedOn w:val="10"/>
    <w:link w:val="3"/>
    <w:semiHidden/>
    <w:uiPriority w:val="9"/>
    <w:rPr>
      <w:rFonts w:asciiTheme="majorHAnsi" w:hAnsiTheme="majorHAnsi" w:eastAsiaTheme="majorEastAsia" w:cstheme="majorBidi"/>
      <w:b/>
      <w:bCs/>
      <w:kern w:val="0"/>
      <w:sz w:val="32"/>
      <w:szCs w:val="32"/>
    </w:rPr>
  </w:style>
  <w:style w:type="character" w:customStyle="1" w:styleId="21">
    <w:name w:val="标题 3 字符"/>
    <w:basedOn w:val="10"/>
    <w:link w:val="4"/>
    <w:semiHidden/>
    <w:uiPriority w:val="9"/>
    <w:rPr>
      <w:b/>
      <w:bCs/>
      <w:kern w:val="0"/>
      <w:sz w:val="32"/>
      <w:szCs w:val="32"/>
    </w:rPr>
  </w:style>
  <w:style w:type="character" w:customStyle="1" w:styleId="22">
    <w:name w:val="标题 4 字符"/>
    <w:basedOn w:val="10"/>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348</Words>
  <Characters>1984</Characters>
  <Lines>16</Lines>
  <Paragraphs>4</Paragraphs>
  <TotalTime>63</TotalTime>
  <ScaleCrop>false</ScaleCrop>
  <LinksUpToDate>false</LinksUpToDate>
  <CharactersWithSpaces>2328</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2022-12-14T17:22:00Z</dcterms:created>
  <dc:creator>1</dc:creator>
  <cp:lastModifiedBy>1</cp:lastModifiedBy>
  <dcterms:modified xsi:type="dcterms:W3CDTF">2022-12-30T14:58:34Z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