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07513" w14:textId="43C8139D" w:rsidR="00320794" w:rsidRDefault="00320794">
      <w:pPr>
        <w:rPr>
          <w:rFonts w:hint="eastAsia"/>
        </w:rPr>
      </w:pPr>
    </w:p>
    <w:p w14:paraId="34482C79" w14:textId="77777777" w:rsidR="00320794" w:rsidRDefault="00320794">
      <w:pPr>
        <w:rPr>
          <w:rFonts w:hint="eastAsia"/>
        </w:rPr>
      </w:pPr>
    </w:p>
    <w:p w14:paraId="4FDEFE3D" w14:textId="77777777" w:rsidR="00320794" w:rsidRDefault="00000000">
      <w:pPr>
        <w:spacing w:after="400"/>
        <w:jc w:val="center"/>
        <w:rPr>
          <w:rFonts w:hint="eastAsia"/>
        </w:rPr>
      </w:pPr>
      <w:r>
        <w:rPr>
          <w:rFonts w:ascii="黑体" w:eastAsia="黑体" w:hAnsi="黑体" w:cs="黑体"/>
          <w:b/>
          <w:bCs/>
          <w:sz w:val="36"/>
          <w:szCs w:val="36"/>
        </w:rPr>
        <w:t>毕业设计进展报告</w:t>
      </w:r>
    </w:p>
    <w:p w14:paraId="38CC53A9" w14:textId="77777777" w:rsidR="00320794" w:rsidRDefault="00320794">
      <w:pPr>
        <w:rPr>
          <w:rFonts w:hint="eastAsia"/>
        </w:rPr>
      </w:pPr>
    </w:p>
    <w:p w14:paraId="11B24AA5" w14:textId="77777777" w:rsidR="00320794" w:rsidRDefault="00000000">
      <w:pPr>
        <w:spacing w:after="200"/>
        <w:jc w:val="center"/>
        <w:rPr>
          <w:rFonts w:hint="eastAsia"/>
        </w:rPr>
      </w:pPr>
      <w:r>
        <w:t>题目：面向信号干扰检测与识别的视频传输平台开发</w:t>
      </w:r>
    </w:p>
    <w:p w14:paraId="7FE66405" w14:textId="77777777" w:rsidR="00320794" w:rsidRDefault="00000000">
      <w:pPr>
        <w:spacing w:after="200"/>
        <w:jc w:val="center"/>
        <w:rPr>
          <w:rFonts w:hint="eastAsia"/>
        </w:rPr>
      </w:pPr>
      <w:r>
        <w:t>学生：</w:t>
      </w:r>
      <w:proofErr w:type="gramStart"/>
      <w:r>
        <w:t>李智杰</w:t>
      </w:r>
      <w:proofErr w:type="gramEnd"/>
      <w:r>
        <w:t xml:space="preserve">    学号：2022010843</w:t>
      </w:r>
    </w:p>
    <w:p w14:paraId="56C63E89" w14:textId="77777777" w:rsidR="00320794" w:rsidRDefault="00320794">
      <w:pPr>
        <w:rPr>
          <w:rFonts w:hint="eastAsia"/>
        </w:rPr>
      </w:pPr>
    </w:p>
    <w:p w14:paraId="14A03A5C" w14:textId="4D2A0790" w:rsidR="00320794" w:rsidRDefault="00000000" w:rsidP="00E04D36">
      <w:pPr>
        <w:pStyle w:val="1"/>
        <w:rPr>
          <w:rFonts w:hint="eastAsia"/>
        </w:rPr>
      </w:pPr>
      <w:r>
        <w:t>一、当前进展概述</w:t>
      </w:r>
    </w:p>
    <w:p w14:paraId="24CD3F9E" w14:textId="65A59692" w:rsidR="00320794" w:rsidRDefault="00E04D36" w:rsidP="00E04D36">
      <w:pPr>
        <w:pStyle w:val="2"/>
        <w:ind w:firstLine="420"/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</w:t>
      </w:r>
      <w:r>
        <w:t>干扰检测与干扰识别两个模块功能重复</w:t>
      </w:r>
    </w:p>
    <w:p w14:paraId="4D17C57C" w14:textId="357BEDFC" w:rsidR="00320794" w:rsidRDefault="00E04D36" w:rsidP="00E04D36">
      <w:pPr>
        <w:spacing w:before="120" w:after="120" w:line="360" w:lineRule="auto"/>
        <w:ind w:firstLine="480"/>
        <w:jc w:val="both"/>
        <w:rPr>
          <w:rFonts w:hint="eastAsia"/>
        </w:rPr>
      </w:pPr>
      <w:r>
        <w:rPr>
          <w:rFonts w:hint="eastAsia"/>
          <w:b/>
          <w:bCs/>
        </w:rPr>
        <w:t>问题</w:t>
      </w:r>
      <w:r>
        <w:rPr>
          <w:b/>
          <w:bCs/>
        </w:rPr>
        <w:t>：</w:t>
      </w:r>
      <w:r>
        <w:t>功率谱检测模块与CNN分类模块功能上存在重叠，似乎做的是同一件事。</w:t>
      </w:r>
    </w:p>
    <w:p w14:paraId="2E843F16" w14:textId="2DE9A7BD" w:rsidR="00320794" w:rsidRDefault="00000000" w:rsidP="00E04D36">
      <w:pPr>
        <w:spacing w:before="120" w:after="120" w:line="360" w:lineRule="auto"/>
        <w:ind w:firstLine="480"/>
        <w:jc w:val="both"/>
        <w:rPr>
          <w:rFonts w:hint="eastAsia"/>
        </w:rPr>
      </w:pPr>
      <w:r>
        <w:rPr>
          <w:b/>
          <w:bCs/>
        </w:rPr>
        <w:t>说明：</w:t>
      </w:r>
      <w:r>
        <w:t>两个模块在功能定位和技术实现上有本质区别，并非重复，而是构成两级串联的处理流水线，如下所述。</w:t>
      </w:r>
    </w:p>
    <w:p w14:paraId="22750623" w14:textId="77777777" w:rsidR="00320794" w:rsidRDefault="00000000">
      <w:pPr>
        <w:spacing w:before="120" w:after="120" w:line="360" w:lineRule="auto"/>
        <w:ind w:firstLine="480"/>
        <w:jc w:val="both"/>
        <w:rPr>
          <w:rFonts w:hint="eastAsia"/>
        </w:rPr>
      </w:pPr>
      <w:r>
        <w:rPr>
          <w:b/>
          <w:bCs/>
        </w:rPr>
        <w:t>（1）功能定位不同——"有无"与"是什么"</w:t>
      </w:r>
    </w:p>
    <w:p w14:paraId="7E7929B4" w14:textId="77777777" w:rsidR="00320794" w:rsidRDefault="00000000">
      <w:pPr>
        <w:spacing w:before="120" w:after="120" w:line="360" w:lineRule="auto"/>
        <w:ind w:firstLine="480"/>
        <w:jc w:val="both"/>
        <w:rPr>
          <w:rFonts w:hint="eastAsia"/>
        </w:rPr>
      </w:pPr>
      <w:r>
        <w:t>干扰检测模块解决的是[当前信道是否存在干扰]的二值判决问题，输出为有干扰/无干扰。其作用类似于门控开关：在无干扰时直接放行，避免后续识别模块的无效计算，是系统实时性的关键保障。干扰识别模块解决的是[干扰属于哪种类型]的多分类问题，仅在检测模块判定有干扰后才被激活。两模块</w:t>
      </w:r>
      <w:proofErr w:type="gramStart"/>
      <w:r>
        <w:t>一</w:t>
      </w:r>
      <w:proofErr w:type="gramEnd"/>
      <w:r>
        <w:t>前一后，职责清晰。</w:t>
      </w:r>
    </w:p>
    <w:p w14:paraId="0941D90D" w14:textId="77777777" w:rsidR="00320794" w:rsidRDefault="00320794">
      <w:pPr>
        <w:rPr>
          <w:rFonts w:hint="eastAsia"/>
        </w:rPr>
      </w:pPr>
    </w:p>
    <w:p w14:paraId="3E308889" w14:textId="77777777" w:rsidR="00320794" w:rsidRDefault="00000000">
      <w:pPr>
        <w:spacing w:before="120" w:after="120" w:line="360" w:lineRule="auto"/>
        <w:ind w:firstLine="480"/>
        <w:jc w:val="both"/>
        <w:rPr>
          <w:rFonts w:hint="eastAsia"/>
        </w:rPr>
      </w:pPr>
      <w:r>
        <w:rPr>
          <w:b/>
          <w:bCs/>
        </w:rPr>
        <w:t>（2）技术路线不同——规则与学习</w:t>
      </w:r>
    </w:p>
    <w:p w14:paraId="66F2CE2D" w14:textId="77777777" w:rsidR="00320794" w:rsidRDefault="00000000">
      <w:pPr>
        <w:spacing w:before="120" w:after="120" w:line="360" w:lineRule="auto"/>
        <w:ind w:firstLine="480"/>
        <w:jc w:val="both"/>
        <w:rPr>
          <w:rFonts w:hint="eastAsia"/>
        </w:rPr>
      </w:pPr>
      <w:r>
        <w:t xml:space="preserve">干扰检测基于功率谱的物理特征（谱熵、谱峰值、带外功率比）构建自适应阈值判决，属于信号处理领域的规则方法，计算复杂度低，延迟极短（&lt;5 </w:t>
      </w:r>
      <w:proofErr w:type="spellStart"/>
      <w:r>
        <w:t>ms</w:t>
      </w:r>
      <w:proofErr w:type="spellEnd"/>
      <w:r>
        <w:t>），适合作为前置轻量级筛选器。干扰识别采用CCNN深度学习模型，通过卷积+Transformer因果卷积</w:t>
      </w:r>
      <w:proofErr w:type="gramStart"/>
      <w:r>
        <w:t>提取时频深层</w:t>
      </w:r>
      <w:proofErr w:type="gramEnd"/>
      <w:r>
        <w:t>特征完成细粒度分类，计算量更大但分类精度更高。两者技术</w:t>
      </w:r>
      <w:proofErr w:type="gramStart"/>
      <w:r>
        <w:t>栈</w:t>
      </w:r>
      <w:proofErr w:type="gramEnd"/>
      <w:r>
        <w:t>完全不同，不存在冗余。</w:t>
      </w:r>
    </w:p>
    <w:p w14:paraId="0BDC8F75" w14:textId="77777777" w:rsidR="00320794" w:rsidRDefault="00320794">
      <w:pPr>
        <w:rPr>
          <w:rFonts w:hint="eastAsia"/>
        </w:rPr>
      </w:pPr>
    </w:p>
    <w:p w14:paraId="27783FB1" w14:textId="77777777" w:rsidR="00320794" w:rsidRDefault="00000000">
      <w:pPr>
        <w:spacing w:before="120" w:after="120" w:line="360" w:lineRule="auto"/>
        <w:ind w:firstLine="480"/>
        <w:jc w:val="both"/>
        <w:rPr>
          <w:rFonts w:hint="eastAsia"/>
        </w:rPr>
      </w:pPr>
      <w:r>
        <w:rPr>
          <w:b/>
          <w:bCs/>
        </w:rPr>
        <w:t>（3）工程价值不同——可靠性与效率</w:t>
      </w:r>
    </w:p>
    <w:p w14:paraId="4B302804" w14:textId="527225CA" w:rsidR="00320794" w:rsidRDefault="00000000">
      <w:pPr>
        <w:spacing w:before="120" w:after="120" w:line="360" w:lineRule="auto"/>
        <w:ind w:firstLine="480"/>
        <w:jc w:val="both"/>
        <w:rPr>
          <w:rFonts w:hint="eastAsia"/>
        </w:rPr>
      </w:pPr>
      <w:r>
        <w:t>在实际部署中，若不加检测直接识别，模型会对无干扰的正常信号也输出某个</w:t>
      </w:r>
      <w:r>
        <w:lastRenderedPageBreak/>
        <w:t>干扰类别标签，产生大量误报，干扰视频传输策略的正常决策。检测模块通过功率门限过滤</w:t>
      </w:r>
      <w:proofErr w:type="gramStart"/>
      <w:r>
        <w:t>掉正常</w:t>
      </w:r>
      <w:proofErr w:type="gramEnd"/>
      <w:r>
        <w:t>信号，使识别模块只处理真正的干扰，大幅降低误报率。这一两级架构在雷达对抗、认知无线电等工程系统中是标准设计范式。</w:t>
      </w:r>
    </w:p>
    <w:p w14:paraId="117BFC92" w14:textId="77777777" w:rsidR="00320794" w:rsidRDefault="00320794">
      <w:pPr>
        <w:rPr>
          <w:rFonts w:hint="eastAsia"/>
        </w:rPr>
      </w:pPr>
    </w:p>
    <w:p w14:paraId="5C951BB8" w14:textId="1CBBF69C" w:rsidR="00320794" w:rsidRPr="00E04D36" w:rsidRDefault="00000000">
      <w:pPr>
        <w:spacing w:before="80" w:after="80" w:line="320" w:lineRule="auto"/>
        <w:ind w:left="480" w:right="480"/>
        <w:jc w:val="both"/>
        <w:rPr>
          <w:rFonts w:hint="eastAsia"/>
          <w:b/>
          <w:bCs/>
          <w:sz w:val="36"/>
          <w:szCs w:val="36"/>
        </w:rPr>
      </w:pPr>
      <w:r w:rsidRPr="00E04D36">
        <w:rPr>
          <w:b/>
          <w:bCs/>
          <w:i/>
          <w:iCs/>
          <w:color w:val="595959"/>
        </w:rPr>
        <w:t>类比：医院的分诊台（检测）和专科诊断（识别）并不重复——分诊台先判断病人是否需要就医，专科再诊断得了什么病。跳</w:t>
      </w:r>
      <w:proofErr w:type="gramStart"/>
      <w:r w:rsidRPr="00E04D36">
        <w:rPr>
          <w:b/>
          <w:bCs/>
          <w:i/>
          <w:iCs/>
          <w:color w:val="595959"/>
        </w:rPr>
        <w:t>过分诊让所有人</w:t>
      </w:r>
      <w:proofErr w:type="gramEnd"/>
      <w:r w:rsidRPr="00E04D36">
        <w:rPr>
          <w:b/>
          <w:bCs/>
          <w:i/>
          <w:iCs/>
          <w:color w:val="595959"/>
        </w:rPr>
        <w:t>都做全套检查，既浪费资源又产生大量假阳性。</w:t>
      </w:r>
    </w:p>
    <w:p w14:paraId="5F5541E6" w14:textId="77777777" w:rsidR="00320794" w:rsidRDefault="00320794">
      <w:pPr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320794" w14:paraId="1B73453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E0F83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对比维度</w:t>
            </w:r>
          </w:p>
        </w:tc>
        <w:tc>
          <w:tcPr>
            <w:tcW w:w="3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5F133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干扰检测模块</w:t>
            </w:r>
          </w:p>
        </w:tc>
        <w:tc>
          <w:tcPr>
            <w:tcW w:w="3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31ED9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干扰识别模块</w:t>
            </w:r>
          </w:p>
        </w:tc>
      </w:tr>
      <w:tr w:rsidR="00320794" w14:paraId="23F676B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26B41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核心问题</w:t>
            </w:r>
          </w:p>
        </w:tc>
        <w:tc>
          <w:tcPr>
            <w:tcW w:w="3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95928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有无干扰（二值判决）</w:t>
            </w:r>
          </w:p>
        </w:tc>
        <w:tc>
          <w:tcPr>
            <w:tcW w:w="3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E2461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干扰类型（6类分类）</w:t>
            </w:r>
          </w:p>
        </w:tc>
      </w:tr>
      <w:tr w:rsidR="00320794" w14:paraId="51D05D2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4AC96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技术方法</w:t>
            </w:r>
          </w:p>
        </w:tc>
        <w:tc>
          <w:tcPr>
            <w:tcW w:w="3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DBE20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功率谱特征+自适应阈值</w:t>
            </w:r>
          </w:p>
        </w:tc>
        <w:tc>
          <w:tcPr>
            <w:tcW w:w="3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39DFB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CCNN深度学习</w:t>
            </w:r>
          </w:p>
        </w:tc>
      </w:tr>
      <w:tr w:rsidR="00320794" w14:paraId="58A80B0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393FD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处理延迟</w:t>
            </w:r>
          </w:p>
        </w:tc>
        <w:tc>
          <w:tcPr>
            <w:tcW w:w="3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1286D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&lt;5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3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8BD6F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~20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320794" w14:paraId="4988F03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B5B11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激活条件</w:t>
            </w:r>
          </w:p>
        </w:tc>
        <w:tc>
          <w:tcPr>
            <w:tcW w:w="3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16102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持续运行</w:t>
            </w:r>
          </w:p>
        </w:tc>
        <w:tc>
          <w:tcPr>
            <w:tcW w:w="3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36EA9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检测到干扰后才运行</w:t>
            </w:r>
          </w:p>
        </w:tc>
      </w:tr>
      <w:tr w:rsidR="00320794" w14:paraId="5A1A4C7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3FE8B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输出结果</w:t>
            </w:r>
          </w:p>
        </w:tc>
        <w:tc>
          <w:tcPr>
            <w:tcW w:w="3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8D370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有/无干扰 + 功率估计</w:t>
            </w:r>
          </w:p>
        </w:tc>
        <w:tc>
          <w:tcPr>
            <w:tcW w:w="3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471AF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干扰类型标签 + 置信度</w:t>
            </w:r>
          </w:p>
        </w:tc>
      </w:tr>
      <w:tr w:rsidR="00320794" w14:paraId="21AE686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48836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工程作用</w:t>
            </w:r>
          </w:p>
        </w:tc>
        <w:tc>
          <w:tcPr>
            <w:tcW w:w="3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A59AE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降低误报率，节省计算资源</w:t>
            </w:r>
          </w:p>
        </w:tc>
        <w:tc>
          <w:tcPr>
            <w:tcW w:w="3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F4ECA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指导视频传输策略调整</w:t>
            </w:r>
          </w:p>
        </w:tc>
      </w:tr>
    </w:tbl>
    <w:p w14:paraId="3AE8537F" w14:textId="77777777" w:rsidR="00320794" w:rsidRDefault="00320794">
      <w:pPr>
        <w:rPr>
          <w:rFonts w:hint="eastAsia"/>
        </w:rPr>
      </w:pPr>
    </w:p>
    <w:p w14:paraId="7DD7F052" w14:textId="34CA3A44" w:rsidR="00320794" w:rsidRDefault="00000000">
      <w:pPr>
        <w:pStyle w:val="2"/>
        <w:rPr>
          <w:rFonts w:hint="eastAsia"/>
        </w:rPr>
      </w:pPr>
      <w:r>
        <w:t>二：CNN模型过于简单</w:t>
      </w:r>
    </w:p>
    <w:p w14:paraId="602B7B0A" w14:textId="77777777" w:rsidR="00320794" w:rsidRDefault="00320794">
      <w:pPr>
        <w:rPr>
          <w:rFonts w:hint="eastAsia"/>
        </w:rPr>
      </w:pPr>
    </w:p>
    <w:p w14:paraId="7F1C1535" w14:textId="3D444C4F" w:rsidR="00320794" w:rsidRDefault="00E04D36">
      <w:pPr>
        <w:spacing w:before="120" w:after="120" w:line="360" w:lineRule="auto"/>
        <w:ind w:firstLine="480"/>
        <w:jc w:val="both"/>
        <w:rPr>
          <w:rFonts w:hint="eastAsia"/>
        </w:rPr>
      </w:pPr>
      <w:r>
        <w:rPr>
          <w:rFonts w:hint="eastAsia"/>
          <w:b/>
          <w:bCs/>
        </w:rPr>
        <w:t>问题</w:t>
      </w:r>
      <w:r>
        <w:rPr>
          <w:b/>
          <w:bCs/>
        </w:rPr>
        <w:t>：</w:t>
      </w:r>
      <w:r>
        <w:t>所使用的CNN模型结构过于简单，创新性不足。</w:t>
      </w:r>
    </w:p>
    <w:p w14:paraId="736685A4" w14:textId="77777777" w:rsidR="00320794" w:rsidRDefault="00320794">
      <w:pPr>
        <w:rPr>
          <w:rFonts w:hint="eastAsia"/>
        </w:rPr>
      </w:pPr>
    </w:p>
    <w:p w14:paraId="3F21DA4A" w14:textId="776F2AE9" w:rsidR="00320794" w:rsidRDefault="00000000">
      <w:pPr>
        <w:spacing w:before="120" w:after="120" w:line="360" w:lineRule="auto"/>
        <w:ind w:firstLine="480"/>
        <w:jc w:val="both"/>
        <w:rPr>
          <w:rFonts w:hint="eastAsia"/>
        </w:rPr>
      </w:pPr>
      <w:r>
        <w:rPr>
          <w:b/>
          <w:bCs/>
        </w:rPr>
        <w:t>说明：</w:t>
      </w:r>
      <w:r>
        <w:t>本项目所采用的CCNN（Convolutional Causal Neural Network）</w:t>
      </w:r>
      <w:r w:rsidR="00E04D36">
        <w:rPr>
          <w:rFonts w:hint="eastAsia"/>
        </w:rPr>
        <w:t>，新增transformer与TCC。</w:t>
      </w:r>
    </w:p>
    <w:p w14:paraId="10C03083" w14:textId="77777777" w:rsidR="00320794" w:rsidRDefault="00320794">
      <w:pPr>
        <w:rPr>
          <w:rFonts w:hint="eastAsia"/>
        </w:rPr>
      </w:pPr>
    </w:p>
    <w:p w14:paraId="3811CD15" w14:textId="77777777" w:rsidR="00320794" w:rsidRDefault="00000000">
      <w:pPr>
        <w:spacing w:before="120" w:after="120" w:line="360" w:lineRule="auto"/>
        <w:ind w:firstLine="480"/>
        <w:jc w:val="both"/>
        <w:rPr>
          <w:rFonts w:hint="eastAsia"/>
        </w:rPr>
      </w:pPr>
      <w:r>
        <w:rPr>
          <w:b/>
          <w:bCs/>
        </w:rPr>
        <w:t>（1）CCNN的实际架构——三模块串联</w:t>
      </w:r>
    </w:p>
    <w:p w14:paraId="1DF58103" w14:textId="77777777" w:rsidR="00320794" w:rsidRDefault="00000000">
      <w:pPr>
        <w:spacing w:before="120" w:after="120" w:line="360" w:lineRule="auto"/>
        <w:ind w:firstLine="480"/>
        <w:jc w:val="both"/>
        <w:rPr>
          <w:rFonts w:hint="eastAsia"/>
        </w:rPr>
      </w:pPr>
      <w:r>
        <w:t>CCNN由CNN模块、残差SE模块和TCC（Transformer Causal Convolution）模块三部分串联构成，总参数量96,904。其中：</w:t>
      </w:r>
    </w:p>
    <w:p w14:paraId="6E631685" w14:textId="77777777" w:rsidR="00320794" w:rsidRDefault="00320794">
      <w:pPr>
        <w:rPr>
          <w:rFonts w:hint="eastAsia"/>
        </w:rPr>
      </w:pPr>
    </w:p>
    <w:p w14:paraId="6A63E2A0" w14:textId="77777777" w:rsidR="00320794" w:rsidRDefault="00000000">
      <w:pPr>
        <w:pStyle w:val="a4"/>
        <w:numPr>
          <w:ilvl w:val="0"/>
          <w:numId w:val="2"/>
        </w:numPr>
        <w:spacing w:before="80" w:after="80"/>
        <w:rPr>
          <w:rFonts w:hint="eastAsia"/>
        </w:rPr>
      </w:pPr>
      <w:r>
        <w:t>CNN模块：多层步进卷积将(2, 5000)输入压缩为(128, 208)特征图，使用stride代替pooling保留时序结构；</w:t>
      </w:r>
    </w:p>
    <w:p w14:paraId="14FA0D23" w14:textId="77777777" w:rsidR="00320794" w:rsidRDefault="00000000">
      <w:pPr>
        <w:pStyle w:val="a4"/>
        <w:numPr>
          <w:ilvl w:val="0"/>
          <w:numId w:val="2"/>
        </w:numPr>
        <w:spacing w:before="80" w:after="80"/>
        <w:rPr>
          <w:rFonts w:hint="eastAsia"/>
        </w:rPr>
      </w:pPr>
      <w:r>
        <w:t>SE注意力模块：Squeeze-and-Excitation通道注意力机制对128个特征通道进行自适应加权，突出判别性频谱特征；</w:t>
      </w:r>
    </w:p>
    <w:p w14:paraId="57D6B89A" w14:textId="77777777" w:rsidR="00320794" w:rsidRDefault="00000000">
      <w:pPr>
        <w:pStyle w:val="a4"/>
        <w:numPr>
          <w:ilvl w:val="0"/>
          <w:numId w:val="2"/>
        </w:numPr>
        <w:spacing w:before="80" w:after="80"/>
        <w:rPr>
          <w:rFonts w:hint="eastAsia"/>
        </w:rPr>
      </w:pPr>
      <w:r>
        <w:lastRenderedPageBreak/>
        <w:t>TCC模块：基于因果卷积（kernel=7）生成Q/K/V的多头注意力机制（4头），结合</w:t>
      </w:r>
      <w:proofErr w:type="spellStart"/>
      <w:r>
        <w:t>LayerNorm</w:t>
      </w:r>
      <w:proofErr w:type="spellEnd"/>
      <w:r>
        <w:t>和前馈网络，捕获信号的长程时序依赖，这是传统CNN完全不具备的能力。</w:t>
      </w:r>
    </w:p>
    <w:p w14:paraId="6374D152" w14:textId="77777777" w:rsidR="00320794" w:rsidRDefault="00320794">
      <w:pPr>
        <w:rPr>
          <w:rFonts w:hint="eastAsia"/>
        </w:rPr>
      </w:pPr>
    </w:p>
    <w:p w14:paraId="76DBEFD9" w14:textId="4D1C605F" w:rsidR="00320794" w:rsidRDefault="00000000" w:rsidP="00A71BDB">
      <w:pPr>
        <w:spacing w:before="120" w:after="120" w:line="360" w:lineRule="auto"/>
        <w:ind w:firstLine="480"/>
        <w:jc w:val="both"/>
        <w:rPr>
          <w:rFonts w:hint="eastAsia"/>
        </w:rPr>
      </w:pPr>
      <w:r>
        <w:t>TCC模块的因果卷积保证了推理时不使用未来信息，符合实时处理的因果性约束，这是针对通信信号实时检测场景的针对性设计，与标准Transformer有本质区别。</w:t>
      </w:r>
    </w:p>
    <w:p w14:paraId="6E8D5FC0" w14:textId="77777777" w:rsidR="00320794" w:rsidRDefault="00000000">
      <w:pPr>
        <w:spacing w:before="120" w:after="120" w:line="360" w:lineRule="auto"/>
        <w:ind w:firstLine="480"/>
        <w:jc w:val="both"/>
        <w:rPr>
          <w:rFonts w:hint="eastAsia"/>
        </w:rPr>
      </w:pPr>
      <w:r>
        <w:rPr>
          <w:b/>
          <w:bCs/>
        </w:rPr>
        <w:t>（2）与同类方法的对比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600"/>
        <w:gridCol w:w="1813"/>
        <w:gridCol w:w="1813"/>
      </w:tblGrid>
      <w:tr w:rsidR="00320794" w14:paraId="549B9E3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F35C5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方法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EAB7F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时序建模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5F451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注意力机制</w:t>
            </w:r>
          </w:p>
        </w:tc>
        <w:tc>
          <w:tcPr>
            <w:tcW w:w="18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A7E59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因果约束</w:t>
            </w:r>
          </w:p>
        </w:tc>
        <w:tc>
          <w:tcPr>
            <w:tcW w:w="18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DFBA4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参数量</w:t>
            </w:r>
          </w:p>
        </w:tc>
      </w:tr>
      <w:tr w:rsidR="00320794" w14:paraId="72F1929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18370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普通CNN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C4943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×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366A1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×</w:t>
            </w:r>
          </w:p>
        </w:tc>
        <w:tc>
          <w:tcPr>
            <w:tcW w:w="18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51FC8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×</w:t>
            </w:r>
          </w:p>
        </w:tc>
        <w:tc>
          <w:tcPr>
            <w:tcW w:w="18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107B6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~50k</w:t>
            </w:r>
          </w:p>
        </w:tc>
      </w:tr>
      <w:tr w:rsidR="00320794" w14:paraId="12E5AF5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214B5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CNN+LSTM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139D8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5085C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×</w:t>
            </w:r>
          </w:p>
        </w:tc>
        <w:tc>
          <w:tcPr>
            <w:tcW w:w="18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E72B0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部分</w:t>
            </w:r>
          </w:p>
        </w:tc>
        <w:tc>
          <w:tcPr>
            <w:tcW w:w="18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2856E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~200k</w:t>
            </w:r>
          </w:p>
        </w:tc>
      </w:tr>
      <w:tr w:rsidR="00320794" w14:paraId="6F8573D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8968" w14:textId="77777777" w:rsidR="00320794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CNN+Transformer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8045E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C5CB9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18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DDF20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×</w:t>
            </w:r>
          </w:p>
        </w:tc>
        <w:tc>
          <w:tcPr>
            <w:tcW w:w="18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5B820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~500k+</w:t>
            </w:r>
          </w:p>
        </w:tc>
      </w:tr>
      <w:tr w:rsidR="00320794" w14:paraId="0ECDE40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B2074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本文CCNN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8F874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04CCA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✓(SE+TCC)</w:t>
            </w:r>
          </w:p>
        </w:tc>
        <w:tc>
          <w:tcPr>
            <w:tcW w:w="18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EA246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✓(因果卷积)</w:t>
            </w:r>
          </w:p>
        </w:tc>
        <w:tc>
          <w:tcPr>
            <w:tcW w:w="18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41671" w14:textId="77777777" w:rsidR="00320794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96,904</w:t>
            </w:r>
          </w:p>
        </w:tc>
      </w:tr>
    </w:tbl>
    <w:p w14:paraId="0BB22695" w14:textId="77777777" w:rsidR="00320794" w:rsidRDefault="00320794">
      <w:pPr>
        <w:rPr>
          <w:rFonts w:hint="eastAsia"/>
        </w:rPr>
      </w:pPr>
    </w:p>
    <w:p w14:paraId="4C7ED887" w14:textId="77777777" w:rsidR="00320794" w:rsidRDefault="00000000">
      <w:pPr>
        <w:spacing w:before="120" w:after="120" w:line="360" w:lineRule="auto"/>
        <w:ind w:firstLine="480"/>
        <w:jc w:val="both"/>
      </w:pPr>
      <w:r>
        <w:t>CCNN以仅96k参数量实现了多头注意力+因果卷积+通道注意力的组合，在轻量化（满足≤100ms全链路延迟约束）与高精度（99.71%测试集准确率）之间取得了良好平衡，这正是针对嵌入式实时部署场景的核心设计目标。</w:t>
      </w:r>
    </w:p>
    <w:p w14:paraId="5BD7D7AD" w14:textId="77777777" w:rsidR="00064F70" w:rsidRDefault="00064F70">
      <w:pPr>
        <w:spacing w:before="120" w:after="120" w:line="360" w:lineRule="auto"/>
        <w:ind w:firstLine="480"/>
        <w:jc w:val="both"/>
        <w:rPr>
          <w:rFonts w:hint="eastAsia"/>
        </w:rPr>
      </w:pPr>
    </w:p>
    <w:p w14:paraId="394587F0" w14:textId="77777777" w:rsidR="00320794" w:rsidRDefault="00320794">
      <w:pPr>
        <w:rPr>
          <w:rFonts w:hint="eastAsia"/>
        </w:rPr>
      </w:pPr>
    </w:p>
    <w:p w14:paraId="21D1A127" w14:textId="0E4FBBBD" w:rsidR="00320794" w:rsidRDefault="00381026">
      <w:pPr>
        <w:rPr>
          <w:rFonts w:hint="eastAsia"/>
        </w:rPr>
      </w:pPr>
      <w:r w:rsidRPr="00381026">
        <w:rPr>
          <w:noProof/>
        </w:rPr>
        <w:lastRenderedPageBreak/>
        <w:drawing>
          <wp:inline distT="0" distB="0" distL="0" distR="0" wp14:anchorId="660612B3" wp14:editId="5F172E5A">
            <wp:extent cx="5502910" cy="3557905"/>
            <wp:effectExtent l="0" t="0" r="2540" b="4445"/>
            <wp:docPr id="17264085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0794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304A3"/>
    <w:multiLevelType w:val="hybridMultilevel"/>
    <w:tmpl w:val="401AB642"/>
    <w:lvl w:ilvl="0" w:tplc="B322BA2E">
      <w:start w:val="1"/>
      <w:numFmt w:val="bullet"/>
      <w:lvlText w:val="●"/>
      <w:lvlJc w:val="left"/>
      <w:pPr>
        <w:ind w:left="480" w:hanging="240"/>
      </w:pPr>
    </w:lvl>
    <w:lvl w:ilvl="1" w:tplc="EBB076BE">
      <w:numFmt w:val="decimal"/>
      <w:lvlText w:val=""/>
      <w:lvlJc w:val="left"/>
    </w:lvl>
    <w:lvl w:ilvl="2" w:tplc="EDC4F852">
      <w:numFmt w:val="decimal"/>
      <w:lvlText w:val=""/>
      <w:lvlJc w:val="left"/>
    </w:lvl>
    <w:lvl w:ilvl="3" w:tplc="0232A922">
      <w:numFmt w:val="decimal"/>
      <w:lvlText w:val=""/>
      <w:lvlJc w:val="left"/>
    </w:lvl>
    <w:lvl w:ilvl="4" w:tplc="0D42E3CA">
      <w:numFmt w:val="decimal"/>
      <w:lvlText w:val=""/>
      <w:lvlJc w:val="left"/>
    </w:lvl>
    <w:lvl w:ilvl="5" w:tplc="6C80CDC8">
      <w:numFmt w:val="decimal"/>
      <w:lvlText w:val=""/>
      <w:lvlJc w:val="left"/>
    </w:lvl>
    <w:lvl w:ilvl="6" w:tplc="2E2809FA">
      <w:numFmt w:val="decimal"/>
      <w:lvlText w:val=""/>
      <w:lvlJc w:val="left"/>
    </w:lvl>
    <w:lvl w:ilvl="7" w:tplc="172695EC">
      <w:numFmt w:val="decimal"/>
      <w:lvlText w:val=""/>
      <w:lvlJc w:val="left"/>
    </w:lvl>
    <w:lvl w:ilvl="8" w:tplc="01C2B564">
      <w:numFmt w:val="decimal"/>
      <w:lvlText w:val=""/>
      <w:lvlJc w:val="left"/>
    </w:lvl>
  </w:abstractNum>
  <w:abstractNum w:abstractNumId="1" w15:restartNumberingAfterBreak="0">
    <w:nsid w:val="752023DD"/>
    <w:multiLevelType w:val="hybridMultilevel"/>
    <w:tmpl w:val="343E88D6"/>
    <w:lvl w:ilvl="0" w:tplc="EF3A4612">
      <w:start w:val="1"/>
      <w:numFmt w:val="bullet"/>
      <w:lvlText w:val="●"/>
      <w:lvlJc w:val="left"/>
      <w:pPr>
        <w:ind w:left="720" w:hanging="360"/>
      </w:pPr>
    </w:lvl>
    <w:lvl w:ilvl="1" w:tplc="B3E6271A">
      <w:start w:val="1"/>
      <w:numFmt w:val="bullet"/>
      <w:lvlText w:val="○"/>
      <w:lvlJc w:val="left"/>
      <w:pPr>
        <w:ind w:left="1440" w:hanging="360"/>
      </w:pPr>
    </w:lvl>
    <w:lvl w:ilvl="2" w:tplc="60089A42">
      <w:start w:val="1"/>
      <w:numFmt w:val="bullet"/>
      <w:lvlText w:val="■"/>
      <w:lvlJc w:val="left"/>
      <w:pPr>
        <w:ind w:left="2160" w:hanging="360"/>
      </w:pPr>
    </w:lvl>
    <w:lvl w:ilvl="3" w:tplc="4C64035A">
      <w:start w:val="1"/>
      <w:numFmt w:val="bullet"/>
      <w:lvlText w:val="●"/>
      <w:lvlJc w:val="left"/>
      <w:pPr>
        <w:ind w:left="2880" w:hanging="360"/>
      </w:pPr>
    </w:lvl>
    <w:lvl w:ilvl="4" w:tplc="CC02023C">
      <w:start w:val="1"/>
      <w:numFmt w:val="bullet"/>
      <w:lvlText w:val="○"/>
      <w:lvlJc w:val="left"/>
      <w:pPr>
        <w:ind w:left="3600" w:hanging="360"/>
      </w:pPr>
    </w:lvl>
    <w:lvl w:ilvl="5" w:tplc="214CB21A">
      <w:start w:val="1"/>
      <w:numFmt w:val="bullet"/>
      <w:lvlText w:val="■"/>
      <w:lvlJc w:val="left"/>
      <w:pPr>
        <w:ind w:left="4320" w:hanging="360"/>
      </w:pPr>
    </w:lvl>
    <w:lvl w:ilvl="6" w:tplc="02CEDD86">
      <w:start w:val="1"/>
      <w:numFmt w:val="bullet"/>
      <w:lvlText w:val="●"/>
      <w:lvlJc w:val="left"/>
      <w:pPr>
        <w:ind w:left="5040" w:hanging="360"/>
      </w:pPr>
    </w:lvl>
    <w:lvl w:ilvl="7" w:tplc="DC1A61E4">
      <w:start w:val="1"/>
      <w:numFmt w:val="bullet"/>
      <w:lvlText w:val="●"/>
      <w:lvlJc w:val="left"/>
      <w:pPr>
        <w:ind w:left="5760" w:hanging="360"/>
      </w:pPr>
    </w:lvl>
    <w:lvl w:ilvl="8" w:tplc="DE2614D2">
      <w:start w:val="1"/>
      <w:numFmt w:val="bullet"/>
      <w:lvlText w:val="●"/>
      <w:lvlJc w:val="left"/>
      <w:pPr>
        <w:ind w:left="6480" w:hanging="360"/>
      </w:pPr>
    </w:lvl>
  </w:abstractNum>
  <w:num w:numId="1" w16cid:durableId="1980333631">
    <w:abstractNumId w:val="1"/>
    <w:lvlOverride w:ilvl="0">
      <w:startOverride w:val="1"/>
    </w:lvlOverride>
  </w:num>
  <w:num w:numId="2" w16cid:durableId="15008514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794"/>
    <w:rsid w:val="00064F70"/>
    <w:rsid w:val="00320794"/>
    <w:rsid w:val="00381026"/>
    <w:rsid w:val="003C1621"/>
    <w:rsid w:val="008C75EB"/>
    <w:rsid w:val="00A71BDB"/>
    <w:rsid w:val="00A91807"/>
    <w:rsid w:val="00B05AE1"/>
    <w:rsid w:val="00CB7479"/>
    <w:rsid w:val="00E04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3C727"/>
  <w15:docId w15:val="{C7DFACB3-8BEE-413C-8E2C-DB90B1A0C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ascii="黑体" w:eastAsia="黑体" w:hAnsi="黑体" w:cs="黑体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ascii="黑体" w:eastAsia="黑体" w:hAnsi="黑体" w:cs="黑体"/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智杰 李</cp:lastModifiedBy>
  <cp:revision>7</cp:revision>
  <dcterms:created xsi:type="dcterms:W3CDTF">2026-03-06T13:07:00Z</dcterms:created>
  <dcterms:modified xsi:type="dcterms:W3CDTF">2026-04-15T08:09:00Z</dcterms:modified>
</cp:coreProperties>
</file>