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579D5">
      <w:pPr>
        <w:spacing w:after="120"/>
        <w:jc w:val="center"/>
      </w:pP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  <w:t>案</w:t>
      </w:r>
      <w:r>
        <w:rPr>
          <w:rFonts w:ascii="黑体" w:hAnsi="黑体" w:eastAsia="黑体"/>
          <w:b/>
          <w:bCs/>
          <w:sz w:val="32"/>
          <w:szCs w:val="32"/>
          <w:lang w:eastAsia="zh-CN"/>
        </w:rPr>
        <w:t>例</w:t>
      </w: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  <w:t>1</w:t>
      </w:r>
      <w:bookmarkStart w:id="0" w:name="_GoBack"/>
      <w:bookmarkEnd w:id="0"/>
      <w:r>
        <w:rPr>
          <w:rFonts w:ascii="黑体" w:hAnsi="黑体" w:eastAsia="黑体"/>
          <w:b/>
          <w:bCs/>
          <w:sz w:val="32"/>
          <w:szCs w:val="32"/>
          <w:lang w:eastAsia="zh-CN"/>
        </w:rPr>
        <w:t>：</w:t>
      </w: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  <w:t>验证型</w:t>
      </w:r>
    </w:p>
    <w:p w14:paraId="302ACE94">
      <w:pPr>
        <w:spacing w:after="240"/>
        <w:jc w:val="center"/>
      </w:pPr>
      <w:r>
        <w:rPr>
          <w:rFonts w:ascii="AR PL SungtiL GB" w:hAnsi="AR PL SungtiL GB" w:eastAsia="AR PL SungtiL GB"/>
          <w:b/>
          <w:sz w:val="30"/>
        </w:rPr>
        <w:t>面向远程课堂的动作捕捉驱动虚拟数字人互动教学实验</w:t>
      </w:r>
    </w:p>
    <w:p w14:paraId="55CE3BC9">
      <w:pPr>
        <w:pStyle w:val="3"/>
        <w:spacing w:before="200" w:after="1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6"/>
        </w:rPr>
        <w:t>1. 基本信息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44C90EE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AF167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</w:rPr>
              <w:t>字段</w:t>
            </w:r>
          </w:p>
        </w:tc>
        <w:tc>
          <w:tcPr>
            <w:tcW w:w="708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621A0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</w:rPr>
              <w:t>内容</w:t>
            </w:r>
          </w:p>
        </w:tc>
      </w:tr>
      <w:tr w14:paraId="5CBC48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E3E3A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适用专业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BA2BD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  <w:lang w:val="en-US" w:eastAsia="zh-CN"/>
              </w:rPr>
              <w:t>电子信息工程、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通信工程</w:t>
            </w:r>
          </w:p>
        </w:tc>
      </w:tr>
      <w:tr w14:paraId="4203A95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35120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实验类型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7EC9F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验证型</w:t>
            </w:r>
          </w:p>
        </w:tc>
      </w:tr>
      <w:tr w14:paraId="0D6DEA6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6CCC9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学时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D5491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4课时</w:t>
            </w:r>
          </w:p>
        </w:tc>
      </w:tr>
      <w:tr w14:paraId="44E5CE3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D7825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分组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F5900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2人/组</w:t>
            </w:r>
          </w:p>
        </w:tc>
      </w:tr>
      <w:tr w14:paraId="094683A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8196C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前置认证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17808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C1（感知与观测）已通过“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  <w:lang w:val="en-US" w:eastAsia="zh-CN"/>
              </w:rPr>
              <w:t>媒体与认知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”认证</w:t>
            </w:r>
          </w:p>
        </w:tc>
      </w:tr>
    </w:tbl>
    <w:p w14:paraId="33E67851">
      <w:pPr>
        <w:pStyle w:val="3"/>
        <w:spacing w:before="200" w:after="1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6"/>
        </w:rPr>
        <w:t>2. 能力目标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7A79AB0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B219A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</w:rPr>
              <w:t>编码</w:t>
            </w:r>
          </w:p>
        </w:tc>
        <w:tc>
          <w:tcPr>
            <w:tcW w:w="708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1CF70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1"/>
              </w:rPr>
              <w:t>具体化描述</w:t>
            </w:r>
          </w:p>
        </w:tc>
      </w:tr>
      <w:tr w14:paraId="3CB1570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F0A0F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C1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BD5AF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使用Motive与红外光学动作捕捉系统完成标定、T-Pose骨骼创建，读取残差、标记点识别状态、Final Rate与数据传输速率。</w:t>
            </w:r>
          </w:p>
        </w:tc>
      </w:tr>
      <w:tr w14:paraId="64BBD0E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73969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C5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51214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定量分析标定误差、标记点遮挡、骨骼绑定偏差、LiveLink/UDP传输抖动对虚拟数字人同步精度和系统延迟的影响。</w:t>
            </w:r>
          </w:p>
        </w:tc>
      </w:tr>
      <w:tr w14:paraId="3D285C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F00D4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C4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06CA0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在15分钟内通过分层排查（捕捉环境→骨骼绑定→网络传输→UE渲染）定位教师现场注入的未知异常。</w:t>
            </w:r>
          </w:p>
        </w:tc>
      </w:tr>
      <w:tr w14:paraId="5861D55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0C681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C6</w:t>
            </w:r>
          </w:p>
        </w:tc>
        <w:tc>
          <w:tcPr>
            <w:tcW w:w="70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8E263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21"/>
              </w:rPr>
              <w:t>绘制残差/系统延迟/帧率随动作强度或网络条件变化的曲线，与“残差≤1mm、总延迟≤10ms、Final Rate 120Hz”等阈值对比并解释偏差。</w:t>
            </w:r>
          </w:p>
        </w:tc>
      </w:tr>
    </w:tbl>
    <w:p w14:paraId="11E656D2">
      <w:pPr>
        <w:pStyle w:val="3"/>
        <w:spacing w:before="200" w:after="1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6"/>
        </w:rPr>
        <w:t>3. 任务与步骤</w:t>
      </w:r>
    </w:p>
    <w:p w14:paraId="5F20AC08">
      <w:pPr>
        <w:spacing w:after="100" w:line="288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1"/>
        </w:rPr>
        <w:t>步骤1（基础复现）：</w:t>
      </w:r>
      <w:r>
        <w:rPr>
          <w:rFonts w:hint="eastAsia" w:asciiTheme="majorEastAsia" w:hAnsiTheme="majorEastAsia" w:eastAsiaTheme="majorEastAsia" w:cstheme="majorEastAsia"/>
          <w:sz w:val="21"/>
        </w:rPr>
        <w:t>搭建“动作捕捉—骨骼映射—虚拟数字人驱动—远程课堂推流”链路。学生穿戴动捕服并完成50个反光标记点识别，在Motive中完成场地标定与T-Pose骨骼创建；在MotionBuilder中加载OptiTrack Skeleton插件并完成角色绑定；在Unreal Engine中接入LiveLink数据流，观察虚拟数字人实时动作，记录残差、数据速率、Final Rate、系统延迟和关键界面截图。</w:t>
      </w:r>
    </w:p>
    <w:p w14:paraId="7039339E">
      <w:pPr>
        <w:spacing w:after="100" w:line="288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1"/>
        </w:rPr>
        <w:t>步骤2（非理想注入）：</w:t>
      </w:r>
      <w:r>
        <w:rPr>
          <w:rFonts w:hint="eastAsia" w:asciiTheme="majorEastAsia" w:hAnsiTheme="majorEastAsia" w:eastAsiaTheme="majorEastAsia" w:cstheme="majorEastAsia"/>
          <w:sz w:val="21"/>
        </w:rPr>
        <w:t>人为设置一项或多项非理想条件，如遮挡2—3个关键标记点、引入轻微坐标系偏差、降低LiveLink采样率、增加网络抖动或延迟，记录虚拟数字人肢体抖动、动作滞后、关节错位等现象，定量说明残差、延迟或帧率的恶化量。</w:t>
      </w:r>
    </w:p>
    <w:p w14:paraId="4D24D709">
      <w:pPr>
        <w:spacing w:after="100" w:line="288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1"/>
        </w:rPr>
        <w:t>步骤3（诊断挑战）：</w:t>
      </w:r>
      <w:r>
        <w:rPr>
          <w:rFonts w:hint="eastAsia" w:asciiTheme="majorEastAsia" w:hAnsiTheme="majorEastAsia" w:eastAsiaTheme="majorEastAsia" w:cstheme="majorEastAsia"/>
          <w:sz w:val="21"/>
        </w:rPr>
        <w:t>教师现场引入一项未知损伤（如标记点丢失、Motive/ MotionBuilder地址配置错误、骨骼根节点设置错误、UE LiveLink源失配或网络拥塞）。学生需在15分钟内： - 调整软件与仪表状态确认异常； - 给出根因假设并量化估计其影响； - 恢复链路或提出补偿方向。</w:t>
      </w:r>
    </w:p>
    <w:p w14:paraId="1F297DD2">
      <w:pPr>
        <w:pStyle w:val="3"/>
        <w:spacing w:before="200" w:after="1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6"/>
        </w:rPr>
        <w:t>4. 个性化锚点</w:t>
      </w:r>
    </w:p>
    <w:p w14:paraId="7E7AB9CA">
      <w:pPr>
        <w:spacing w:after="80" w:line="288" w:lineRule="auto"/>
        <w:ind w:firstLine="42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1"/>
        </w:rPr>
        <w:t>每组分配不同的动作序列、标记点遮挡位置、网络扰动参数与虚拟课堂场景，形成差异化验证任务（如A组：挥手/转身动作，遮挡左腕标记点，网络延迟10ms；B组：跳跃/下蹲动作，遮挡右膝标记点，网络抖动5ms；C组：讲授手势组合，LiveLink采样率调整为60 sample/s），防止共享答案。</w:t>
      </w:r>
    </w:p>
    <w:p w14:paraId="53B8B9CD">
      <w:pPr>
        <w:pStyle w:val="3"/>
        <w:spacing w:before="200" w:after="1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6"/>
        </w:rPr>
        <w:t>5. 交付物与证据</w:t>
      </w:r>
    </w:p>
    <w:p w14:paraId="79EDA517">
      <w:pPr>
        <w:pStyle w:val="16"/>
        <w:spacing w:after="40" w:line="276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1"/>
        </w:rPr>
        <w:t>实验日志（须含步骤3的排查假设、至少1次错误尝试及修正记录）</w:t>
      </w:r>
    </w:p>
    <w:p w14:paraId="58142090">
      <w:pPr>
        <w:pStyle w:val="16"/>
        <w:spacing w:after="40" w:line="276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1"/>
        </w:rPr>
        <w:t>Motive截图（含标定状态、50个标记点识别情况、Residual/Final Rate/Data等状态栏信息）</w:t>
      </w:r>
    </w:p>
    <w:p w14:paraId="26E4FB36">
      <w:pPr>
        <w:pStyle w:val="16"/>
        <w:spacing w:after="40" w:line="276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1"/>
        </w:rPr>
        <w:t>MotionBuilder与Unreal Engine截图（含骨骼绑定、LiveLink数据源、虚拟数字人驱动效果）</w:t>
      </w:r>
    </w:p>
    <w:p w14:paraId="5DC50A0C">
      <w:pPr>
        <w:pStyle w:val="16"/>
        <w:spacing w:after="40" w:line="276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1"/>
        </w:rPr>
        <w:t>残差—动作强度、系统延迟—网络条件或帧率—采样率曲线图（带合格阈值参考线）</w:t>
      </w:r>
    </w:p>
    <w:p w14:paraId="150F4A5F">
      <w:pPr>
        <w:pStyle w:val="16"/>
        <w:spacing w:after="40" w:line="276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1"/>
        </w:rPr>
        <w:t>完整演示视频片段（动作采集、骨骼映射、数字人驱动、远程课堂推流与互动反馈）</w:t>
      </w:r>
    </w:p>
    <w:p w14:paraId="6413BDC5">
      <w:pPr>
        <w:pStyle w:val="16"/>
        <w:spacing w:after="40" w:line="276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1"/>
        </w:rPr>
        <w:t>AI协作声明与批判性反思</w:t>
      </w:r>
    </w:p>
    <w:p w14:paraId="4DDBA1FC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br w:type="page"/>
      </w:r>
    </w:p>
    <w:p w14:paraId="49AA4AAF">
      <w:pPr>
        <w:pStyle w:val="3"/>
        <w:spacing w:before="200" w:after="1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6"/>
        </w:rPr>
        <w:t>6. 评价量规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38"/>
        <w:gridCol w:w="2438"/>
        <w:gridCol w:w="2438"/>
      </w:tblGrid>
      <w:tr w14:paraId="5A4AEB2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CBCD6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18"/>
              </w:rPr>
              <w:t>考核项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68549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18"/>
              </w:rPr>
              <w:t>0分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14ABA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18"/>
              </w:rPr>
              <w:t>1分</w:t>
            </w:r>
          </w:p>
        </w:tc>
        <w:tc>
          <w:tcPr>
            <w:tcW w:w="24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207B7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18"/>
              </w:rPr>
              <w:t>2分</w:t>
            </w:r>
          </w:p>
        </w:tc>
      </w:tr>
      <w:tr w14:paraId="4885DBD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CE2F6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C1操作规范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23EC7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无法独立完成动捕系统标定、T-Pose创建或基本软件连接。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18915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能完成基本连接，但残差、帧率、数据速率等读数记录不完整或单位混淆。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498A7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正确完成标定、骨骼创建与链路连接，并能解释各参数对实验结果的影响。</w:t>
            </w:r>
          </w:p>
        </w:tc>
      </w:tr>
      <w:tr w14:paraId="431016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28339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C5非理想分析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88F34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仅描述虚拟数字人异常现象，未给出定量数据。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70546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有定量记录，但混淆遮挡、标定误差、网络抖动和骨骼绑定偏差的影响来源。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02E87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准确区分各类损伤源的独立贡献，并能用残差、延迟、帧率等指标说明恶化量。</w:t>
            </w:r>
          </w:p>
        </w:tc>
      </w:tr>
      <w:tr w14:paraId="207AB70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AE019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C4诊断挑战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A5EA1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无排查思路，直接求助或随机调整参数。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A9CA0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有排查尝试，但层级顺序不清或根因判断错误。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66D0B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15分钟内定位根因并量化影响，能恢复链路或提出可执行补偿方向。</w:t>
            </w:r>
          </w:p>
        </w:tc>
      </w:tr>
      <w:tr w14:paraId="3E745EC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484F7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C6曲线与解释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A84FE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未提交曲线或曲线缺少坐标、单位和阈值。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184BD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提交曲线但阈值对比或偏差解释不充分。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B8BBC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曲线完整，含合格阈值参考线，并能结合采样率、动作强度或网络条件解释偏差。</w:t>
            </w:r>
          </w:p>
        </w:tc>
      </w:tr>
      <w:tr w14:paraId="50AC42F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B6EB1">
            <w:pPr>
              <w:spacing w:before="0" w:after="0" w:line="276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AI反思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4A597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未回答或泛泛而谈。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C0295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指出1处AI建议可能带来的风险。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39A5A">
            <w:pPr>
              <w:spacing w:before="0" w:after="0" w:line="276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sz w:val="18"/>
              </w:rPr>
              <w:t>从硬件标定、实时传输、虚拟人骨骼映射等角度指出≥2处风险，并给出验证思路。</w:t>
            </w:r>
          </w:p>
        </w:tc>
      </w:tr>
    </w:tbl>
    <w:p w14:paraId="0DAA4C00">
      <w:pPr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F31A92F-2444-4C96-ADDF-850978C8960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1AAF65ED-D760-4151-B77B-AEF611124B78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 PL SungtiL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7401827D-6742-45DF-A313-796716A8847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  <w:embedRegular r:id="rId4" w:fontKey="{FD2CDAFB-A438-455C-93F5-785F66C12CFD}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42B4686F-A533-424C-AAF2-2388C8AEF53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D437B9"/>
    <w:rsid w:val="6128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 PL SungtiL GB" w:hAnsi="AR PL SungtiL GB" w:eastAsia="AR PL SungtiL GB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1095</Words>
  <Characters>1331</Characters>
  <Lines>0</Lines>
  <Paragraphs>0</Paragraphs>
  <TotalTime>0</TotalTime>
  <ScaleCrop>false</ScaleCrop>
  <LinksUpToDate>false</LinksUpToDate>
  <CharactersWithSpaces>1354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孙松林</cp:lastModifiedBy>
  <dcterms:modified xsi:type="dcterms:W3CDTF">2026-05-13T00:09:49Z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eyJoZGlkIjoiZTQ4ODQwNThiYTg4YTBlNDhkZDRmNGNiNWM5NWE1YzAiLCJ1c2VySWQiOiIxNDg1NjQ1ODYxIn0=</vt:lpwstr>
  </property>
  <property fmtid="{D5CDD505-2E9C-101B-9397-08002B2CF9AE}" pid="3" name="KSOProductBuildVer">
    <vt:lpwstr>2052-12.1.0.25860</vt:lpwstr>
  </property>
  <property fmtid="{D5CDD505-2E9C-101B-9397-08002B2CF9AE}" pid="4" name="ICV">
    <vt:lpwstr>309A3A6CED224B82A632109B24046FC4_12</vt:lpwstr>
  </property>
</Properties>
</file>