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5EADA">
      <w:pPr>
        <w:spacing w:before="0" w:after="6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8"/>
          <w:lang w:val="en-US" w:eastAsia="zh-CN"/>
        </w:rPr>
        <w:t>案例2</w:t>
      </w:r>
      <w:r>
        <w:rPr>
          <w:rFonts w:hint="eastAsia" w:asciiTheme="majorEastAsia" w:hAnsiTheme="majorEastAsia" w:eastAsiaTheme="majorEastAsia" w:cstheme="majorEastAsia"/>
          <w:b/>
          <w:sz w:val="28"/>
        </w:rPr>
        <w:t>：项目/设计型</w:t>
      </w:r>
    </w:p>
    <w:p w14:paraId="5FEAE82F">
      <w:pPr>
        <w:spacing w:before="0" w:after="16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34"/>
        </w:rPr>
        <w:t>基于动作捕捉与AI分析的远程体育动作训练评价应用案例</w:t>
      </w:r>
    </w:p>
    <w:p w14:paraId="30F85C48">
      <w:pPr>
        <w:spacing w:before="120" w:after="80" w:line="288"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7"/>
        </w:rPr>
        <w:t>1. 基本信息</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701"/>
        <w:gridCol w:w="7087"/>
      </w:tblGrid>
      <w:tr w14:paraId="37144EE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shd w:val="clear" w:color="auto" w:fill="D9EAF7"/>
            <w:tcMar>
              <w:top w:w="80" w:type="dxa"/>
              <w:left w:w="100" w:type="dxa"/>
              <w:bottom w:w="80" w:type="dxa"/>
              <w:right w:w="100" w:type="dxa"/>
            </w:tcMar>
            <w:vAlign w:val="center"/>
          </w:tcPr>
          <w:p w14:paraId="6CA96EF6">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字段</w:t>
            </w:r>
          </w:p>
        </w:tc>
        <w:tc>
          <w:tcPr>
            <w:tcW w:w="7087" w:type="dxa"/>
            <w:shd w:val="clear" w:color="auto" w:fill="D9EAF7"/>
            <w:tcMar>
              <w:top w:w="80" w:type="dxa"/>
              <w:left w:w="100" w:type="dxa"/>
              <w:bottom w:w="80" w:type="dxa"/>
              <w:right w:w="100" w:type="dxa"/>
            </w:tcMar>
            <w:vAlign w:val="center"/>
          </w:tcPr>
          <w:p w14:paraId="7F58DD65">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内容</w:t>
            </w:r>
          </w:p>
        </w:tc>
      </w:tr>
      <w:tr w14:paraId="4907A07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62EF5C56">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适用专业</w:t>
            </w:r>
          </w:p>
        </w:tc>
        <w:tc>
          <w:tcPr>
            <w:tcW w:w="7087" w:type="dxa"/>
            <w:tcMar>
              <w:top w:w="80" w:type="dxa"/>
              <w:left w:w="100" w:type="dxa"/>
              <w:bottom w:w="80" w:type="dxa"/>
              <w:right w:w="100" w:type="dxa"/>
            </w:tcMar>
            <w:vAlign w:val="center"/>
          </w:tcPr>
          <w:p w14:paraId="69D10709">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电子信息</w:t>
            </w:r>
            <w:r>
              <w:rPr>
                <w:rFonts w:hint="eastAsia" w:asciiTheme="majorEastAsia" w:hAnsiTheme="majorEastAsia" w:eastAsiaTheme="majorEastAsia" w:cstheme="majorEastAsia"/>
                <w:b w:val="0"/>
                <w:sz w:val="20"/>
                <w:lang w:val="en-US" w:eastAsia="zh-CN"/>
              </w:rPr>
              <w:t>工程</w:t>
            </w:r>
            <w:r>
              <w:rPr>
                <w:rFonts w:hint="eastAsia" w:asciiTheme="majorEastAsia" w:hAnsiTheme="majorEastAsia" w:eastAsiaTheme="majorEastAsia" w:cstheme="majorEastAsia"/>
                <w:b w:val="0"/>
                <w:sz w:val="20"/>
              </w:rPr>
              <w:t>、</w:t>
            </w:r>
            <w:r>
              <w:rPr>
                <w:rFonts w:hint="eastAsia" w:asciiTheme="majorEastAsia" w:hAnsiTheme="majorEastAsia" w:eastAsiaTheme="majorEastAsia" w:cstheme="majorEastAsia"/>
                <w:b w:val="0"/>
                <w:sz w:val="20"/>
                <w:lang w:val="en-US" w:eastAsia="zh-CN"/>
              </w:rPr>
              <w:t>通信工程</w:t>
            </w:r>
          </w:p>
        </w:tc>
      </w:tr>
      <w:tr w14:paraId="4E19597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301FFA99">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实验类型</w:t>
            </w:r>
          </w:p>
        </w:tc>
        <w:tc>
          <w:tcPr>
            <w:tcW w:w="7087" w:type="dxa"/>
            <w:tcMar>
              <w:top w:w="80" w:type="dxa"/>
              <w:left w:w="100" w:type="dxa"/>
              <w:bottom w:w="80" w:type="dxa"/>
              <w:right w:w="100" w:type="dxa"/>
            </w:tcMar>
            <w:vAlign w:val="center"/>
          </w:tcPr>
          <w:p w14:paraId="35E937DC">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项目/设计型</w:t>
            </w:r>
          </w:p>
        </w:tc>
      </w:tr>
      <w:tr w14:paraId="56DB98E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12872AB8">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周期</w:t>
            </w:r>
          </w:p>
        </w:tc>
        <w:tc>
          <w:tcPr>
            <w:tcW w:w="7087" w:type="dxa"/>
            <w:tcMar>
              <w:top w:w="80" w:type="dxa"/>
              <w:left w:w="100" w:type="dxa"/>
              <w:bottom w:w="80" w:type="dxa"/>
              <w:right w:w="100" w:type="dxa"/>
            </w:tcMar>
            <w:vAlign w:val="center"/>
          </w:tcPr>
          <w:p w14:paraId="5742AB2F">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6周</w:t>
            </w:r>
          </w:p>
        </w:tc>
      </w:tr>
      <w:tr w14:paraId="048D674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71C96FAA">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分组</w:t>
            </w:r>
          </w:p>
        </w:tc>
        <w:tc>
          <w:tcPr>
            <w:tcW w:w="7087" w:type="dxa"/>
            <w:tcMar>
              <w:top w:w="80" w:type="dxa"/>
              <w:left w:w="100" w:type="dxa"/>
              <w:bottom w:w="80" w:type="dxa"/>
              <w:right w:w="100" w:type="dxa"/>
            </w:tcMar>
            <w:vAlign w:val="center"/>
          </w:tcPr>
          <w:p w14:paraId="6EFAB5E5">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4人/组（角色：动捕系统工程师、AI算法工程师、虚拟仿真工程师、网络与测试工程师）</w:t>
            </w:r>
          </w:p>
        </w:tc>
      </w:tr>
      <w:tr w14:paraId="3A2ABA4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tcMar>
              <w:top w:w="80" w:type="dxa"/>
              <w:left w:w="100" w:type="dxa"/>
              <w:bottom w:w="80" w:type="dxa"/>
              <w:right w:w="100" w:type="dxa"/>
            </w:tcMar>
            <w:vAlign w:val="center"/>
          </w:tcPr>
          <w:p w14:paraId="5E056B0B">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前置认证</w:t>
            </w:r>
          </w:p>
        </w:tc>
        <w:tc>
          <w:tcPr>
            <w:tcW w:w="7087" w:type="dxa"/>
            <w:tcMar>
              <w:top w:w="80" w:type="dxa"/>
              <w:left w:w="100" w:type="dxa"/>
              <w:bottom w:w="80" w:type="dxa"/>
              <w:right w:w="100" w:type="dxa"/>
            </w:tcMar>
            <w:vAlign w:val="center"/>
          </w:tcPr>
          <w:p w14:paraId="6DCC995A">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C2/C3已通过“动作捕捉系统基础”认证</w:t>
            </w:r>
          </w:p>
        </w:tc>
      </w:tr>
    </w:tbl>
    <w:p w14:paraId="1584BF38">
      <w:pPr>
        <w:rPr>
          <w:rFonts w:hint="eastAsia" w:asciiTheme="majorEastAsia" w:hAnsiTheme="majorEastAsia" w:eastAsiaTheme="majorEastAsia" w:cstheme="majorEastAsia"/>
        </w:rPr>
      </w:pPr>
    </w:p>
    <w:p w14:paraId="1A6FDF34">
      <w:pPr>
        <w:spacing w:before="120" w:after="80" w:line="288"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7"/>
        </w:rPr>
        <w:t>2. 能力目标</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134"/>
        <w:gridCol w:w="7654"/>
      </w:tblGrid>
      <w:tr w14:paraId="07639CC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134" w:type="dxa"/>
            <w:shd w:val="clear" w:color="auto" w:fill="D9EAF7"/>
            <w:tcMar>
              <w:top w:w="80" w:type="dxa"/>
              <w:left w:w="100" w:type="dxa"/>
              <w:bottom w:w="80" w:type="dxa"/>
              <w:right w:w="100" w:type="dxa"/>
            </w:tcMar>
            <w:vAlign w:val="center"/>
          </w:tcPr>
          <w:p w14:paraId="68B9C2C4">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编码</w:t>
            </w:r>
          </w:p>
        </w:tc>
        <w:tc>
          <w:tcPr>
            <w:tcW w:w="7654" w:type="dxa"/>
            <w:shd w:val="clear" w:color="auto" w:fill="D9EAF7"/>
            <w:tcMar>
              <w:top w:w="80" w:type="dxa"/>
              <w:left w:w="100" w:type="dxa"/>
              <w:bottom w:w="80" w:type="dxa"/>
              <w:right w:w="100" w:type="dxa"/>
            </w:tcMar>
            <w:vAlign w:val="center"/>
          </w:tcPr>
          <w:p w14:paraId="7A6A0BCB">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具体化描述</w:t>
            </w:r>
          </w:p>
        </w:tc>
      </w:tr>
      <w:tr w14:paraId="47D8121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134" w:type="dxa"/>
            <w:tcMar>
              <w:top w:w="80" w:type="dxa"/>
              <w:left w:w="100" w:type="dxa"/>
              <w:bottom w:w="80" w:type="dxa"/>
              <w:right w:w="100" w:type="dxa"/>
            </w:tcMar>
            <w:vAlign w:val="center"/>
          </w:tcPr>
          <w:p w14:paraId="07001127">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C7</w:t>
            </w:r>
          </w:p>
        </w:tc>
        <w:tc>
          <w:tcPr>
            <w:tcW w:w="7654" w:type="dxa"/>
            <w:tcMar>
              <w:top w:w="80" w:type="dxa"/>
              <w:left w:w="100" w:type="dxa"/>
              <w:bottom w:w="80" w:type="dxa"/>
              <w:right w:w="100" w:type="dxa"/>
            </w:tcMar>
            <w:vAlign w:val="center"/>
          </w:tcPr>
          <w:p w14:paraId="47FC3BF0">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设计“动作采集—传输—分析—仿真—反馈”闭环系统，定义FZMotion、CENI、AI分析服务与Unity仿真平台之间的数据流、接口协议与CSV/FBX文件规范（结构维度）</w:t>
            </w:r>
          </w:p>
        </w:tc>
      </w:tr>
      <w:tr w14:paraId="43A0A61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134" w:type="dxa"/>
            <w:tcMar>
              <w:top w:w="80" w:type="dxa"/>
              <w:left w:w="100" w:type="dxa"/>
              <w:bottom w:w="80" w:type="dxa"/>
              <w:right w:w="100" w:type="dxa"/>
            </w:tcMar>
            <w:vAlign w:val="center"/>
          </w:tcPr>
          <w:p w14:paraId="4585B6B6">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C8</w:t>
            </w:r>
          </w:p>
        </w:tc>
        <w:tc>
          <w:tcPr>
            <w:tcW w:w="7654" w:type="dxa"/>
            <w:tcMar>
              <w:top w:w="80" w:type="dxa"/>
              <w:left w:w="100" w:type="dxa"/>
              <w:bottom w:w="80" w:type="dxa"/>
              <w:right w:w="100" w:type="dxa"/>
            </w:tcMar>
            <w:vAlign w:val="center"/>
          </w:tcPr>
          <w:p w14:paraId="35459A81">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应用光学动作捕捉、骨骼绑定、CSV/FBX数据导出、ROM/DTW/对称性/RMSE等动作评价规则，完成指标计算与合规验证（规则维度）</w:t>
            </w:r>
          </w:p>
        </w:tc>
      </w:tr>
      <w:tr w14:paraId="044D383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134" w:type="dxa"/>
            <w:tcMar>
              <w:top w:w="80" w:type="dxa"/>
              <w:left w:w="100" w:type="dxa"/>
              <w:bottom w:w="80" w:type="dxa"/>
              <w:right w:w="100" w:type="dxa"/>
            </w:tcMar>
            <w:vAlign w:val="center"/>
          </w:tcPr>
          <w:p w14:paraId="2B48EBE9">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C9</w:t>
            </w:r>
          </w:p>
        </w:tc>
        <w:tc>
          <w:tcPr>
            <w:tcW w:w="7654" w:type="dxa"/>
            <w:tcMar>
              <w:top w:w="80" w:type="dxa"/>
              <w:left w:w="100" w:type="dxa"/>
              <w:bottom w:w="80" w:type="dxa"/>
              <w:right w:w="100" w:type="dxa"/>
            </w:tcMar>
            <w:vAlign w:val="center"/>
          </w:tcPr>
          <w:p w14:paraId="4C9CACBF">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在“摄像机标定误差≤0.5px”“端到端反馈延迟≤500ms”“评分报告可解释”的约束下，权衡模型复杂度、传输开销与可视化反馈粒度（取舍维度）</w:t>
            </w:r>
          </w:p>
        </w:tc>
      </w:tr>
      <w:tr w14:paraId="14B520A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134" w:type="dxa"/>
            <w:tcMar>
              <w:top w:w="80" w:type="dxa"/>
              <w:left w:w="100" w:type="dxa"/>
              <w:bottom w:w="80" w:type="dxa"/>
              <w:right w:w="100" w:type="dxa"/>
            </w:tcMar>
            <w:vAlign w:val="center"/>
          </w:tcPr>
          <w:p w14:paraId="3AD2C17E">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C10</w:t>
            </w:r>
          </w:p>
        </w:tc>
        <w:tc>
          <w:tcPr>
            <w:tcW w:w="7654" w:type="dxa"/>
            <w:tcMar>
              <w:top w:w="80" w:type="dxa"/>
              <w:left w:w="100" w:type="dxa"/>
              <w:bottom w:w="80" w:type="dxa"/>
              <w:right w:w="100" w:type="dxa"/>
            </w:tcMar>
            <w:vAlign w:val="center"/>
          </w:tcPr>
          <w:p w14:paraId="41671E5C">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统筹动捕硬件、AI算法、虚拟人体仿真与未来网络平台，在标记点遮挡、帧同步漂移或网络延迟波动场景下避免局部优化导致整体训练评价失效（跨域）</w:t>
            </w:r>
          </w:p>
        </w:tc>
      </w:tr>
      <w:tr w14:paraId="57AAB41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134" w:type="dxa"/>
            <w:tcMar>
              <w:top w:w="80" w:type="dxa"/>
              <w:left w:w="100" w:type="dxa"/>
              <w:bottom w:w="80" w:type="dxa"/>
              <w:right w:w="100" w:type="dxa"/>
            </w:tcMar>
            <w:vAlign w:val="center"/>
          </w:tcPr>
          <w:p w14:paraId="633929FC">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C4</w:t>
            </w:r>
          </w:p>
        </w:tc>
        <w:tc>
          <w:tcPr>
            <w:tcW w:w="7654" w:type="dxa"/>
            <w:tcMar>
              <w:top w:w="80" w:type="dxa"/>
              <w:left w:w="100" w:type="dxa"/>
              <w:bottom w:w="80" w:type="dxa"/>
              <w:right w:w="100" w:type="dxa"/>
            </w:tcMar>
            <w:vAlign w:val="center"/>
          </w:tcPr>
          <w:p w14:paraId="284AB3DA">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在动作采集链路、CSV预处理、AI评分服务、Unity回放与CENI传输中注入故障，利用日志、抓包、偏差热力图和帧同步信息定位问题环节并调整策略</w:t>
            </w:r>
          </w:p>
        </w:tc>
      </w:tr>
      <w:tr w14:paraId="0D90862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134" w:type="dxa"/>
            <w:tcMar>
              <w:top w:w="80" w:type="dxa"/>
              <w:left w:w="100" w:type="dxa"/>
              <w:bottom w:w="80" w:type="dxa"/>
              <w:right w:w="100" w:type="dxa"/>
            </w:tcMar>
            <w:vAlign w:val="center"/>
          </w:tcPr>
          <w:p w14:paraId="36F08446">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C11</w:t>
            </w:r>
          </w:p>
        </w:tc>
        <w:tc>
          <w:tcPr>
            <w:tcW w:w="7654" w:type="dxa"/>
            <w:tcMar>
              <w:top w:w="80" w:type="dxa"/>
              <w:left w:w="100" w:type="dxa"/>
              <w:bottom w:w="80" w:type="dxa"/>
              <w:right w:w="100" w:type="dxa"/>
            </w:tcMar>
            <w:vAlign w:val="center"/>
          </w:tcPr>
          <w:p w14:paraId="6A7177AA">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使用Git管理代码、数据版本与阶段标签，撰写接口说明、测试报告、反馈报告与AI协作声明，完成团队互评与最终答辩</w:t>
            </w:r>
          </w:p>
        </w:tc>
      </w:tr>
    </w:tbl>
    <w:p w14:paraId="07BDDDFD">
      <w:pPr>
        <w:rPr>
          <w:rFonts w:hint="eastAsia" w:asciiTheme="majorEastAsia" w:hAnsiTheme="majorEastAsia" w:eastAsiaTheme="majorEastAsia" w:cstheme="majorEastAsia"/>
        </w:rPr>
      </w:pPr>
    </w:p>
    <w:p w14:paraId="596129B1">
      <w:pPr>
        <w:spacing w:before="120" w:after="80" w:line="288"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7"/>
        </w:rPr>
        <w:t>3. 阶段化任务与进阶指标</w:t>
      </w:r>
    </w:p>
    <w:p w14:paraId="5510B182">
      <w:pPr>
        <w:spacing w:before="40" w:after="40" w:line="276"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3"/>
        </w:rPr>
        <w:t>阶段1：系统认知与标准化采集（第1–2周）——基础层</w:t>
      </w:r>
    </w:p>
    <w:p w14:paraId="7858FE28">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任务：</w:t>
      </w:r>
      <w:r>
        <w:rPr>
          <w:rFonts w:hint="eastAsia" w:asciiTheme="majorEastAsia" w:hAnsiTheme="majorEastAsia" w:eastAsiaTheme="majorEastAsia" w:cstheme="majorEastAsia"/>
          <w:sz w:val="21"/>
        </w:rPr>
        <w:t>完成FZMotion系统硬件识别、采集空间布置、摄像机内外参标定、39点位标记点布设、T-Pose骨骼绑定；选择篮球投篮/运球、体操、舞蹈或康复训练等动作，采集“标准动作”与“学生动作”各3–5组，并导出CSV关键点时序数据与FBX骨骼动画文件。</w:t>
      </w:r>
    </w:p>
    <w:p w14:paraId="60D464C1">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进阶指标：</w:t>
      </w:r>
      <w:r>
        <w:rPr>
          <w:rFonts w:hint="eastAsia" w:asciiTheme="majorEastAsia" w:hAnsiTheme="majorEastAsia" w:eastAsiaTheme="majorEastAsia" w:cstheme="majorEastAsia"/>
          <w:sz w:val="21"/>
        </w:rPr>
        <w:t>标定重投影误差≤0.5px；CSV数据帧率100fps且字段命名完整；FBX可在Unity中正常加载；数据命名符合“学生ID-动作类型-采集序号”规范。</w:t>
      </w:r>
    </w:p>
    <w:p w14:paraId="6CC081A1">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里程碑：</w:t>
      </w:r>
      <w:r>
        <w:rPr>
          <w:rFonts w:hint="eastAsia" w:asciiTheme="majorEastAsia" w:hAnsiTheme="majorEastAsia" w:eastAsiaTheme="majorEastAsia" w:cstheme="majorEastAsia"/>
          <w:sz w:val="21"/>
        </w:rPr>
        <w:t>数据采集规范评审（教师检查标定报告、点位布设、CSV/FBX导出与CENI上传Task ID）。</w:t>
      </w:r>
    </w:p>
    <w:p w14:paraId="3BE8877C">
      <w:pPr>
        <w:spacing w:before="40" w:after="40" w:line="276"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3"/>
        </w:rPr>
        <w:t>阶段2：AI评价指标构建与报告生成（第3周）——进阶层</w:t>
      </w:r>
    </w:p>
    <w:p w14:paraId="3DB030BC">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任务：</w:t>
      </w:r>
      <w:r>
        <w:rPr>
          <w:rFonts w:hint="eastAsia" w:asciiTheme="majorEastAsia" w:hAnsiTheme="majorEastAsia" w:eastAsiaTheme="majorEastAsia" w:cstheme="majorEastAsia"/>
          <w:sz w:val="21"/>
        </w:rPr>
        <w:t>基于Python完成CSV预处理（缺帧插补、坐标归一化、高斯滤波）；构建动作幅度ROM、节奏一致性DTW、左右对称性、关键帧关节角度RMSE四维指标；按权重融合生成0–100分综合评分，并自动生成PDF个性化反馈报告。</w:t>
      </w:r>
    </w:p>
    <w:p w14:paraId="00DABB8B">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进阶指标：</w:t>
      </w:r>
      <w:r>
        <w:rPr>
          <w:rFonts w:hint="eastAsia" w:asciiTheme="majorEastAsia" w:hAnsiTheme="majorEastAsia" w:eastAsiaTheme="majorEastAsia" w:cstheme="majorEastAsia"/>
          <w:sz w:val="21"/>
        </w:rPr>
        <w:t>缺帧插补后异常帧占比&lt;1%；对称性阈值0.85可复现实验结果；关键帧角度RMSE计算误差&lt;3°；反馈报告须包含雷达图、折线图、偏差截图与自然语言改进建议。</w:t>
      </w:r>
    </w:p>
    <w:p w14:paraId="100F9205">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里程碑：</w:t>
      </w:r>
      <w:r>
        <w:rPr>
          <w:rFonts w:hint="eastAsia" w:asciiTheme="majorEastAsia" w:hAnsiTheme="majorEastAsia" w:eastAsiaTheme="majorEastAsia" w:cstheme="majorEastAsia"/>
          <w:sz w:val="21"/>
        </w:rPr>
        <w:t>AI评分服务联调（演示标准动作与学生动作输入、指标输出、评分融合与反馈报告自动生成）。</w:t>
      </w:r>
    </w:p>
    <w:p w14:paraId="70A7B6DB">
      <w:pPr>
        <w:spacing w:before="40" w:after="40" w:line="276"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3"/>
        </w:rPr>
        <w:t>阶段3：虚拟仿真与远程闭环集成（第4–5周）——核心层</w:t>
      </w:r>
    </w:p>
    <w:p w14:paraId="51EF30DF">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任务：</w:t>
      </w:r>
      <w:r>
        <w:rPr>
          <w:rFonts w:hint="eastAsia" w:asciiTheme="majorEastAsia" w:hAnsiTheme="majorEastAsia" w:eastAsiaTheme="majorEastAsia" w:cstheme="majorEastAsia"/>
          <w:sz w:val="21"/>
        </w:rPr>
        <w:t>在Unity中构建“标准动作—学生动作”双通道对比回放场景，实现FBX动画帧同步播放、偏差关节高亮标注和关键姿态截图；通过CENI完成“动作采集—数据上传—AI评分—虚拟对比—报告回传”全链路演示。</w:t>
      </w:r>
    </w:p>
    <w:p w14:paraId="48581C70">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进阶指标：</w:t>
      </w:r>
      <w:r>
        <w:rPr>
          <w:rFonts w:hint="eastAsia" w:asciiTheme="majorEastAsia" w:hAnsiTheme="majorEastAsia" w:eastAsiaTheme="majorEastAsia" w:cstheme="majorEastAsia"/>
          <w:sz w:val="21"/>
        </w:rPr>
        <w:t>双通道回放帧同步误差≤2帧；偏差&gt;15°关节高亮准确率≥90%；CENI端到端结果回传延迟≤500ms；完整闭环演示视频不少于3分钟且流程连续无断点。</w:t>
      </w:r>
    </w:p>
    <w:p w14:paraId="45828EE0">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里程碑：</w:t>
      </w:r>
      <w:r>
        <w:rPr>
          <w:rFonts w:hint="eastAsia" w:asciiTheme="majorEastAsia" w:hAnsiTheme="majorEastAsia" w:eastAsiaTheme="majorEastAsia" w:cstheme="majorEastAsia"/>
          <w:sz w:val="21"/>
        </w:rPr>
        <w:t>闭环应用达标（现场演示远程提交、AI评分、Unity对比回放与反馈报告回传）。</w:t>
      </w:r>
    </w:p>
    <w:p w14:paraId="55B45C20">
      <w:pPr>
        <w:spacing w:before="40" w:after="40" w:line="276"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3"/>
        </w:rPr>
        <w:t>阶段4：故障诊断与跨域优化（第6周）——高阶层</w:t>
      </w:r>
    </w:p>
    <w:p w14:paraId="05AC098A">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任务：</w:t>
      </w:r>
      <w:r>
        <w:rPr>
          <w:rFonts w:hint="eastAsia" w:asciiTheme="majorEastAsia" w:hAnsiTheme="majorEastAsia" w:eastAsiaTheme="majorEastAsia" w:cstheme="majorEastAsia"/>
          <w:sz w:val="21"/>
        </w:rPr>
        <w:t>教师在现场抽签注入故障：1. 动捕端遮挡2–3个关键标记点或引入T-Pose绑定偏差；2. CENI链路加入100–500ms可变延迟或1%随机丢包；3. AI服务端返回异常帧/评分漂移；学生须利用FZMotion日志、Python异常检测、Wireshark/tcpdump抓包与Unity帧同步记录定位问题环节，调整补帧、滤波、缓存、重传或偏差阈值策略，维持远程训练评价服务质量。</w:t>
      </w:r>
    </w:p>
    <w:p w14:paraId="4F6D0C46">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进阶指标：</w:t>
      </w:r>
      <w:r>
        <w:rPr>
          <w:rFonts w:hint="eastAsia" w:asciiTheme="majorEastAsia" w:hAnsiTheme="majorEastAsia" w:eastAsiaTheme="majorEastAsia" w:cstheme="majorEastAsia"/>
          <w:sz w:val="21"/>
        </w:rPr>
        <w:t>故障定位时间&lt;20分钟；优化后端到端反馈延迟恢复至≤800ms；综合评分偏差较故障状态降低50%以上；必须提交故障链路证据、根因分析与优化前后对比图。</w:t>
      </w:r>
    </w:p>
    <w:p w14:paraId="2582B511">
      <w:pPr>
        <w:spacing w:before="0" w:after="40" w:line="269"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 里程碑：</w:t>
      </w:r>
      <w:r>
        <w:rPr>
          <w:rFonts w:hint="eastAsia" w:asciiTheme="majorEastAsia" w:hAnsiTheme="majorEastAsia" w:eastAsiaTheme="majorEastAsia" w:cstheme="majorEastAsia"/>
          <w:sz w:val="21"/>
        </w:rPr>
        <w:t>故障恢复演示+最终答辩。</w:t>
      </w:r>
    </w:p>
    <w:p w14:paraId="3B12F2D9">
      <w:pPr>
        <w:spacing w:before="120" w:after="80" w:line="288"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7"/>
        </w:rPr>
        <w:t>4. 个性化锚点</w:t>
      </w:r>
    </w:p>
    <w:p w14:paraId="5A1077DA">
      <w:pPr>
        <w:pStyle w:val="16"/>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每组分配不同体育动作类型（篮球投篮/运球、体操、舞蹈、康复训练），对应的关键关节、标准动作模板与评分权重各不相同。</w:t>
      </w:r>
    </w:p>
    <w:p w14:paraId="4EF2B29C">
      <w:pPr>
        <w:pStyle w:val="16"/>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每组分配不同受训者体型参数与训练水平，导致骨骼尺度归一化、关节活动范围与动作节奏基准存在差异。</w:t>
      </w:r>
    </w:p>
    <w:p w14:paraId="34EFC92F">
      <w:pPr>
        <w:pStyle w:val="16"/>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每组使用不同的数据采集条件（标记点遮挡比例、采集距离、光照/反光干扰），影响标定质量与缺帧修复策略。</w:t>
      </w:r>
    </w:p>
    <w:p w14:paraId="2940D1E4">
      <w:pPr>
        <w:pStyle w:val="16"/>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阶段4的网络损伤参数、标记点遮挡位置、AI服务异常类型现场抽签决定。</w:t>
      </w:r>
    </w:p>
    <w:p w14:paraId="5057C5BC">
      <w:pPr>
        <w:spacing w:before="120" w:after="80" w:line="288"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7"/>
        </w:rPr>
        <w:t>5. 交付物与证据</w:t>
      </w:r>
    </w:p>
    <w:p w14:paraId="31C7F8D3">
      <w:pPr>
        <w:pStyle w:val="16"/>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阶段交付：每阶段提交简报+Git标签（v1.0采集规范/v2.0评分服务/v3.0闭环达标/v4.0最终）。</w:t>
      </w:r>
    </w:p>
    <w:p w14:paraId="688FDF27">
      <w:pPr>
        <w:pStyle w:val="16"/>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过程证据：</w:t>
      </w:r>
    </w:p>
    <w:p w14:paraId="51C4FC70">
      <w:pPr>
        <w:pStyle w:val="23"/>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实验日志（含标定迭代、采集异常、数据清洗假设、至少1次失败修正）</w:t>
      </w:r>
    </w:p>
    <w:p w14:paraId="3459234A">
      <w:pPr>
        <w:pStyle w:val="23"/>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FZMotion标定报告、39点位布设照片、CSV/FBX原始数据与数据字典</w:t>
      </w:r>
    </w:p>
    <w:p w14:paraId="1F3EAC2A">
      <w:pPr>
        <w:pStyle w:val="23"/>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Python预处理脚本、AI评价指标计算代码、评分结果与PDF反馈报告</w:t>
      </w:r>
    </w:p>
    <w:p w14:paraId="44661CC5">
      <w:pPr>
        <w:pStyle w:val="23"/>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Unity工程截图、双通道回放视频、偏差关节高亮截图与关键姿态对比图</w:t>
      </w:r>
    </w:p>
    <w:p w14:paraId="0AD00732">
      <w:pPr>
        <w:pStyle w:val="23"/>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CENI上传Task ID、端到端延迟日志、Wireshark/tcpdump抓包文件（pcap）</w:t>
      </w:r>
    </w:p>
    <w:p w14:paraId="5A675832">
      <w:pPr>
        <w:pStyle w:val="23"/>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角色分工与互评表</w:t>
      </w:r>
    </w:p>
    <w:p w14:paraId="29CEB7FE">
      <w:pPr>
        <w:pStyle w:val="23"/>
        <w:spacing w:before="0" w:after="4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sz w:val="21"/>
        </w:rPr>
        <w:t>AI协作声明与批判性反思（必答：AI给出的“只提高模型精度”方案在实时反馈链路中隐藏的延迟与可解释性风险）</w:t>
      </w:r>
    </w:p>
    <w:p w14:paraId="6DCA6791">
      <w:pPr>
        <w:spacing w:before="120" w:after="80" w:line="288"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7"/>
        </w:rPr>
        <w:t>6. 评价量规（阶段进阶）</w:t>
      </w:r>
    </w:p>
    <w:tbl>
      <w:tblPr>
        <w:tblStyle w:val="33"/>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1927"/>
        <w:gridCol w:w="907"/>
        <w:gridCol w:w="6010"/>
      </w:tblGrid>
      <w:tr w14:paraId="6522FCD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8" w:type="dxa"/>
            <w:shd w:val="clear" w:color="auto" w:fill="D9EAF7"/>
            <w:tcMar>
              <w:top w:w="80" w:type="dxa"/>
              <w:left w:w="100" w:type="dxa"/>
              <w:bottom w:w="80" w:type="dxa"/>
              <w:right w:w="100" w:type="dxa"/>
            </w:tcMar>
            <w:vAlign w:val="center"/>
          </w:tcPr>
          <w:p w14:paraId="3001C340">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考核项</w:t>
            </w:r>
          </w:p>
        </w:tc>
        <w:tc>
          <w:tcPr>
            <w:tcW w:w="907" w:type="dxa"/>
            <w:shd w:val="clear" w:color="auto" w:fill="D9EAF7"/>
            <w:tcMar>
              <w:top w:w="80" w:type="dxa"/>
              <w:left w:w="100" w:type="dxa"/>
              <w:bottom w:w="80" w:type="dxa"/>
              <w:right w:w="100" w:type="dxa"/>
            </w:tcMar>
            <w:vAlign w:val="center"/>
          </w:tcPr>
          <w:p w14:paraId="7A044EFB">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权重</w:t>
            </w:r>
          </w:p>
        </w:tc>
        <w:tc>
          <w:tcPr>
            <w:tcW w:w="6009" w:type="dxa"/>
            <w:shd w:val="clear" w:color="auto" w:fill="D9EAF7"/>
            <w:tcMar>
              <w:top w:w="80" w:type="dxa"/>
              <w:left w:w="100" w:type="dxa"/>
              <w:bottom w:w="80" w:type="dxa"/>
              <w:right w:w="100" w:type="dxa"/>
            </w:tcMar>
            <w:vAlign w:val="center"/>
          </w:tcPr>
          <w:p w14:paraId="68C05C0E">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1"/>
              </w:rPr>
              <w:t>评价标准</w:t>
            </w:r>
          </w:p>
        </w:tc>
      </w:tr>
      <w:tr w14:paraId="5406A61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131BC54E">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阶段1 系统认知与采集</w:t>
            </w:r>
          </w:p>
        </w:tc>
        <w:tc>
          <w:tcPr>
            <w:tcW w:w="907" w:type="dxa"/>
            <w:tcMar>
              <w:top w:w="80" w:type="dxa"/>
              <w:left w:w="100" w:type="dxa"/>
              <w:bottom w:w="80" w:type="dxa"/>
              <w:right w:w="100" w:type="dxa"/>
            </w:tcMar>
            <w:vAlign w:val="center"/>
          </w:tcPr>
          <w:p w14:paraId="14C693EC">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15%</w:t>
            </w:r>
          </w:p>
        </w:tc>
        <w:tc>
          <w:tcPr>
            <w:tcW w:w="6009" w:type="dxa"/>
            <w:tcMar>
              <w:top w:w="80" w:type="dxa"/>
              <w:left w:w="100" w:type="dxa"/>
              <w:bottom w:w="80" w:type="dxa"/>
              <w:right w:w="100" w:type="dxa"/>
            </w:tcMar>
            <w:vAlign w:val="center"/>
          </w:tcPr>
          <w:p w14:paraId="1EC8455D">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系统拓扑与流程理解、标定质量、点位布设规范、CSV/FBX导出完整性（标定误差≤0.5px且数据命名合规得满分；标定误差&gt;1px不得分）</w:t>
            </w:r>
          </w:p>
        </w:tc>
      </w:tr>
      <w:tr w14:paraId="1FB76990">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2A887528">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阶段2 AI评价指标</w:t>
            </w:r>
          </w:p>
        </w:tc>
        <w:tc>
          <w:tcPr>
            <w:tcW w:w="907" w:type="dxa"/>
            <w:tcMar>
              <w:top w:w="80" w:type="dxa"/>
              <w:left w:w="100" w:type="dxa"/>
              <w:bottom w:w="80" w:type="dxa"/>
              <w:right w:w="100" w:type="dxa"/>
            </w:tcMar>
            <w:vAlign w:val="center"/>
          </w:tcPr>
          <w:p w14:paraId="5995393A">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15%</w:t>
            </w:r>
          </w:p>
        </w:tc>
        <w:tc>
          <w:tcPr>
            <w:tcW w:w="6009" w:type="dxa"/>
            <w:tcMar>
              <w:top w:w="80" w:type="dxa"/>
              <w:left w:w="100" w:type="dxa"/>
              <w:bottom w:w="80" w:type="dxa"/>
              <w:right w:w="100" w:type="dxa"/>
            </w:tcMar>
            <w:vAlign w:val="center"/>
          </w:tcPr>
          <w:p w14:paraId="33361337">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预处理可复现、ROM/DTW/对称性/RMSE指标正确、评分报告完整（RMSE误差&lt;3°且异常帧占比&lt;1%得满分）</w:t>
            </w:r>
          </w:p>
        </w:tc>
      </w:tr>
      <w:tr w14:paraId="2D4A982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67C59951">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阶段3 远程闭环性能</w:t>
            </w:r>
          </w:p>
        </w:tc>
        <w:tc>
          <w:tcPr>
            <w:tcW w:w="907" w:type="dxa"/>
            <w:tcMar>
              <w:top w:w="80" w:type="dxa"/>
              <w:left w:w="100" w:type="dxa"/>
              <w:bottom w:w="80" w:type="dxa"/>
              <w:right w:w="100" w:type="dxa"/>
            </w:tcMar>
            <w:vAlign w:val="center"/>
          </w:tcPr>
          <w:p w14:paraId="49071062">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25%</w:t>
            </w:r>
          </w:p>
        </w:tc>
        <w:tc>
          <w:tcPr>
            <w:tcW w:w="6009" w:type="dxa"/>
            <w:tcMar>
              <w:top w:w="80" w:type="dxa"/>
              <w:left w:w="100" w:type="dxa"/>
              <w:bottom w:w="80" w:type="dxa"/>
              <w:right w:w="100" w:type="dxa"/>
            </w:tcMar>
            <w:vAlign w:val="center"/>
          </w:tcPr>
          <w:p w14:paraId="62066540">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Unity双通道同步、偏差高亮准确、CENI回传延迟≤500ms得满分；延迟每超100ms扣20%</w:t>
            </w:r>
          </w:p>
        </w:tc>
      </w:tr>
      <w:tr w14:paraId="5B4B86B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01E016DA">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阶段4 故障诊断</w:t>
            </w:r>
          </w:p>
        </w:tc>
        <w:tc>
          <w:tcPr>
            <w:tcW w:w="907" w:type="dxa"/>
            <w:tcMar>
              <w:top w:w="80" w:type="dxa"/>
              <w:left w:w="100" w:type="dxa"/>
              <w:bottom w:w="80" w:type="dxa"/>
              <w:right w:w="100" w:type="dxa"/>
            </w:tcMar>
            <w:vAlign w:val="center"/>
          </w:tcPr>
          <w:p w14:paraId="0AEB67BF">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25%</w:t>
            </w:r>
          </w:p>
        </w:tc>
        <w:tc>
          <w:tcPr>
            <w:tcW w:w="6009" w:type="dxa"/>
            <w:tcMar>
              <w:top w:w="80" w:type="dxa"/>
              <w:left w:w="100" w:type="dxa"/>
              <w:bottom w:w="80" w:type="dxa"/>
              <w:right w:w="100" w:type="dxa"/>
            </w:tcMar>
            <w:vAlign w:val="center"/>
          </w:tcPr>
          <w:p w14:paraId="35FC09B9">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定位时间&lt;20min且优化后评分偏差降低&gt;50%得满分；定位环节错误或无证据不得分</w:t>
            </w:r>
          </w:p>
        </w:tc>
      </w:tr>
      <w:tr w14:paraId="73567E9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64235188">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过程与协作</w:t>
            </w:r>
          </w:p>
        </w:tc>
        <w:tc>
          <w:tcPr>
            <w:tcW w:w="907" w:type="dxa"/>
            <w:tcMar>
              <w:top w:w="80" w:type="dxa"/>
              <w:left w:w="100" w:type="dxa"/>
              <w:bottom w:w="80" w:type="dxa"/>
              <w:right w:w="100" w:type="dxa"/>
            </w:tcMar>
            <w:vAlign w:val="center"/>
          </w:tcPr>
          <w:p w14:paraId="25DE5EDA">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10%</w:t>
            </w:r>
          </w:p>
        </w:tc>
        <w:tc>
          <w:tcPr>
            <w:tcW w:w="6009" w:type="dxa"/>
            <w:tcMar>
              <w:top w:w="80" w:type="dxa"/>
              <w:left w:w="100" w:type="dxa"/>
              <w:bottom w:w="80" w:type="dxa"/>
              <w:right w:w="100" w:type="dxa"/>
            </w:tcMar>
            <w:vAlign w:val="center"/>
          </w:tcPr>
          <w:p w14:paraId="5E5858A4">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Git提交历史与里程碑匹配、角色互评、实验日志规范性、数据版本可追溯</w:t>
            </w:r>
          </w:p>
        </w:tc>
      </w:tr>
      <w:tr w14:paraId="4D85436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4651AB1D">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报告与答辩</w:t>
            </w:r>
          </w:p>
        </w:tc>
        <w:tc>
          <w:tcPr>
            <w:tcW w:w="907" w:type="dxa"/>
            <w:tcMar>
              <w:top w:w="80" w:type="dxa"/>
              <w:left w:w="100" w:type="dxa"/>
              <w:bottom w:w="80" w:type="dxa"/>
              <w:right w:w="100" w:type="dxa"/>
            </w:tcMar>
            <w:vAlign w:val="center"/>
          </w:tcPr>
          <w:p w14:paraId="16B50321">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5%</w:t>
            </w:r>
          </w:p>
        </w:tc>
        <w:tc>
          <w:tcPr>
            <w:tcW w:w="6009" w:type="dxa"/>
            <w:tcMar>
              <w:top w:w="80" w:type="dxa"/>
              <w:left w:w="100" w:type="dxa"/>
              <w:bottom w:w="80" w:type="dxa"/>
              <w:right w:w="100" w:type="dxa"/>
            </w:tcMar>
            <w:vAlign w:val="center"/>
          </w:tcPr>
          <w:p w14:paraId="46BEEA9C">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技术报告结构、术语规范、演示视频连续性与现场表达</w:t>
            </w:r>
          </w:p>
        </w:tc>
      </w:tr>
      <w:tr w14:paraId="3C60851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8" w:type="dxa"/>
            <w:tcMar>
              <w:top w:w="80" w:type="dxa"/>
              <w:left w:w="100" w:type="dxa"/>
              <w:bottom w:w="80" w:type="dxa"/>
              <w:right w:w="100" w:type="dxa"/>
            </w:tcMar>
            <w:vAlign w:val="center"/>
          </w:tcPr>
          <w:p w14:paraId="7A08BF24">
            <w:pPr>
              <w:spacing w:before="0" w:after="0" w:line="264"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AI反思</w:t>
            </w:r>
          </w:p>
        </w:tc>
        <w:tc>
          <w:tcPr>
            <w:tcW w:w="907" w:type="dxa"/>
            <w:tcMar>
              <w:top w:w="80" w:type="dxa"/>
              <w:left w:w="100" w:type="dxa"/>
              <w:bottom w:w="80" w:type="dxa"/>
              <w:right w:w="100" w:type="dxa"/>
            </w:tcMar>
            <w:vAlign w:val="center"/>
          </w:tcPr>
          <w:p w14:paraId="306F7FEB">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5%</w:t>
            </w:r>
          </w:p>
        </w:tc>
        <w:tc>
          <w:tcPr>
            <w:tcW w:w="6009" w:type="dxa"/>
            <w:tcMar>
              <w:top w:w="80" w:type="dxa"/>
              <w:left w:w="100" w:type="dxa"/>
              <w:bottom w:w="80" w:type="dxa"/>
              <w:right w:w="100" w:type="dxa"/>
            </w:tcMar>
            <w:vAlign w:val="center"/>
          </w:tcPr>
          <w:p w14:paraId="3A0BB70B">
            <w:pPr>
              <w:spacing w:before="0" w:after="0" w:line="264"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0"/>
              </w:rPr>
              <w:t>批判性分析深度；合理识别AI建议在实时性、隐私、可解释性方面的隐藏风险并验证可加分</w:t>
            </w:r>
          </w:p>
        </w:tc>
      </w:tr>
    </w:tbl>
    <w:p w14:paraId="40331B52">
      <w:pPr>
        <w:rPr>
          <w:rFonts w:hint="eastAsia" w:asciiTheme="majorEastAsia" w:hAnsiTheme="majorEastAsia" w:eastAsiaTheme="majorEastAsia" w:cstheme="majorEastAsia"/>
        </w:rPr>
      </w:pPr>
    </w:p>
    <w:p w14:paraId="7B28D039">
      <w:pPr>
        <w:spacing w:before="0" w:after="60" w:line="276"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b w:val="0"/>
          <w:sz w:val="21"/>
        </w:rPr>
        <w:t>进阶区分：阶段3+阶段4合计占50%，优秀团队须同时满足远程闭环性能指标与故障诊断时效；仅完成阶段1–2视为“基本达成</w:t>
      </w:r>
      <w:bookmarkStart w:id="0" w:name="_GoBack"/>
      <w:bookmarkEnd w:id="0"/>
      <w:r>
        <w:rPr>
          <w:rFonts w:hint="eastAsia" w:asciiTheme="majorEastAsia" w:hAnsiTheme="majorEastAsia" w:eastAsiaTheme="majorEastAsia" w:cstheme="majorEastAsia"/>
          <w:b w:val="0"/>
          <w:sz w:val="21"/>
        </w:rPr>
        <w:t>”。</w:t>
      </w:r>
    </w:p>
    <w:sectPr>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DE05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2335</Words>
  <Characters>2770</Characters>
  <Lines>0</Lines>
  <Paragraphs>0</Paragraphs>
  <TotalTime>1</TotalTime>
  <ScaleCrop>false</ScaleCrop>
  <LinksUpToDate>false</LinksUpToDate>
  <CharactersWithSpaces>2799</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孙松林</cp:lastModifiedBy>
  <dcterms:modified xsi:type="dcterms:W3CDTF">2026-05-13T00:11:34Z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eyJoZGlkIjoiZTQ4ODQwNThiYTg4YTBlNDhkZDRmNGNiNWM5NWE1YzAiLCJ1c2VySWQiOiIxNDg1NjQ1ODYxIn0=</vt:lpwstr>
  </property>
  <property fmtid="{D5CDD505-2E9C-101B-9397-08002B2CF9AE}" pid="3" name="KSOProductBuildVer">
    <vt:lpwstr>2052-12.1.0.25860</vt:lpwstr>
  </property>
  <property fmtid="{D5CDD505-2E9C-101B-9397-08002B2CF9AE}" pid="4" name="ICV">
    <vt:lpwstr>B657263AE2A643FE953ECD1FE4FEC4F0_12</vt:lpwstr>
  </property>
</Properties>
</file>