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2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毕业设计综合进展报告</w:t>
      </w:r>
    </w:p>
    <w:p>
      <w:pPr>
        <w:spacing w:before="0" w:after="120"/>
        <w:jc w:val="center"/>
      </w:pPr>
      <w:r>
        <w:rPr>
          <w:rFonts w:ascii="宋体" w:cs="宋体" w:eastAsia="宋体" w:hAnsi="宋体"/>
          <w:color w:val="444444"/>
          <w:sz w:val="28"/>
          <w:szCs w:val="28"/>
        </w:rPr>
        <w:t xml:space="preserve">——实验流程、数据分析与阶段总结</w:t>
      </w:r>
    </w:p>
    <w:p>
      <w:pPr>
        <w:spacing w:before="0" w:after="0"/>
      </w:pPr>
      <w:r>
        <w:t xml:space="preserve"/>
      </w:r>
    </w:p>
    <w:p>
      <w:pPr>
        <w:spacing w:before="60" w:after="6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题目：面向信号干扰检测与识别的视频传输平台开发</w:t>
      </w:r>
    </w:p>
    <w:p>
      <w:pPr>
        <w:spacing w:before="60" w:after="6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学生：李智杰    学号：2022010843</w:t>
      </w:r>
    </w:p>
    <w:p>
      <w:pPr>
        <w:spacing w:before="60" w:after="6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专业：通信工程（卓越）    班级：通信2201</w:t>
      </w:r>
    </w:p>
    <w:p>
      <w:pPr>
        <w:spacing w:before="60" w:after="6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指导教师：刘磊（工程师）</w:t>
      </w:r>
    </w:p>
    <w:p>
      <w:pPr>
        <w:spacing w:before="60" w:after="6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单位：悦成移动互联网孵化基地</w:t>
      </w:r>
    </w:p>
    <w:p>
      <w:pPr>
        <w:spacing w:before="60" w:after="6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日期：2026年3月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一、项目背景与研究意义</w:t>
      </w:r>
    </w:p>
    <w:p>
      <w:pPr>
        <w:spacing w:before="100" w:after="100" w:line="36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随着无线通信技术向6G时代演进，电磁环境呈现高度复杂化与多样化特征。频谱资源日益紧张，通信系统、雷达系统与恶意干扰源相互交叠，形成复杂电磁干扰态势。传统通信系统的抗干扰机制多为静态设计，存在适配性不足、检测精度低等问题，难以满足复杂场景下的通信可靠性需求。</w:t>
      </w:r>
    </w:p>
    <w:p>
      <w:pPr>
        <w:spacing w:before="100" w:after="100" w:line="36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视频传输对通信质量要求极高，当链路遭受干扰时视频质量急剧下降甚至中断。本课题以深度学习算法为核心，结合USRP软件无线电硬件平台，构建「仿真建模—硬件实测—性能验证」一体化技术方案，开发能够实时检测和识别信号干扰的智能视频传输平台，对保障5G/6G网络中视频业务的稳定性具有重要工程实践意义。</w:t>
      </w:r>
    </w:p>
    <w:p>
      <w:pPr>
        <w:spacing w:before="0" w:after="0"/>
      </w:pPr>
      <w:r>
        <w:t xml:space="preserve"/>
      </w:r>
    </w:p>
    <w:p>
      <w:pPr>
        <w:spacing w:before="100" w:after="120"/>
        <w:jc w:val="center"/>
      </w:pPr>
      <w:r>
        <w:rPr>
          <w:rFonts w:ascii="宋体" w:cs="宋体" w:eastAsia="宋体" w:hAnsi="宋体"/>
          <w:b/>
          <w:bCs/>
          <w:sz w:val="20"/>
          <w:szCs w:val="20"/>
        </w:rPr>
        <w:t xml:space="preserve">表1-1  系统设计指标与当前实测结果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指标项</w:t>
            </w:r>
          </w:p>
        </w:tc>
        <w:tc>
          <w:tcPr>
            <w:tcW w:type="dxa" w:w="3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任务书要求</w:t>
            </w:r>
          </w:p>
        </w:tc>
        <w:tc>
          <w:tcPr>
            <w:tcW w:type="dxa" w:w="3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当前完成情况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干扰检出率</w:t>
            </w:r>
          </w:p>
        </w:tc>
        <w:tc>
          <w:tcPr>
            <w:tcW w:type="dxa" w:w="3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≥ 90%</w:t>
            </w:r>
          </w:p>
        </w:tc>
        <w:tc>
          <w:tcPr>
            <w:tcW w:type="dxa" w:w="3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离线99.71%，实机主要类型100%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识别准确率</w:t>
            </w:r>
          </w:p>
        </w:tc>
        <w:tc>
          <w:tcPr>
            <w:tcW w:type="dxa" w:w="3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≥ 90%</w:t>
            </w:r>
          </w:p>
        </w:tc>
        <w:tc>
          <w:tcPr>
            <w:tcW w:type="dxa" w:w="3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JSR≥12dB时全类别≥92%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推理延迟</w:t>
            </w:r>
          </w:p>
        </w:tc>
        <w:tc>
          <w:tcPr>
            <w:tcW w:type="dxa" w:w="3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全链路≤100ms</w:t>
            </w:r>
          </w:p>
        </w:tc>
        <w:tc>
          <w:tcPr>
            <w:tcW w:type="dxa" w:w="3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CCNN推理~20ms（满足分项）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视频帧率（无干扰）</w:t>
            </w:r>
          </w:p>
        </w:tc>
        <w:tc>
          <w:tcPr>
            <w:tcW w:type="dxa" w:w="3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≥ 25 fps</w:t>
            </w:r>
          </w:p>
        </w:tc>
        <w:tc>
          <w:tcPr>
            <w:tcW w:type="dxa" w:w="3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待完成（视频传输模块）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视频帧率（强干扰）</w:t>
            </w:r>
          </w:p>
        </w:tc>
        <w:tc>
          <w:tcPr>
            <w:tcW w:type="dxa" w:w="3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≥ 15 fps</w:t>
            </w:r>
          </w:p>
        </w:tc>
        <w:tc>
          <w:tcPr>
            <w:tcW w:type="dxa" w:w="3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待完成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误码率</w:t>
            </w:r>
          </w:p>
        </w:tc>
        <w:tc>
          <w:tcPr>
            <w:tcW w:type="dxa" w:w="3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≤ 10⁻⁴</w:t>
            </w:r>
          </w:p>
        </w:tc>
        <w:tc>
          <w:tcPr>
            <w:tcW w:type="dxa" w:w="3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待完成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二、当前进展与导师意见回应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2.1  阶段完成情况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900"/>
        <w:gridCol w:w="3526"/>
        <w:gridCol w:w="220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序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工作内容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完成情况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关键指标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CCNN模型训练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✓ 已完成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99.71%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离线JSR扫描实验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✓ 已完成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JSR≥12dB全类≥92%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USRP硬件链路搭建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✓ 已完成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1GHz空口收发正常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硬件在环JSR实验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✓ 已完成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MTJ/STJ/NFM 100%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干扰检测模块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开发中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3月底完成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视频传输控制模块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计划中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4月完成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全链路联调测试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计划中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5月完成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2.2  意见一：检测与识别功能重复</w:t>
      </w:r>
    </w:p>
    <w:p>
      <w:pPr>
        <w:spacing w:before="100" w:after="100" w:line="36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两模块功能定位和技术路线有本质区别，构成串联两级流水线，并非重复，说明如下：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63"/>
        <w:gridCol w:w="3563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35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干扰检测模块（前置）</w:t>
            </w:r>
          </w:p>
        </w:tc>
        <w:tc>
          <w:tcPr>
            <w:tcW w:type="dxa" w:w="35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干扰识别模块（后置）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核心问题</w:t>
            </w:r>
          </w:p>
        </w:tc>
        <w:tc>
          <w:tcPr>
            <w:tcW w:type="dxa" w:w="35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有无干扰（二值判决）</w:t>
            </w:r>
          </w:p>
        </w:tc>
        <w:tc>
          <w:tcPr>
            <w:tcW w:type="dxa" w:w="35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干扰类型（5类分类）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技术方法</w:t>
            </w:r>
          </w:p>
        </w:tc>
        <w:tc>
          <w:tcPr>
            <w:tcW w:type="dxa" w:w="35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功率谱特征+自适应阈值</w:t>
            </w:r>
          </w:p>
        </w:tc>
        <w:tc>
          <w:tcPr>
            <w:tcW w:type="dxa" w:w="35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CCNN深度学习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处理延迟</w:t>
            </w:r>
          </w:p>
        </w:tc>
        <w:tc>
          <w:tcPr>
            <w:tcW w:type="dxa" w:w="35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&lt; 5 ms</w:t>
            </w:r>
          </w:p>
        </w:tc>
        <w:tc>
          <w:tcPr>
            <w:tcW w:type="dxa" w:w="35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~ 20 ms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激活条件</w:t>
            </w:r>
          </w:p>
        </w:tc>
        <w:tc>
          <w:tcPr>
            <w:tcW w:type="dxa" w:w="35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持续运行（门控开关）</w:t>
            </w:r>
          </w:p>
        </w:tc>
        <w:tc>
          <w:tcPr>
            <w:tcW w:type="dxa" w:w="35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检测有干扰后才激活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工程作用</w:t>
            </w:r>
          </w:p>
        </w:tc>
        <w:tc>
          <w:tcPr>
            <w:tcW w:type="dxa" w:w="35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消除误报，节省计算资源</w:t>
            </w:r>
          </w:p>
        </w:tc>
        <w:tc>
          <w:tcPr>
            <w:tcW w:type="dxa" w:w="35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指导视频传输策略调整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00" w:after="100" w:line="36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若跳过检测直接识别，模型会对正常信号输出干扰类别标签，产生大量误报，影响视频传输决策。这一两级设计是雷达对抗、认知无线电领域的标准工程范式。</w:t>
      </w:r>
    </w:p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2.3  意见二：CNN模型过于简单</w:t>
      </w:r>
    </w:p>
    <w:p>
      <w:pPr>
        <w:spacing w:before="100" w:after="100" w:line="36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本项目所用CCNN（Convolutional Causal Neural Network）并非普通CNN，包含三个功能各异的子模块：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2000"/>
        <w:gridCol w:w="2526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结构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作用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关键创新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CNN模块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多层步进卷积
(2,5000)→(128,208)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局部时频特征提取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stride代替pooling
保留时序结构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SE注意力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Squeeze-and-Excitation
通道注意力机制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128通道自适应加权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突出判别性
频谱特征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TCC模块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因果卷积(kernel=7)
4头多头注意力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长程时序依赖建模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因果约束确保
实时推理合法性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总参数量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96,904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推理延迟~20ms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满足≤100ms约束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三、实验环境配置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3.1  软件环境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环境项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版本与配置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Ubuntu 24.04 LTS（VMware虚拟机）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开发语言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Python 3.12 / MATLAB R2024a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深度学习框架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PyTorch 2.0（CPU推理，无GPU加速）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信号处理库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NumPy 1.26、SciPy 1.13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视频处理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OpenCV 4.9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USRP驱动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UHD 4.9.0（uhd.libpyuhd Python绑定）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3.2  USRP B220mini硬件配置</w:t>
      </w:r>
    </w:p>
    <w:p>
      <w:pPr>
        <w:spacing w:before="100" w:after="100" w:line="36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实验硬件为LibreSDR B220mini，基于Xilinx Artix-7 XC7A200T FPGA，完全兼容Ettus Research USRP B210的UHD软件接口。由于采用更先进的FPGA芯片，需替换厂商提供的专用FPGA配置bin文件方可正常工作。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配置项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参数值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设备型号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LibreSDR B220mini（兼容USRP B210接口）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FPGA芯片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Xilinx Artix-7 XC7A200T（替代原B210的Spartan-6）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接口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USB3.0 TypeC，向下兼容USB2.0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最大带宽/采样率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56 MHz带宽 / 61.44 MHz采样率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实验工作频率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 GHz（波长30cm，天线耦合优于2.4GHz）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实验采样率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 MHz（与训练数据一致，保证归一化频率正确）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发射增益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25 dB（增益扫描确定最优值）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接收增益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70 dB（B220mini最大值）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发射端口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TRXA（TX/RX口）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接收端口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RXA（RX2口）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天线间距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约1 cm（同设备相邻端口，自由空间耦合）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实测路径损耗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7.2 dB（TX/RX功率比）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收发架构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TX后台线程持续循环 + RX后台线程+队列缓冲 + 主线程推理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3.3  Linux驱动安装流程</w:t>
      </w:r>
    </w:p>
    <w:p>
      <w:pPr>
        <w:spacing w:before="100" w:after="100" w:line="36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B220mini采用XC7A200T，与标准B210的XC6SLX150不兼容，驱动安装需完成以下四步：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 w:line="320"/>
      </w:pPr>
      <w:r>
        <w:rPr>
          <w:rFonts w:ascii="宋体" w:cs="宋体" w:eastAsia="宋体" w:hAnsi="宋体"/>
          <w:sz w:val="24"/>
          <w:szCs w:val="24"/>
        </w:rPr>
        <w:t xml:space="preserve">安装UHD驱动和工具：</w:t>
      </w:r>
    </w:p>
    <w:p>
      <w:pPr>
        <w:spacing w:before="40" w:after="40" w:line="280"/>
        <w:ind w:left="48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sudo apt update &amp;&amp; sudo apt install -y libuhd-dev uhd-host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 w:line="320"/>
      </w:pPr>
      <w:r>
        <w:rPr>
          <w:rFonts w:ascii="宋体" w:cs="宋体" w:eastAsia="宋体" w:hAnsi="宋体"/>
          <w:sz w:val="24"/>
          <w:szCs w:val="24"/>
        </w:rPr>
        <w:t xml:space="preserve">下载标准固件镜像（下载后需替换，否则B220mini无法识别）：</w:t>
      </w:r>
    </w:p>
    <w:p>
      <w:pPr>
        <w:spacing w:before="40" w:after="40" w:line="280"/>
        <w:ind w:left="48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sudo uhd_images_downloader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 w:line="320"/>
      </w:pPr>
      <w:r>
        <w:rPr>
          <w:rFonts w:ascii="宋体" w:cs="宋体" w:eastAsia="宋体" w:hAnsi="宋体"/>
          <w:sz w:val="24"/>
          <w:szCs w:val="24"/>
        </w:rPr>
        <w:t xml:space="preserve">替换B220mini专用FPGA配置文件（核心步骤）：</w:t>
      </w:r>
    </w:p>
    <w:p>
      <w:pPr>
        <w:spacing w:before="40" w:after="40" w:line="280"/>
        <w:ind w:left="48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chmod +x ~/patch/patch.sh</w:t>
      </w:r>
    </w:p>
    <w:p>
      <w:pPr>
        <w:spacing w:before="40" w:after="40" w:line="280"/>
        <w:ind w:left="48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sudo ~/patch/patch.sh</w:t>
      </w:r>
    </w:p>
    <w:p>
      <w:pPr>
        <w:spacing w:before="60" w:after="60" w:line="300"/>
        <w:ind w:left="480"/>
        <w:jc w:val="both"/>
      </w:pPr>
      <w:r>
        <w:rPr>
          <w:rFonts w:ascii="宋体" w:cs="宋体" w:eastAsia="宋体" w:hAnsi="宋体"/>
          <w:i/>
          <w:iCs/>
          <w:color w:val="666666"/>
          <w:sz w:val="20"/>
          <w:szCs w:val="20"/>
        </w:rPr>
        <w:t xml:space="preserve">注：B210mini和B220mini配置文件不兼容，需根据购买型号选对应patch文件。替换后如用GNURadio等独立驱动环境时，也需对该环境的镜像目录单独执行patch.sh。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 w:line="320"/>
      </w:pPr>
      <w:r>
        <w:rPr>
          <w:rFonts w:ascii="宋体" w:cs="宋体" w:eastAsia="宋体" w:hAnsi="宋体"/>
          <w:sz w:val="24"/>
          <w:szCs w:val="24"/>
        </w:rPr>
        <w:t xml:space="preserve">验证设备识别（连接USB后）：</w:t>
      </w:r>
    </w:p>
    <w:p>
      <w:pPr>
        <w:spacing w:before="40" w:after="40" w:line="280"/>
        <w:ind w:left="48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uhd_find_devices</w:t>
      </w:r>
    </w:p>
    <w:p>
      <w:pPr>
        <w:spacing w:before="100" w:after="100" w:line="36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正常输出包含 Mboard: B210，Serial: 实际序列号。同时观察LED0：亮绿色（供电正常）后转红色（FPGA配置完成）为正常状态。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四、实验流程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4.1  第一阶段：数据集构建</w:t>
      </w:r>
    </w:p>
    <w:p>
      <w:pPr>
        <w:spacing w:before="100" w:after="100" w:line="36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训练数据集由MATLAB脚本生成，基带信号为QPSK调制载波（FS=2MHz，RS=500kHz，sps=4），叠加6类干扰信号并加入不同SNR的高斯白噪声，每条样本长度5000个IQ采样点，I/Q两路各2500点。</w:t>
      </w:r>
    </w:p>
    <w:p>
      <w:pPr>
        <w:spacing w:before="0" w:after="0"/>
      </w:pPr>
      <w:r>
        <w:t xml:space="preserve"/>
      </w:r>
    </w:p>
    <w:p>
      <w:pPr>
        <w:spacing w:before="100" w:after="120"/>
        <w:jc w:val="center"/>
      </w:pPr>
      <w:r>
        <w:rPr>
          <w:rFonts w:ascii="宋体" w:cs="宋体" w:eastAsia="宋体" w:hAnsi="宋体"/>
          <w:b/>
          <w:bCs/>
          <w:sz w:val="20"/>
          <w:szCs w:val="20"/>
        </w:rPr>
        <w:t xml:space="preserve">表4-1  训练/测试数据集规模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4"/>
        <w:gridCol w:w="1104"/>
        <w:gridCol w:w="1104"/>
        <w:gridCol w:w="1104"/>
        <w:gridCol w:w="1104"/>
        <w:gridCol w:w="1104"/>
        <w:gridCol w:w="1902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集合</w:t>
            </w:r>
          </w:p>
        </w:tc>
        <w:tc>
          <w:tcPr>
            <w:tcW w:type="dxa" w:w="11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LFM</w:t>
            </w:r>
          </w:p>
        </w:tc>
        <w:tc>
          <w:tcPr>
            <w:tcW w:type="dxa" w:w="11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MTJ</w:t>
            </w:r>
          </w:p>
        </w:tc>
        <w:tc>
          <w:tcPr>
            <w:tcW w:type="dxa" w:w="11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NAM</w:t>
            </w:r>
          </w:p>
        </w:tc>
        <w:tc>
          <w:tcPr>
            <w:tcW w:type="dxa" w:w="11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NFM</w:t>
            </w:r>
          </w:p>
        </w:tc>
        <w:tc>
          <w:tcPr>
            <w:tcW w:type="dxa" w:w="11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STJ</w:t>
            </w:r>
          </w:p>
        </w:tc>
        <w:tc>
          <w:tcPr>
            <w:tcW w:type="dxa" w:w="11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SIN</w:t>
            </w:r>
          </w:p>
        </w:tc>
        <w:tc>
          <w:tcPr>
            <w:tcW w:type="dxa" w:w="1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样本长度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训练集</w:t>
            </w:r>
          </w:p>
        </w:tc>
        <w:tc>
          <w:tcPr>
            <w:tcW w:type="dxa" w:w="11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1500</w:t>
            </w:r>
          </w:p>
        </w:tc>
        <w:tc>
          <w:tcPr>
            <w:tcW w:type="dxa" w:w="11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1100</w:t>
            </w:r>
          </w:p>
        </w:tc>
        <w:tc>
          <w:tcPr>
            <w:tcW w:type="dxa" w:w="11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tcPr>
            <w:tcW w:type="dxa" w:w="11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  <w:tc>
          <w:tcPr>
            <w:tcW w:type="dxa" w:w="11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  <w:tc>
          <w:tcPr>
            <w:tcW w:type="dxa" w:w="11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tcPr>
            <w:tcW w:type="dxa" w:w="1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5000点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测试集</w:t>
            </w:r>
          </w:p>
        </w:tc>
        <w:tc>
          <w:tcPr>
            <w:tcW w:type="dxa" w:w="11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1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110</w:t>
            </w:r>
          </w:p>
        </w:tc>
        <w:tc>
          <w:tcPr>
            <w:tcW w:type="dxa" w:w="11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1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1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1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5000点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4.2  第二阶段：CCNN模型训练</w:t>
      </w:r>
    </w:p>
    <w:p>
      <w:pPr>
        <w:pStyle w:val="ListParagraph"/>
        <w:numPr>
          <w:ilvl w:val="0"/>
          <w:numId w:val="3"/>
        </w:numPr>
        <w:spacing w:before="60" w:after="60" w:line="300"/>
      </w:pPr>
      <w:r>
        <w:rPr>
          <w:rFonts w:ascii="宋体" w:cs="宋体" w:eastAsia="宋体" w:hAnsi="宋体"/>
          <w:sz w:val="24"/>
          <w:szCs w:val="24"/>
        </w:rPr>
        <w:t xml:space="preserve">框架：PyTorch 2.0，输入形状(batch, 2, 5000)</w:t>
      </w:r>
    </w:p>
    <w:p>
      <w:pPr>
        <w:pStyle w:val="ListParagraph"/>
        <w:numPr>
          <w:ilvl w:val="0"/>
          <w:numId w:val="3"/>
        </w:numPr>
        <w:spacing w:before="60" w:after="60" w:line="300"/>
      </w:pPr>
      <w:r>
        <w:rPr>
          <w:rFonts w:ascii="宋体" w:cs="宋体" w:eastAsia="宋体" w:hAnsi="宋体"/>
          <w:sz w:val="24"/>
          <w:szCs w:val="24"/>
        </w:rPr>
        <w:t xml:space="preserve">优化器：Adam，初始学习率1e-3，余弦退火调度</w:t>
      </w:r>
    </w:p>
    <w:p>
      <w:pPr>
        <w:pStyle w:val="ListParagraph"/>
        <w:numPr>
          <w:ilvl w:val="0"/>
          <w:numId w:val="3"/>
        </w:numPr>
        <w:spacing w:before="60" w:after="60" w:line="300"/>
      </w:pPr>
      <w:r>
        <w:rPr>
          <w:rFonts w:ascii="宋体" w:cs="宋体" w:eastAsia="宋体" w:hAnsi="宋体"/>
          <w:sz w:val="24"/>
          <w:szCs w:val="24"/>
        </w:rPr>
        <w:t xml:space="preserve">批次大小：64，训练100轮，早停策略（patience=10）</w:t>
      </w:r>
    </w:p>
    <w:p>
      <w:pPr>
        <w:pStyle w:val="ListParagraph"/>
        <w:numPr>
          <w:ilvl w:val="0"/>
          <w:numId w:val="3"/>
        </w:numPr>
        <w:spacing w:before="60" w:after="60" w:line="300"/>
      </w:pPr>
      <w:r>
        <w:rPr>
          <w:rFonts w:ascii="宋体" w:cs="宋体" w:eastAsia="宋体" w:hAnsi="宋体"/>
          <w:sz w:val="24"/>
          <w:szCs w:val="24"/>
        </w:rPr>
        <w:t xml:space="preserve">损失函数：交叉熵损失</w:t>
      </w:r>
    </w:p>
    <w:p>
      <w:pPr>
        <w:pStyle w:val="ListParagraph"/>
        <w:numPr>
          <w:ilvl w:val="0"/>
          <w:numId w:val="3"/>
        </w:numPr>
        <w:spacing w:before="60" w:after="60" w:line="300"/>
      </w:pPr>
      <w:r>
        <w:rPr>
          <w:rFonts w:ascii="宋体" w:cs="宋体" w:eastAsia="宋体" w:hAnsi="宋体"/>
          <w:sz w:val="24"/>
          <w:szCs w:val="24"/>
        </w:rPr>
        <w:t xml:space="preserve">最优模型：第86轮，验证集准确率99.13%，保存为 ccnn_epoch_86_acc_0.9913.pth</w:t>
      </w:r>
    </w:p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4.3  第三阶段：离线仿真验证</w:t>
      </w:r>
    </w:p>
    <w:p>
      <w:pPr>
        <w:spacing w:before="100" w:after="10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步骤1  基础准确率测试：</w:t>
      </w:r>
      <w:r>
        <w:rPr>
          <w:rFonts w:ascii="宋体" w:cs="宋体" w:eastAsia="宋体" w:hAnsi="宋体"/>
          <w:sz w:val="24"/>
          <w:szCs w:val="24"/>
        </w:rPr>
        <w:t xml:space="preserve">在独立测试集（680样本）上推理，计算总体及逐类准确率，输入信号进行功率归一化与训练一致。</w:t>
      </w:r>
    </w:p>
    <w:p>
      <w:pPr>
        <w:spacing w:before="0" w:after="0"/>
      </w:pPr>
      <w:r>
        <w:t xml:space="preserve"/>
      </w:r>
    </w:p>
    <w:p>
      <w:pPr>
        <w:spacing w:before="100" w:after="10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步骤2  JSR扫描：</w:t>
      </w:r>
      <w:r>
        <w:rPr>
          <w:rFonts w:ascii="宋体" w:cs="宋体" w:eastAsia="宋体" w:hAnsi="宋体"/>
          <w:sz w:val="24"/>
          <w:szCs w:val="24"/>
        </w:rPr>
        <w:t xml:space="preserve">从测试集随机采样信号，叠加功率满足目标JSR的复高斯白噪声，遍历JSR=-4dB至16dB共10档，每档每类50次统计识别准确率。</w:t>
      </w:r>
    </w:p>
    <w:p>
      <w:pPr>
        <w:spacing w:before="0" w:after="0"/>
      </w:pPr>
      <w:r>
        <w:t xml:space="preserve"/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y = x_signal + noise，其中  E[|noise|²] = E[|x|²] / 10^(JSR/10)</w:t>
      </w:r>
    </w:p>
    <w:p>
      <w:pPr>
        <w:spacing w:before="0" w:after="0"/>
      </w:pPr>
      <w:r>
        <w:t xml:space="preserve"/>
      </w:r>
    </w:p>
    <w:p>
      <w:pPr>
        <w:spacing w:before="100" w:after="10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步骤3  结果记录：</w:t>
      </w:r>
      <w:r>
        <w:rPr>
          <w:rFonts w:ascii="宋体" w:cs="宋体" w:eastAsia="宋体" w:hAnsi="宋体"/>
          <w:sz w:val="24"/>
          <w:szCs w:val="24"/>
        </w:rPr>
        <w:t xml:space="preserve">保存各档位准确率，生成折线图（jsr_accuracy.png）用于论文插图。</w:t>
      </w:r>
    </w:p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4.4  第四阶段：USRP硬件在环验证</w:t>
      </w:r>
    </w:p>
    <w:p>
      <w:pPr>
        <w:spacing w:before="100" w:after="10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步骤1  链路初始化：</w:t>
      </w:r>
      <w:r>
        <w:rPr>
          <w:rFonts w:ascii="宋体" w:cs="宋体" w:eastAsia="宋体" w:hAnsi="宋体"/>
          <w:sz w:val="24"/>
          <w:szCs w:val="24"/>
        </w:rPr>
        <w:t xml:space="preserve">配置USRP B220mini，TX Channel 0（TRXA口，增益25dB），RX Channel 0（RXA口，增益70dB），工作频率1GHz，采样率2MHz。启动TX持续发送后台线程和RX持续接收队列后台线程，主线程从队列取5000点推理。</w:t>
      </w:r>
    </w:p>
    <w:p>
      <w:pPr>
        <w:spacing w:before="0" w:after="0"/>
      </w:pPr>
      <w:r>
        <w:t xml:space="preserve"/>
      </w:r>
    </w:p>
    <w:p>
      <w:pPr>
        <w:spacing w:before="100" w:after="10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步骤2  增益扫描：</w:t>
      </w:r>
      <w:r>
        <w:rPr>
          <w:rFonts w:ascii="宋体" w:cs="宋体" w:eastAsia="宋体" w:hAnsi="宋体"/>
          <w:sz w:val="24"/>
          <w:szCs w:val="24"/>
        </w:rPr>
        <w:t xml:space="preserve">以STJ样本为测试信号，TX增益从10dB扫描至40dB，记录各档RX功率和最大幅度，确定不导致ADC饱和的最优工作点（TX=25dB）。</w:t>
      </w:r>
    </w:p>
    <w:p>
      <w:pPr>
        <w:spacing w:before="0" w:after="0"/>
      </w:pPr>
      <w:r>
        <w:t xml:space="preserve"/>
      </w:r>
    </w:p>
    <w:p>
      <w:pPr>
        <w:spacing w:before="100" w:after="10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步骤3  双模型JSR扫描：</w:t>
      </w:r>
      <w:r>
        <w:rPr>
          <w:rFonts w:ascii="宋体" w:cs="宋体" w:eastAsia="宋体" w:hAnsi="宋体"/>
          <w:sz w:val="24"/>
          <w:szCs w:val="24"/>
        </w:rPr>
        <w:t xml:space="preserve">分别使用6类模型（ccnn_epoch_86_acc_0.9913.pth）和5类模型（TXCCNNmodel1013.pth），对JSR从-4dB至16dB的9个档位扫描，每档每类20次。发送端在训练集样本上叠加软件噪声模拟目标JSR，接收端直接将RF采集样本送入CCNN推理。</w:t>
      </w:r>
    </w:p>
    <w:p>
      <w:pPr>
        <w:spacing w:before="0" w:after="0"/>
      </w:pPr>
      <w:r>
        <w:t xml:space="preserve"/>
      </w:r>
    </w:p>
    <w:p>
      <w:pPr>
        <w:spacing w:before="100" w:after="10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步骤4  异常处理：</w:t>
      </w:r>
      <w:r>
        <w:rPr>
          <w:rFonts w:ascii="宋体" w:cs="宋体" w:eastAsia="宋体" w:hAnsi="宋体"/>
          <w:sz w:val="24"/>
          <w:szCs w:val="24"/>
        </w:rPr>
        <w:t xml:space="preserve">接收超时设为0.3s，未收满5000个样本则跳过；每次切换干扰类型前清空接收队列，避免历史数据污染。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五、实验数据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5.1  模型训练结果</w:t>
      </w:r>
    </w:p>
    <w:p>
      <w:pPr>
        <w:spacing w:before="100" w:after="100" w:line="36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CCNN（6类模型，参数量96,904）在680个测试样本上的总体准确率为99.71%，各类别准确率：LFM 100%、MTJ 98%、NAM 100%、NFM 99%、STJ 100%、SIN 100%。</w:t>
      </w:r>
    </w:p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5.2  增益扫描数据</w:t>
      </w:r>
    </w:p>
    <w:p>
      <w:pPr>
        <w:spacing w:before="100" w:after="120"/>
        <w:jc w:val="center"/>
      </w:pPr>
      <w:r>
        <w:rPr>
          <w:rFonts w:ascii="宋体" w:cs="宋体" w:eastAsia="宋体" w:hAnsi="宋体"/>
          <w:b/>
          <w:bCs/>
          <w:sz w:val="20"/>
          <w:szCs w:val="20"/>
        </w:rPr>
        <w:t xml:space="preserve">表5-1  TX增益扫描结果（频率1GHz，RX增益70dB）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1800"/>
        <w:gridCol w:w="1700"/>
        <w:gridCol w:w="2426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TX增益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RX功率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TX/RX功率比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最大幅度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 dB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0.006144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22.1 dB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0.1474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信号弱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15 dB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0.019579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17.1 dB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0.2451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信号弱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20 dB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0.059728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12.2 dB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0.3819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信号良好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25 dB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0.121368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7.2 dB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0.5484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✓ 最优工作点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30 dB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0.326992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4.9 dB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0.8754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⚠ 接近饱和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40 dB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1.379310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-1.4 dB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1.4143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⚠ 饱和失真</w:t>
            </w:r>
          </w:p>
        </w:tc>
      </w:tr>
    </w:tbl>
    <w:p>
      <w:pPr>
        <w:spacing w:before="60" w:after="60" w:line="300"/>
        <w:ind w:left="480"/>
        <w:jc w:val="both"/>
      </w:pPr>
      <w:r>
        <w:rPr>
          <w:rFonts w:ascii="宋体" w:cs="宋体" w:eastAsia="宋体" w:hAnsi="宋体"/>
          <w:i/>
          <w:iCs/>
          <w:color w:val="666666"/>
          <w:sz w:val="20"/>
          <w:szCs w:val="20"/>
        </w:rPr>
        <w:t xml:space="preserve">注：TX=25dB时最大幅度0.55，未达ADC满量程（1.0），无失真，确定为最优工作点。</w:t>
      </w:r>
    </w:p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5.3  离线JSR扫描数据（6类模型，每点50次）</w:t>
      </w:r>
    </w:p>
    <w:p>
      <w:pPr>
        <w:spacing w:before="100" w:after="120"/>
        <w:jc w:val="center"/>
      </w:pPr>
      <w:r>
        <w:rPr>
          <w:rFonts w:ascii="宋体" w:cs="宋体" w:eastAsia="宋体" w:hAnsi="宋体"/>
          <w:b/>
          <w:bCs/>
          <w:sz w:val="20"/>
          <w:szCs w:val="20"/>
        </w:rPr>
        <w:t xml:space="preserve">表5-2  离线JSR扫描识别准确率（%）  绿色底色：≥90%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4"/>
        <w:gridCol w:w="1354"/>
        <w:gridCol w:w="1354"/>
        <w:gridCol w:w="1354"/>
        <w:gridCol w:w="1354"/>
        <w:gridCol w:w="1356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jsr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LFM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MTJ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NAM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NFM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STJ</w:t>
            </w:r>
          </w:p>
        </w:tc>
        <w:tc>
          <w:tcPr>
            <w:tcW w:type="dxa" w:w="1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SIN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dxa" w:w="1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28%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  <w:tc>
          <w:tcPr>
            <w:tcW w:type="dxa" w:w="1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44%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46%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12%</w:t>
            </w:r>
          </w:p>
        </w:tc>
        <w:tc>
          <w:tcPr>
            <w:tcW w:type="dxa" w:w="1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52%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78%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28%</w:t>
            </w:r>
          </w:p>
        </w:tc>
        <w:tc>
          <w:tcPr>
            <w:tcW w:type="dxa" w:w="1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84%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86%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22%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62%</w:t>
            </w:r>
          </w:p>
        </w:tc>
        <w:tc>
          <w:tcPr>
            <w:tcW w:type="dxa" w:w="1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94%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94%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56%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1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94%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92%</w:t>
            </w:r>
          </w:p>
        </w:tc>
        <w:tc>
          <w:tcPr>
            <w:tcW w:type="dxa" w:w="1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98%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</w:tbl>
    <w:p>
      <w:pPr>
        <w:spacing w:before="60" w:after="60" w:line="300"/>
        <w:ind w:left="480"/>
        <w:jc w:val="both"/>
      </w:pPr>
      <w:r>
        <w:rPr>
          <w:rFonts w:ascii="宋体" w:cs="宋体" w:eastAsia="宋体" w:hAnsi="宋体"/>
          <w:i/>
          <w:iCs/>
          <w:color w:val="666666"/>
          <w:sz w:val="20"/>
          <w:szCs w:val="20"/>
        </w:rPr>
        <w:t xml:space="preserve">注：噪声为复高斯白噪声叠加在真实测试集样本上；JSR范围-4dB至16dB，步长2dB。</w:t>
      </w:r>
    </w:p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5.4  硬件在环JSR扫描数据（5类模型，每点20次）</w:t>
      </w:r>
    </w:p>
    <w:p>
      <w:pPr>
        <w:spacing w:before="100" w:after="120"/>
        <w:jc w:val="center"/>
      </w:pPr>
      <w:r>
        <w:rPr>
          <w:rFonts w:ascii="宋体" w:cs="宋体" w:eastAsia="宋体" w:hAnsi="宋体"/>
          <w:b/>
          <w:bCs/>
          <w:sz w:val="20"/>
          <w:szCs w:val="20"/>
        </w:rPr>
        <w:t xml:space="preserve">表5-3  硬件在环JSR扫描识别准确率（%）  绿色底色：≥90%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6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jsr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LFM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MTJ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NAM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NFM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STJ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65%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55%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</w:tbl>
    <w:p>
      <w:pPr>
        <w:spacing w:before="60" w:after="60" w:line="300"/>
        <w:ind w:left="480"/>
        <w:jc w:val="both"/>
      </w:pPr>
      <w:r>
        <w:rPr>
          <w:rFonts w:ascii="宋体" w:cs="宋体" w:eastAsia="宋体" w:hAnsi="宋体"/>
          <w:i/>
          <w:iCs/>
          <w:color w:val="666666"/>
          <w:sz w:val="20"/>
          <w:szCs w:val="20"/>
        </w:rPr>
        <w:t xml:space="preserve">注：5类模型TXCCNNmodel1013.pth（参数量96,887），不含SIN类；TX=25dB，RX=70dB，1GHz，2MHz。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六、数据分析</w:t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6.1  离线仿真性能分析</w:t>
      </w:r>
    </w:p>
    <w:p>
      <w:pPr>
        <w:spacing w:before="100" w:after="10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（1）LFM宽带特征鲁棒性最强。</w:t>
      </w:r>
      <w:r>
        <w:rPr>
          <w:rFonts w:ascii="宋体" w:cs="宋体" w:eastAsia="宋体" w:hAnsi="宋体"/>
          <w:sz w:val="24"/>
          <w:szCs w:val="24"/>
        </w:rPr>
        <w:t xml:space="preserve">在全JSR档位（含-4dB强噪声）均达100%。LFM线性扫频占据接近全带宽，功率谱呈宽带均匀分布，对SNR不敏感，是最易识别的干扰类型。</w:t>
      </w:r>
    </w:p>
    <w:p>
      <w:pPr>
        <w:spacing w:before="0" w:after="0"/>
      </w:pPr>
      <w:r>
        <w:t xml:space="preserve"/>
      </w:r>
    </w:p>
    <w:p>
      <w:pPr>
        <w:spacing w:before="100" w:after="10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（2）SIN响应速度快。</w:t>
      </w:r>
      <w:r>
        <w:rPr>
          <w:rFonts w:ascii="宋体" w:cs="宋体" w:eastAsia="宋体" w:hAnsi="宋体"/>
          <w:sz w:val="24"/>
          <w:szCs w:val="24"/>
        </w:rPr>
        <w:t xml:space="preserve">在JSR=2dB时达44%，6dB达80%，正弦调频频率扫描特征在中等JSR下已充分显现。</w:t>
      </w:r>
    </w:p>
    <w:p>
      <w:pPr>
        <w:spacing w:before="0" w:after="0"/>
      </w:pPr>
      <w:r>
        <w:t xml:space="preserve"/>
      </w:r>
    </w:p>
    <w:p>
      <w:pPr>
        <w:spacing w:before="100" w:after="10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（3）NAM有效工作门限约8dB。</w:t>
      </w:r>
      <w:r>
        <w:rPr>
          <w:rFonts w:ascii="宋体" w:cs="宋体" w:eastAsia="宋体" w:hAnsi="宋体"/>
          <w:sz w:val="24"/>
          <w:szCs w:val="24"/>
        </w:rPr>
        <w:t xml:space="preserve">NAM窄带幅度调制特征在JSR=8dB时达86%，12dB达100%，对功率比敏感度中等。</w:t>
      </w:r>
    </w:p>
    <w:p>
      <w:pPr>
        <w:spacing w:before="0" w:after="0"/>
      </w:pPr>
      <w:r>
        <w:t xml:space="preserve"/>
      </w:r>
    </w:p>
    <w:p>
      <w:pPr>
        <w:spacing w:before="100" w:after="10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（4）MTJ、STJ、NFM高JSR才充分收敛。</w:t>
      </w:r>
      <w:r>
        <w:rPr>
          <w:rFonts w:ascii="宋体" w:cs="宋体" w:eastAsia="宋体" w:hAnsi="宋体"/>
          <w:sz w:val="24"/>
          <w:szCs w:val="24"/>
        </w:rPr>
        <w:t xml:space="preserve">三类信号的识别依赖精确频率位置和幅度比例关系，低JSR时易被噪声掩盖，需JSR≥12dB才全部超过90%。</w:t>
      </w:r>
    </w:p>
    <w:p>
      <w:pPr>
        <w:spacing w:before="0" w:after="0"/>
      </w:pPr>
      <w:r>
        <w:t xml:space="preserve"/>
      </w:r>
    </w:p>
    <w:p>
      <w:pPr>
        <w:spacing w:before="100" w:after="10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（5）系统整体90%门限为JSR=12dB。</w:t>
      </w:r>
      <w:r>
        <w:rPr>
          <w:rFonts w:ascii="宋体" w:cs="宋体" w:eastAsia="宋体" w:hAnsi="宋体"/>
          <w:sz w:val="24"/>
          <w:szCs w:val="24"/>
        </w:rPr>
        <w:t xml:space="preserve">6类模型在JSR=12dB时全类别均超过92%，满足任务书≥90%的设计指标。</w:t>
      </w:r>
    </w:p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6.2  硬件在环性能分析</w:t>
      </w:r>
    </w:p>
    <w:p>
      <w:pPr>
        <w:spacing w:before="100" w:after="10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（1）路径损耗导致曲线整体右移约7.2dB。</w:t>
      </w:r>
      <w:r>
        <w:rPr>
          <w:rFonts w:ascii="宋体" w:cs="宋体" w:eastAsia="宋体" w:hAnsi="宋体"/>
          <w:sz w:val="24"/>
          <w:szCs w:val="24"/>
        </w:rPr>
        <w:t xml:space="preserve">实测TX/RX功率比7.2dB，接收端有效JSR = 标称JSR - 7.2dB，等效于将离线曲线向右偏移7.2dB。这解释了LFM在实机低JSR时识别率为0%但高JSR时恢复至100%的现象。</w:t>
      </w:r>
    </w:p>
    <w:p>
      <w:pPr>
        <w:spacing w:before="0" w:after="0"/>
      </w:pPr>
      <w:r>
        <w:t xml:space="preserve"/>
      </w:r>
    </w:p>
    <w:p>
      <w:pPr>
        <w:spacing w:before="100" w:after="10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（2）MTJ实机表现优于预期（5类模型全JSR 100%）。</w:t>
      </w:r>
      <w:r>
        <w:rPr>
          <w:rFonts w:ascii="宋体" w:cs="宋体" w:eastAsia="宋体" w:hAnsi="宋体"/>
          <w:sz w:val="24"/>
          <w:szCs w:val="24"/>
        </w:rPr>
        <w:t xml:space="preserve">5类模型去除SIN类后，模型无需区分MTJ与SIN之间的微妙差异，决策边界更宽松，对RF相位噪声的容忍度显著提高。</w:t>
      </w:r>
    </w:p>
    <w:p>
      <w:pPr>
        <w:spacing w:before="0" w:after="0"/>
      </w:pPr>
      <w:r>
        <w:t xml:space="preserve"/>
      </w:r>
    </w:p>
    <w:p>
      <w:pPr>
        <w:spacing w:before="100" w:after="10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（3）NAM受路径损耗影响最大。</w:t>
      </w:r>
      <w:r>
        <w:rPr>
          <w:rFonts w:ascii="宋体" w:cs="宋体" w:eastAsia="宋体" w:hAnsi="宋体"/>
          <w:sz w:val="24"/>
          <w:szCs w:val="24"/>
        </w:rPr>
        <w:t xml:space="preserve">窄带幅度调制特征对SNR敏感，7.2dB路径损耗使其有效工作JSR大幅提高，JSR=16dB时实机仍仅85%。</w:t>
      </w:r>
    </w:p>
    <w:p>
      <w:pPr>
        <w:spacing w:before="0" w:after="0"/>
      </w:pPr>
      <w:r>
        <w:t xml:space="preserve"/>
      </w:r>
    </w:p>
    <w:p>
      <w:pPr>
        <w:spacing w:before="100" w:after="10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（4）STJ实机表现意外良好。</w:t>
      </w:r>
      <w:r>
        <w:rPr>
          <w:rFonts w:ascii="宋体" w:cs="宋体" w:eastAsia="宋体" w:hAnsi="宋体"/>
          <w:sz w:val="24"/>
          <w:szCs w:val="24"/>
        </w:rPr>
        <w:t xml:space="preserve">STJ在JSR=4dB时实机即达90%，优于离线测试（需12dB），可能与5类模型对STJ特征的专项学习及天线空口传播的频率选择性有关。</w:t>
      </w:r>
    </w:p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6.3  两模型对比</w:t>
      </w:r>
    </w:p>
    <w:p>
      <w:pPr>
        <w:spacing w:before="100" w:after="120"/>
        <w:jc w:val="center"/>
      </w:pPr>
      <w:r>
        <w:rPr>
          <w:rFonts w:ascii="宋体" w:cs="宋体" w:eastAsia="宋体" w:hAnsi="宋体"/>
          <w:b/>
          <w:bCs/>
          <w:sz w:val="20"/>
          <w:szCs w:val="20"/>
        </w:rPr>
        <w:t xml:space="preserve">表6-1  6类模型（离线）与5类模型（硬件在环）性能对比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干扰类型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6类模型达90%门限（离线）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5类模型达90%门限（实机）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差异分析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LFM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全JSR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JSR≥8dB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路径损耗7.2dB等效偏移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MTJ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JSR≥12dB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全JSR（100%）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5类模型分类边界更宽松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NFM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JSR≥14dB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JSR≥12dB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5类模型轻微改善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STJ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JSR≥12dB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JSR≥4dB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5类模型显著改善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NAM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JSR≥10dB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JSR≥16dB（85%）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最受路径损耗影响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平均90%门限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JSR≈10dB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JSR≈12dB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实机等效离线+7.2dB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6.4  域偏移与路径损耗量化</w:t>
      </w:r>
    </w:p>
    <w:p>
      <w:pPr>
        <w:spacing w:before="100" w:after="100" w:line="36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实测路径损耗7.2dB使接收端有效JSR低于标称值，建立如下等效关系：</w:t>
      </w:r>
    </w:p>
    <w:p>
      <w:pPr>
        <w:spacing w:before="0" w:after="0"/>
      </w:pPr>
      <w:r>
        <w:t xml:space="preserve"/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JSR_有效 ≈ JSR_标称 - 7.2 dB</w:t>
      </w:r>
    </w:p>
    <w:p>
      <w:pPr>
        <w:spacing w:before="0" w:after="0"/>
      </w:pPr>
      <w:r>
        <w:t xml:space="preserve"/>
      </w:r>
    </w:p>
    <w:p>
      <w:pPr>
        <w:spacing w:before="100" w:after="100" w:line="360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以此修正后，硬件在环识别曲线与离线结果吻合度显著提升，说明CCNN算法性能未因RF链路而下降，主要影响因素是物理路径损耗。若采用SMA同轴线缆直连方式（损耗&lt;1dB），预计实机性能将接近离线结果，这是后续优化的优先方向之一。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七、阶段结论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80" w:after="80" w:line="320"/>
      </w:pPr>
      <w:r>
        <w:rPr>
          <w:rFonts w:ascii="宋体" w:cs="宋体" w:eastAsia="宋体" w:hAnsi="宋体"/>
          <w:sz w:val="24"/>
          <w:szCs w:val="24"/>
        </w:rPr>
        <w:t xml:space="preserve">算法有效性验证：CCNN模型测试集准确率99.71%，JSR≥12dB时6类干扰全部达92%以上，满足任务书识别准确率≥90%指标。</w:t>
      </w:r>
    </w:p>
    <w:p>
      <w:pPr>
        <w:pStyle w:val="ListParagraph"/>
        <w:numPr>
          <w:ilvl w:val="0"/>
          <w:numId w:val="4"/>
        </w:numPr>
        <w:spacing w:before="80" w:after="80" w:line="320"/>
      </w:pPr>
      <w:r>
        <w:rPr>
          <w:rFonts w:ascii="宋体" w:cs="宋体" w:eastAsia="宋体" w:hAnsi="宋体"/>
          <w:sz w:val="24"/>
          <w:szCs w:val="24"/>
        </w:rPr>
        <w:t xml:space="preserve">系统可部署性验证：5类模型在USRP硬件在环条件下，MTJ/STJ/NFM/LFM四类在JSR≥12dB时均达100%，证明系统具备真实电磁环境部署能力。</w:t>
      </w:r>
    </w:p>
    <w:p>
      <w:pPr>
        <w:pStyle w:val="ListParagraph"/>
        <w:numPr>
          <w:ilvl w:val="0"/>
          <w:numId w:val="4"/>
        </w:numPr>
        <w:spacing w:before="80" w:after="80" w:line="320"/>
      </w:pPr>
      <w:r>
        <w:rPr>
          <w:rFonts w:ascii="宋体" w:cs="宋体" w:eastAsia="宋体" w:hAnsi="宋体"/>
          <w:sz w:val="24"/>
          <w:szCs w:val="24"/>
        </w:rPr>
        <w:t xml:space="preserve">域偏移量化：USRP射频链路引入约7.2dB路径损耗，等效使90%门限JSR提高约7.2dB，可通过同轴线缆直连消除。</w:t>
      </w:r>
    </w:p>
    <w:p>
      <w:pPr>
        <w:pStyle w:val="ListParagraph"/>
        <w:numPr>
          <w:ilvl w:val="0"/>
          <w:numId w:val="4"/>
        </w:numPr>
        <w:spacing w:before="80" w:after="80" w:line="320"/>
      </w:pPr>
      <w:r>
        <w:rPr>
          <w:rFonts w:ascii="宋体" w:cs="宋体" w:eastAsia="宋体" w:hAnsi="宋体"/>
          <w:sz w:val="24"/>
          <w:szCs w:val="24"/>
        </w:rPr>
        <w:t xml:space="preserve">模型选择策略：算法研究用6类模型（覆盖面广），实际硬件部署用5类模型（域适应强，平均门限低约2dB）。</w:t>
      </w:r>
    </w:p>
    <w:p>
      <w:pPr>
        <w:pStyle w:val="ListParagraph"/>
        <w:numPr>
          <w:ilvl w:val="0"/>
          <w:numId w:val="4"/>
        </w:numPr>
        <w:spacing w:before="80" w:after="80" w:line="320"/>
      </w:pPr>
      <w:r>
        <w:rPr>
          <w:rFonts w:ascii="宋体" w:cs="宋体" w:eastAsia="宋体" w:hAnsi="宋体"/>
          <w:sz w:val="24"/>
          <w:szCs w:val="24"/>
        </w:rPr>
        <w:t xml:space="preserve">后续改进方向：引入基于真实USRP采集数据的域适应训练；增加未知干扰拒识机制（拒识率≥90%）；完成视频传输控制模块实现全链路闭环。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八、后续工作计划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26"/>
        <w:gridCol w:w="25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时间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工作内容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预期成果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3月下旬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完善功率谱干扰检测模块；与CCNN识别模块串联集成，完成两级流水线联调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检测+识别串联链路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4月上旬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视频传输控制模块开发：根据干扰类型动态调整QPSK码率、FEC冗余度与帧率策略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≥25fps（无干扰）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4月下旬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全链路系统联调：测试端到端延迟与视频帧率，验证强干扰下≥15fps指标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延迟≤100ms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5月上旬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整理实验数据，撰写毕业论文初稿，完成各章节（含第四章实验验证）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论文初稿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5月中-6月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根据导师和督导意见修改论文；整理源程序及技术文档；准备毕业答辩PPT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通过毕业答辩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sectPr>
      <w:footerReference w:type="default" r:id="rId6"/>
      <w:pgSz w:w="11906" w:h="16838" w:orient="portrait"/>
      <w:pgMar w:top="1440" w:right="13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20"/>
        <w:szCs w:val="20"/>
      </w:rPr>
      <w:t xml:space="preserve">第 </w:t>
    </w:r>
    <w:r>
      <w:rPr>
        <w:rFonts w:ascii="宋体" w:cs="宋体" w:eastAsia="宋体" w:hAnsi="宋体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黑体" w:cs="黑体" w:eastAsia="黑体" w:hAnsi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黑体" w:cs="黑体" w:eastAsia="黑体" w:hAnsi="黑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黑体" w:cs="黑体" w:eastAsia="黑体" w:hAnsi="黑体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2026-03-09T11:13:38.885Z</dcterms:created>
  <dcterms:modified xsi:type="dcterms:W3CDTF">2026-03-09T11:13:38.886Z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