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系统运行说明与完整案例</w:t>
      </w:r>
    </w:p>
    <w:p/>
    <w:p>
      <w:pPr>
        <w:pStyle w:val="Heading2"/>
      </w:pPr>
      <w:r>
        <w:t xml:space="preserve">案例题设</w:t>
      </w:r>
    </w:p>
    <w:p/>
    <w:p>
      <w:r>
        <w:t xml:space="preserve">总装GA-12底盘合装工位中，TQ-17智能拧紧枪在14:18至14:26连续出现M12关键螺栓扭矩偏低。测量值为86.4N·m，工艺窗口为92-108N·m，影响VIN尾号8123-8125。角度补偿波动同步扩大，系统需要判断是否为单点异常、设备风险还是批次质量风险。</w:t>
      </w:r>
    </w:p>
    <w:p/>
    <w:p>
      <w:pPr>
        <w:pStyle w:val="Heading2"/>
      </w:pPr>
      <w:r>
        <w:t xml:space="preserve">数字员工处置过程</w:t>
      </w:r>
    </w:p>
    <w:p/>
    <w:p>
      <w:r>
        <w:t xml:space="preserve">1. 主动捕捉：知质·灵巡从设备参数流中发现扭矩越界，并识别“连续3辆车、同一工位、同一点位”的重复模式。</w:t>
      </w:r>
    </w:p>
    <w:p/>
    <w:p>
      <w:r>
        <w:t xml:space="preserve">2. 图谱定位：系统沿“总装一线-底盘合装工位-TQ-17-扭矩参数-预紧力风险-FMEA条目-历史案例C-009”路径检索。</w:t>
      </w:r>
    </w:p>
    <w:p/>
    <w:p>
      <w:r>
        <w:t xml:space="preserve">3. 根因推断：GraphRAG返回设备校准、套筒磨损、角度补偿波动和历史处置记录。因果护栏排除后续工序对当前扭矩的反向影响，根因假设收敛为“套筒磨损叠加校准漂移”。</w:t>
      </w:r>
    </w:p>
    <w:p/>
    <w:p>
      <w:r>
        <w:t xml:space="preserve">4. 风险分级：单次数值越界可进入P2，但关键安全连接件、连续车辆复现、历史案例匹配和影响车辆未完全放行共同触发P1。</w:t>
      </w:r>
    </w:p>
    <w:p/>
    <w:p>
      <w:r>
        <w:t xml:space="preserve">5. 协同执行：系统写入飞书多维表格，生成三类任务：质量工程师隔离并复检车辆，设备工程师校准TQ-17并检查套筒，班组长切换备用拧紧枪并复核首件。</w:t>
      </w:r>
    </w:p>
    <w:p/>
    <w:p>
      <w:r>
        <w:t xml:space="preserve">6. 关闭回写：当复检合格、设备校准完成、备用设备首件合格、责任人确认四项齐全后，事件关闭。系统把根因、处置、复检结果和阈值调整写回质量知识图谱。</w:t>
      </w:r>
    </w:p>
    <w:p/>
    <w:p>
      <w:pPr>
        <w:pStyle w:val="Heading2"/>
      </w:pPr>
      <w:r>
        <w:t xml:space="preserve">输出结果</w:t>
      </w:r>
    </w:p>
    <w:p/>
    <w:p>
      <w:r>
        <w:t xml:space="preserve">风险等级：P1</w:t>
      </w:r>
    </w:p>
    <w:p/>
    <w:p>
      <w:r>
        <w:t xml:space="preserve">影响范围：VIN尾号8123-8125，向前核查至上一次设备合格校验后的5辆车</w:t>
      </w:r>
    </w:p>
    <w:p/>
    <w:p>
      <w:r>
        <w:t xml:space="preserve">根因假设：套筒磨损叠加设备校准漂移</w:t>
      </w:r>
    </w:p>
    <w:p/>
    <w:p>
      <w:r>
        <w:t xml:space="preserve">处置决策：暂停该点位自动放行，隔离影响车辆，完成复检和设备处理后恢复</w:t>
      </w:r>
    </w:p>
    <w:p/>
    <w:p>
      <w:r>
        <w:t xml:space="preserve">证据链：工艺窗口越界、同设备连续复现、角度补偿同步波动、历史案例C-009、FMEA条目FM-TQ-04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