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开题报告</w:t>
      </w:r>
    </w:p>
    <w:p>
      <w:pPr>
        <w:pStyle w:val="Heading1"/>
      </w:pPr>
      <w:r>
        <w:t>命题理解</w:t>
      </w:r>
    </w:p>
    <w:p>
      <w:r>
        <w:t>这道题的核心不是再做一个被动问答机器人，而是把赛力斯超级工厂已有的设备、工艺、质量、报警、维修和人员协同数据组织成可推理的知识底座。新能源汽车制造的质量风险往往不是单点异常，而是参数漂移、设备状态、批次物料、工装磨损和历史缺陷共同作用的结果。因此，AI数字员工必须能主动监听现场数据，识别隐性风险，基于知识图谱和Graph RAG追溯证据链，再把处置任务流转到飞书Aily与多维表格中，形成从感知、诊断、决策到复盘沉淀的闭环。</w:t>
      </w:r>
    </w:p>
    <w:p>
      <w:pPr>
        <w:pStyle w:val="Heading1"/>
      </w:pPr>
      <w:r>
        <w:t>总体方案</w:t>
      </w:r>
    </w:p>
    <w:p>
      <w:r>
        <w:t>方案命名为“赛力斯质量管控AI数字员工”。底层先建设工厂质量知识底座，以本体论统一描述产品、工艺、设备、传感器、参数、报警、缺陷模式、根因、控制计划和处置任务，并吸收FMEA、控制计划、维修记录、质检报告、MES/SCADA/PLC日志等数据，形成设备-过程-质量三类实体互联的知识图谱。中层采用Graph RAG：当拧紧扭矩、焊点电流、涂装膜厚、压铸温度或设备报警出现波动时，系统先在图谱中检索相关工序、设备、参数阈值、历史案例和质量后果，再结合文档向量库生成可验证证据链。上层由Autonomous Agent执行“观察-研判-检索-推理-行动-复盘”循环，自动给出风险等级、疑似根因、隔离范围、复检项目、停线/降速/换枪/校准等处置建议，并在飞书Aily中生成任务，在多维表格追踪责任人、时限、状态和复盘结论。创新点在于从问答升级为主动巡检与闭环执行；从单一告警升级为多跳证据推理；从一次性分析升级为每次异常都反哺知识图谱。试点可选择总装螺栓拧紧、焊装焊点质量和涂装膜厚三类场景，目标是异常定位时间下降50%，重复质量问题下降20%，关键工序追溯覆盖率达到100%，并可复制到更多产线。</w:t>
      </w:r>
    </w:p>
    <w:p>
      <w:pPr>
        <w:pStyle w:val="Heading1"/>
      </w:pPr>
      <w:r>
        <w:t>分部目标</w:t>
      </w:r>
    </w:p>
    <w:tbl>
      <w:tblPr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p>
            <w:r>
              <w:t>分部</w:t>
            </w:r>
          </w:p>
        </w:tc>
        <w:tc>
          <w:p>
            <w:r>
              <w:t>交付物</w:t>
            </w:r>
          </w:p>
        </w:tc>
        <w:tc>
          <w:p>
            <w:r>
              <w:t>验收指标</w:t>
            </w:r>
          </w:p>
        </w:tc>
      </w:tr>
      <w:tr>
        <w:tc>
          <w:p>
            <w:r>
              <w:t>知识底座</w:t>
            </w:r>
          </w:p>
        </w:tc>
        <w:tc>
          <w:p>
            <w:r>
              <w:t>本体与质量知识图谱</w:t>
            </w:r>
          </w:p>
        </w:tc>
        <w:tc>
          <w:p>
            <w:r>
              <w:t>覆盖三类试点工序</w:t>
            </w:r>
          </w:p>
        </w:tc>
      </w:tr>
      <w:tr>
        <w:tc>
          <w:p>
            <w:r>
              <w:t>Graph RAG</w:t>
            </w:r>
          </w:p>
        </w:tc>
        <w:tc>
          <w:p>
            <w:r>
              <w:t>子图与文档证据链</w:t>
            </w:r>
          </w:p>
        </w:tc>
        <w:tc>
          <w:p>
            <w:r>
              <w:t>每条建议至少3类证据</w:t>
            </w:r>
          </w:p>
        </w:tc>
      </w:tr>
      <w:tr>
        <w:tc>
          <w:p>
            <w:r>
              <w:t>Agent闭环</w:t>
            </w:r>
          </w:p>
        </w:tc>
        <w:tc>
          <w:p>
            <w:r>
              <w:t>任务派发与复盘</w:t>
            </w:r>
          </w:p>
        </w:tc>
        <w:tc>
          <w:p>
            <w:r>
              <w:t>形成多维表格闭环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eastAsia="Microsoft YaHei"/>
      <w:sz w:val="21"/>
    </w:rPr>
  </w:style>
  <w:style w:type="paragraph" w:styleId="Title">
    <w:name w:val="Title"/>
    <w:rPr>
      <w:b/>
      <w:rFonts w:ascii="Calibri" w:eastAsia="Microsoft YaHei"/>
      <w:sz w:val="36"/>
    </w:rPr>
  </w:style>
  <w:style w:type="paragraph" w:styleId="Heading1">
    <w:name w:val="heading 1"/>
    <w:rPr>
      <w:b/>
      <w:color w:val="1F4E79"/>
      <w:rFonts w:ascii="Calibri" w:eastAsia="Microsoft YaHei"/>
      <w:sz w:val="2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