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整体解决方案书</w:t>
      </w:r>
    </w:p>
    <w:p>
      <w:pPr>
        <w:pStyle w:val="Heading1"/>
      </w:pPr>
      <w:r>
        <w:t>业务目标</w:t>
      </w:r>
    </w:p>
    <w:p>
      <w:r>
        <w:t>构建一名可主动感知、深度推理、输出证据链并协同执行的质量管控AI数字员工。</w:t>
      </w:r>
    </w:p>
    <w:p>
      <w:pPr>
        <w:pStyle w:val="Heading1"/>
      </w:pPr>
      <w:r>
        <w:t>核心架构</w:t>
      </w:r>
    </w:p>
    <w:p>
      <w:r>
        <w:t>现场数据层、语义治理层、知识底座层、Graph RAG层、Agent层、飞书协同执行层。</w:t>
      </w:r>
    </w:p>
    <w:p>
      <w:pPr>
        <w:pStyle w:val="Heading1"/>
      </w:pPr>
      <w:r>
        <w:t>量化价值</w:t>
      </w:r>
    </w:p>
    <w:p>
      <w:r>
        <w:t>异常定位时间下降50%，重复质量问题下降20%，关键工序追溯覆盖率达到100%，任务SLA可视化。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