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整体解决方案书</w:t>
      </w:r>
    </w:p>
    <w:p>
      <w:pPr>
        <w:pStyle w:val="Subtitle"/>
      </w:pPr>
      <w:r>
        <w:t xml:space="preserve">赛力斯企业命题参赛材料</w:t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900"/>
        <w:gridCol w:w="7460"/>
      </w:tblGrid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作品名称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知质·灵巡：面向新能源汽车智能工厂的质量风险主动管控数字员工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材料定位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设备质量风险主动识别、证据推理、飞书协同与复盘闭环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一、方案总览</w:t>
      </w:r>
    </w:p>
    <w:p>
      <w:r>
        <w:t xml:space="preserve"/>
      </w:r>
    </w:p>
    <w:p>
      <w:pPr>
        <w:pStyle w:val="BodyText"/>
      </w:pPr>
      <w:r>
        <w:t xml:space="preserve">“知质·灵巡”是一名面向赛力斯超级工厂的设备质量风险主动管控数字员工。方案以工厂质量知识底座为根，以GraphRAG和因果约束为推理引擎，以Autonomous Agent为工作流中枢，以飞书Aily、多维表格和机器人卡片为协同执行层，形成从感知到行动的闭环。</w:t>
      </w:r>
    </w:p>
    <w:p>
      <w:r>
        <w:t xml:space="preserve"/>
      </w:r>
    </w:p>
    <w:p>
      <w:pPr>
        <w:pStyle w:val="BodyText"/>
      </w:pPr>
      <w:r>
        <w:t xml:space="preserve">围绕题面要求，方案的建设顺序是先建“设备与质量知识底座”，再做“会主动思考和执行的Agent”，最后用“飞书协同工具链”把风险处置落到人、车、设备和任务上。三者缺一不可：没有知识底座，数字员工无法解释；没有自主Agent，系统仍停留在问答；没有飞书闭环，推理结果难以转化为现场行动。</w:t>
      </w:r>
    </w:p>
    <w:p>
      <w:r>
        <w:t xml:space="preserve"/>
      </w:r>
    </w:p>
    <w:p>
      <w:pPr>
        <w:pStyle w:val="BodyText"/>
      </w:pPr>
      <w:r>
        <w:t xml:space="preserve">它要解决的不是单点报警展示，而是现场质量管理中最难沉淀的隐性风险：设备已经出现退化或偏移，但终检尚未报废；参数已经越过窗口，但影响车辆和根因还不清楚；班组已经在群里沟通，但责任、时限、证据和复盘没有进入结构化资产。知质·灵巡把这些碎片组织成一条可追溯风险线程。</w:t>
      </w:r>
    </w:p>
    <w:p>
      <w:r>
        <w:t xml:space="preserve"/>
      </w:r>
    </w:p>
    <w:p>
      <w:pPr>
        <w:pStyle w:val="Heading1"/>
        <w:keepNext/>
      </w:pPr>
      <w:r>
        <w:t xml:space="preserve">二、总体架构与核心模块</w:t>
      </w:r>
    </w:p>
    <w:p>
      <w:r>
        <w:t xml:space="preserve"/>
      </w:r>
    </w:p>
    <w:p>
      <w:pPr>
        <w:pStyle w:val="ListParagraph"/>
      </w:pPr>
      <w:r>
        <w:t xml:space="preserve">1. 数据接入层：接入PLC/SCADA设备告警、扭矩/电流/温度/模温差等工艺参数、MES过站记录、QMS缺陷、视觉检测、X光检测、设备点检、维修工单、FMEA、控制计划和飞书任务状态。</w:t>
      </w:r>
    </w:p>
    <w:p>
      <w:r>
        <w:t xml:space="preserve"/>
      </w:r>
    </w:p>
    <w:p>
      <w:pPr>
        <w:pStyle w:val="ListParagraph"/>
      </w:pPr>
      <w:r>
        <w:t xml:space="preserve">2. 知识底座层：建设质量本体和知识图谱，覆盖设备、工位、工序、参数、质量特性、缺陷模式、根因、控制计划、VIN、零件批次、责任角色和处置任务。每条关系都服务一个业务问题：定位异常来自哪里、影响什么质量特性、应由谁处理、关闭依据是什么。</w:t>
      </w:r>
    </w:p>
    <w:p>
      <w:r>
        <w:t xml:space="preserve"/>
      </w:r>
    </w:p>
    <w:p>
      <w:pPr>
        <w:pStyle w:val="ListParagraph"/>
      </w:pPr>
      <w:r>
        <w:t xml:space="preserve">3. 风险识别层：先经过数据质量门，再结合工艺窗口、EWMA/CUSUM/响应残差、同工位连续性、同设备重复性、VIN时间窗、设备寿命和历史案例形成多引擎共识，计算相对下游检验的缺陷显性化前置量并识别P1/P2/P3风险。</w:t>
      </w:r>
    </w:p>
    <w:p>
      <w:r>
        <w:t xml:space="preserve"/>
      </w:r>
    </w:p>
    <w:p>
      <w:pPr>
        <w:pStyle w:val="ListParagraph"/>
      </w:pPr>
      <w:r>
        <w:t xml:space="preserve">4. GraphRAG推理层：当异常触发时，系统先在图谱中确定检索路径，再从FMEA、SOP、历史8D、维修记录、质检规范和知识文档中抽取证据，输出Top-3根因及支持证据、冲突证据、反证动作和置信度；时序先行、机理一致、同位复现、可干预验证和数据完整五项因果护栏阻止伪因果升级为处置结论。</w:t>
      </w:r>
    </w:p>
    <w:p>
      <w:r>
        <w:t xml:space="preserve"/>
      </w:r>
    </w:p>
    <w:p>
      <w:pPr>
        <w:pStyle w:val="ListParagraph"/>
      </w:pPr>
      <w:r>
        <w:t xml:space="preserve">5. Agent执行层：数字员工执行“观察-研判-检索-推理-行动-复盘”循环。它生成风险等级、影响范围、根因Top-K、复检项目、维修动作、放行条件和飞书任务，并在关闭后把结果回写知识图谱。</w:t>
      </w:r>
    </w:p>
    <w:p>
      <w:r>
        <w:t xml:space="preserve"/>
      </w:r>
    </w:p>
    <w:p>
      <w:pPr>
        <w:pStyle w:val="ListParagraph"/>
      </w:pPr>
      <w:r>
        <w:t xml:space="preserve">6. 飞书协同层：飞书Aily提供自然语言入口，多维表格承载质量事件、处置任务、复检记录、维修记录和复盘记录，自定义机器人向质量、设备、工艺和班组群推送风险卡片。源数据完整、影响范围锁定、物理复检通过、授权人员确认、任务与知识回写五项关闭门全部满足后才可关闭；P1不允许数字员工自动放行。</w:t>
      </w:r>
    </w:p>
    <w:p>
      <w:r>
        <w:t xml:space="preserve"/>
      </w:r>
    </w:p>
    <w:p>
      <w:pPr>
        <w:pStyle w:val="Heading1"/>
        <w:keepNext/>
      </w:pPr>
      <w:r>
        <w:t xml:space="preserve">三、关键业务流程</w:t>
      </w:r>
    </w:p>
    <w:p>
      <w:r>
        <w:t xml:space="preserve"/>
      </w:r>
    </w:p>
    <w:p>
      <w:r>
        <w:rPr>
          <w:b/>
          <w:color w:val="9E1B32"/>
        </w:rPr>
        <w:t xml:space="preserve">以总装底盘合装拧紧为例，TQ-17智能拧紧枪出现M12关键螺栓扭矩偏低。系统不是只展示报警，而是自动完成六步：</w:t>
      </w:r>
      <w:r>
        <w:t xml:space="preserve"/>
      </w:r>
    </w:p>
    <w:p>
      <w:r>
        <w:t xml:space="preserve"/>
      </w:r>
    </w:p>
    <w:p>
      <w:pPr>
        <w:pStyle w:val="ListParagraph"/>
      </w:pPr>
      <w:r>
        <w:t xml:space="preserve">1. 识别86.4N·m低于92-108N·m工艺窗口，并发现连续3辆车同点位越界。</w:t>
      </w:r>
    </w:p>
    <w:p>
      <w:pPr>
        <w:pStyle w:val="ListParagraph"/>
      </w:pPr>
      <w:r>
        <w:t xml:space="preserve">2. 通过MES过站记录圈定VIN尾号8123-8125，并向上一次合格校验时间窗扩展核查。</w:t>
      </w:r>
    </w:p>
    <w:p>
      <w:pPr>
        <w:pStyle w:val="ListParagraph"/>
      </w:pPr>
      <w:r>
        <w:t xml:space="preserve">3. 沿“总装一线-底盘合装-TQ-17-扭矩参数-预紧力风险-FMEA条目-历史案例C-009”路径检索证据。</w:t>
      </w:r>
    </w:p>
    <w:p>
      <w:pPr>
        <w:pStyle w:val="ListParagraph"/>
      </w:pPr>
      <w:r>
        <w:t xml:space="preserve">4. 结合角度补偿波动、套筒寿命、校准记录和历史案例，形成“套筒磨损叠加校准漂移”的根因假设。</w:t>
      </w:r>
    </w:p>
    <w:p>
      <w:pPr>
        <w:pStyle w:val="ListParagraph"/>
      </w:pPr>
      <w:r>
        <w:t xml:space="preserve">5. 自动生成车辆隔离、扭矩复检、设备校准、套筒检查、备用设备首件确认和FMEA回写任务。</w:t>
      </w:r>
    </w:p>
    <w:p>
      <w:pPr>
        <w:pStyle w:val="ListParagraph"/>
      </w:pPr>
      <w:r>
        <w:t xml:space="preserve">6. 当复检合格、设备恢复、责任人确认和放行依据齐全后关闭事件，沉淀为下一次推理样本。</w:t>
      </w:r>
    </w:p>
    <w:p>
      <w:r>
        <w:t xml:space="preserve"/>
      </w:r>
    </w:p>
    <w:p>
      <w:pPr>
        <w:pStyle w:val="Heading1"/>
        <w:keepNext/>
      </w:pPr>
      <w:r>
        <w:t xml:space="preserve">四、创新点</w:t>
      </w:r>
    </w:p>
    <w:p>
      <w:r>
        <w:t xml:space="preserve"/>
      </w:r>
    </w:p>
    <w:p>
      <w:r>
        <w:rPr>
          <w:b/>
          <w:color w:val="9E1B32"/>
        </w:rPr>
        <w:t xml:space="preserve">设备质量风险线程：</w:t>
      </w:r>
      <w:r>
        <w:t xml:space="preserve">把报警、参数、VIN、证据、任务、责任人、SLA和复盘结论绑定成一条业务对象，避免质量知识散落在系统、群聊和个人经验里。</w:t>
      </w:r>
    </w:p>
    <w:p>
      <w:r>
        <w:t xml:space="preserve"/>
      </w:r>
    </w:p>
    <w:p>
      <w:r>
        <w:rPr>
          <w:b/>
          <w:color w:val="9E1B32"/>
        </w:rPr>
        <w:t xml:space="preserve">主动式GraphRAG：</w:t>
      </w:r>
      <w:r>
        <w:t xml:space="preserve">不是人员提问后再检索，而是在参数流和告警流中触发检索；图谱决定检索范围，文档补足证据，规则和因果约束校验推理方向。</w:t>
      </w:r>
    </w:p>
    <w:p>
      <w:r>
        <w:t xml:space="preserve"/>
      </w:r>
    </w:p>
    <w:p>
      <w:pPr>
        <w:pStyle w:val="BodyText"/>
      </w:pPr>
      <w:r>
        <w:t xml:space="preserve">一车一因果链：把一车一档从追溯档案升级为风险推理载体，让每辆受影响车辆都能说明“经过了哪个工位、受到哪个参数影响、依据哪些证据执行了哪项处置”。</w:t>
      </w:r>
    </w:p>
    <w:p>
      <w:r>
        <w:t xml:space="preserve"/>
      </w:r>
    </w:p>
    <w:p>
      <w:pPr>
        <w:pStyle w:val="BodyText"/>
      </w:pPr>
      <w:r>
        <w:t xml:space="preserve">飞书即执行层：飞书不只是通知渠道，而是质量事件、任务、责任、状态和复盘的协同载体。Aily承接查询和更新，多维表格承接结构化闭环，机器人卡片推动班组响应。</w:t>
      </w:r>
    </w:p>
    <w:p>
      <w:r>
        <w:t xml:space="preserve"/>
      </w:r>
    </w:p>
    <w:p>
      <w:r>
        <w:rPr>
          <w:b/>
          <w:color w:val="9E1B32"/>
        </w:rPr>
        <w:t xml:space="preserve">质量知识自学习：</w:t>
      </w:r>
      <w:r>
        <w:t xml:space="preserve">每次关闭事件都会沉淀根因、措施、复检结果和阈值调整，形成设备-症状-根因-措施关系，使下一次识别更快、更准。</w:t>
      </w:r>
    </w:p>
    <w:p>
      <w:r>
        <w:t xml:space="preserve"/>
      </w:r>
    </w:p>
    <w:p>
      <w:pPr>
        <w:pStyle w:val="Heading1"/>
        <w:keepNext/>
      </w:pPr>
      <w:r>
        <w:t xml:space="preserve">五、落地路线</w:t>
      </w:r>
    </w:p>
    <w:p>
      <w:r>
        <w:t xml:space="preserve"/>
      </w:r>
    </w:p>
    <w:p>
      <w:r>
        <w:rPr>
          <w:b/>
          <w:color w:val="9E1B32"/>
        </w:rPr>
        <w:t xml:space="preserve">第1阶段：</w:t>
      </w:r>
      <w:r>
        <w:t xml:space="preserve">离线回放。导入历史异常、维修、检测和放行记录，验证风险分级、影响范围圈定和根因命中率。</w:t>
      </w:r>
    </w:p>
    <w:p>
      <w:r>
        <w:t xml:space="preserve"/>
      </w:r>
    </w:p>
    <w:p>
      <w:r>
        <w:rPr>
          <w:b/>
          <w:color w:val="9E1B32"/>
        </w:rPr>
        <w:t xml:space="preserve">第2阶段：</w:t>
      </w:r>
      <w:r>
        <w:t xml:space="preserve">影子运行。系统在当班实时生成建议，但不改变现有放行流程，记录质量工程师采纳、修改或驳回原因。</w:t>
      </w:r>
    </w:p>
    <w:p>
      <w:r>
        <w:t xml:space="preserve"/>
      </w:r>
    </w:p>
    <w:p>
      <w:r>
        <w:rPr>
          <w:b/>
          <w:color w:val="9E1B32"/>
        </w:rPr>
        <w:t xml:space="preserve">第3阶段：</w:t>
      </w:r>
      <w:r>
        <w:t xml:space="preserve">协同闭环。接入飞书多维表格和机器人卡片，实现P1/P2事件任务派发、状态跟踪和关闭回写。</w:t>
      </w:r>
    </w:p>
    <w:p>
      <w:r>
        <w:t xml:space="preserve"/>
      </w:r>
    </w:p>
    <w:p>
      <w:r>
        <w:rPr>
          <w:b/>
          <w:color w:val="9E1B32"/>
        </w:rPr>
        <w:t xml:space="preserve">第4阶段：</w:t>
      </w:r>
      <w:r>
        <w:t xml:space="preserve">产线复制。把四类工况模板扩展到电驱装配、电池包气密、整车标定、供应链来料和路试问题闭环。</w:t>
      </w:r>
    </w:p>
    <w:p>
      <w:r>
        <w:t xml:space="preserve"/>
      </w:r>
    </w:p>
    <w:p>
      <w:pPr>
        <w:pStyle w:val="Heading1"/>
        <w:keepNext/>
      </w:pPr>
      <w:r>
        <w:t xml:space="preserve">六、业务价值与验收</w:t>
      </w:r>
    </w:p>
    <w:p>
      <w:r>
        <w:t xml:space="preserve"/>
      </w:r>
    </w:p>
    <w:p>
      <w:pPr>
        <w:pStyle w:val="BodyText"/>
      </w:pPr>
      <w:r>
        <w:t xml:space="preserve">首期目标为：关键异常定位时间下降40%-60%；P1事件任务派发小于1分钟；根因Top-3命中率达到80%以上；关键工序追溯覆盖达到100%；重复质量问题下降15%-25%；复检、维修、放行和复盘记录结构化率达到90%以上。收益核算只统计被现场采纳并完成闭环的事件，保证价值口径可验证。</w:t>
      </w:r>
    </w:p>
    <w:p>
      <w:r>
        <w:t xml:space="preserve"/>
      </w:r>
    </w:p>
    <w:p>
      <w:pPr>
        <w:pStyle w:val="Heading1"/>
        <w:keepNext/>
      </w:pPr>
      <w:r>
        <w:t xml:space="preserve">七、生产级组件与接口设计</w:t>
      </w:r>
    </w:p>
    <w:p>
      <w:r>
        <w:t xml:space="preserve"/>
      </w:r>
    </w:p>
    <w:p>
      <w:pPr>
        <w:pStyle w:val="BodyText"/>
      </w:pPr>
      <w:r>
        <w:t xml:space="preserve">数据接入采用事件总线和批流结合方式。高频设备参数先在边缘侧完成窗口、漂移、连续性与缺失检查，只把异常片段和特征送入风险层；MES、QMS、维修和文档数据按事件ID与时间窗关联。所有输入记录source_system、event_time、ingest_time、version和quality_flag，防止用过期数据解释当前异常。</w:t>
      </w:r>
    </w:p>
    <w:p>
      <w:r>
        <w:t xml:space="preserve"/>
      </w:r>
    </w:p>
    <w:p>
      <w:pPr>
        <w:pStyle w:val="BodyText"/>
      </w:pPr>
      <w:r>
        <w:t xml:space="preserve">知识底座采用“本体层—实例层—证据层”三层结构。本体层定义设备、工位、工序、参数、质量特性、缺陷模式、控制计划、VIN/批次、角色和任务；实例层承载实时设备与事件关系；证据层保存文档片段、规则版本、历史案例和人工确认。GraphRAG先执行子图扩展和规则剪枝，再按关系距离、时间一致性、数据质量和案例相似度重排证据，最后交给大模型生成带引用解释。</w:t>
      </w:r>
    </w:p>
    <w:p>
      <w:r>
        <w:t xml:space="preserve"/>
      </w:r>
    </w:p>
    <w:p>
      <w:pPr>
        <w:pStyle w:val="BodyText"/>
      </w:pPr>
      <w:r>
        <w:t xml:space="preserve">Agent由观察器、风险评估器、检索器、影响圈定器、任务编排器、关闭校验器和知识回写器组成。每个工具只获得完成岗位动作所需的最小权限，P1关闭工具必须接收质量负责人确认令牌。任务与Base写入使用事件ID幂等，事件订阅用message_id、event_id和task_guid去重，避免网络重试造成重复任务或重复关闭。</w:t>
      </w:r>
    </w:p>
    <w:p>
      <w:r>
        <w:t xml:space="preserve"/>
      </w:r>
    </w:p>
    <w:p>
      <w:pPr>
        <w:pStyle w:val="Heading1"/>
        <w:keepNext/>
      </w:pPr>
      <w:r>
        <w:t xml:space="preserve">八、飞书执行织网</w:t>
      </w:r>
    </w:p>
    <w:p>
      <w:r>
        <w:t xml:space="preserve"/>
      </w:r>
    </w:p>
    <w:p>
      <w:pPr>
        <w:pStyle w:val="BodyText"/>
      </w:pPr>
      <w:r>
        <w:t xml:space="preserve">当前在线Base已建立13个质量事件字段，并完成真实写入回读。编排脚本自动读取当前飞书用户身份，按事件ID创建任务，随后创建包含事件摘要、证据链、根因假设、处置动作、关联任务和关闭检查项的复盘文档。在线任务GUID为`f10d51e5-cc8e-4c71-9441-cd29a77feacf`，复盘文档token为`PjludNq8foBhkrxV8VQccsldneb`。</w:t>
      </w:r>
    </w:p>
    <w:p>
      <w:r>
        <w:t xml:space="preserve"/>
      </w:r>
    </w:p>
    <w:p>
      <w:pPr>
        <w:pStyle w:val="BodyText"/>
      </w:pPr>
      <w:r>
        <w:t xml:space="preserve">生产版增加质量事件、处置任务、复检记录、设备维修和知识回写五张关联表。P1消息卡片提供确认隔离、接单、补充证据和升级四类动作；任务中心负责负责人、关注人、SLA、子任务、评论和附件；Aily提供事件查询、VIN追溯、处置草案和复盘生成；任务与消息事件驱动Base状态回写。机器人可用范围、卡片回调和事件订阅在企业开发者后台完成审核后启用。</w:t>
      </w:r>
    </w:p>
    <w:p>
      <w:r>
        <w:t xml:space="preserve"/>
      </w:r>
    </w:p>
    <w:p>
      <w:pPr>
        <w:pStyle w:val="Heading1"/>
        <w:keepNext/>
      </w:pPr>
      <w:r>
        <w:t xml:space="preserve">九、可靠性与安全</w:t>
      </w:r>
    </w:p>
    <w:p>
      <w:r>
        <w:t xml:space="preserve"/>
      </w:r>
    </w:p>
    <w:p>
      <w:pPr>
        <w:pStyle w:val="BodyText"/>
      </w:pPr>
      <w:r>
        <w:t xml:space="preserve">系统采用三类降级策略。数据降级：关键点位缺失、时钟偏差或延迟超阈值时只保留监测，不生成处置任务。模型降级：置信度低或证据矛盾时输出待核查项，不给出单一根因。流程降级：飞书不可用时生成本地事件包并进入人工任务清单，恢复后按幂等键补偿同步。</w:t>
      </w:r>
    </w:p>
    <w:p>
      <w:r>
        <w:t xml:space="preserve"/>
      </w:r>
    </w:p>
    <w:p>
      <w:pPr>
        <w:pStyle w:val="BodyText"/>
      </w:pPr>
      <w:r>
        <w:t xml:space="preserve">系统不存储飞书明文密钥，不在公共仓库提交访问令牌；VIN和人员信息按企业数据分级策略脱敏。所有根因结论保留证据来源、模型/规则版本、操作人和时间戳。质量负责人保留最终处置与放行权，AI的岗位价值是缩短信息收敛和协同时间，而不是取消质量责任制。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Calibri" w:eastAsia="Microsoft YaHei" w:hAnsi="Calibri"/>
      <w:sz w:val="22"/>
      <w:szCs w:val="22"/>
      <w:color w:val="172033"/>
    </w:rPr>
  </w:style>
  <w:style w:type="paragraph" w:styleId="Title">
    <w:name w:val="Title"/>
    <w:pPr>
      <w:spacing w:before="0" w:after="160"/>
    </w:pPr>
    <w:rPr>
      <w:rFonts w:ascii="Calibri" w:eastAsia="Microsoft YaHei" w:hAnsi="Calibri"/>
      <w:b/>
      <w:sz w:val="36"/>
      <w:szCs w:val="36"/>
      <w:color w:val="171C22"/>
    </w:rPr>
  </w:style>
  <w:style w:type="paragraph" w:styleId="Subtitle">
    <w:name w:val="Subtitle"/>
    <w:pPr>
      <w:spacing w:after="240"/>
    </w:pPr>
    <w:rPr>
      <w:rFonts w:ascii="Calibri" w:eastAsia="Microsoft YaHei" w:hAnsi="Calibri"/>
      <w:sz w:val="22"/>
      <w:szCs w:val="22"/>
      <w:color w:val="657086"/>
    </w:rPr>
  </w:style>
  <w:style w:type="paragraph" w:styleId="Heading1">
    <w:name w:val="heading 1"/>
    <w:pPr>
      <w:keepNext/>
      <w:spacing w:before="320" w:after="160"/>
    </w:pPr>
    <w:rPr>
      <w:rFonts w:ascii="Calibri" w:eastAsia="Microsoft YaHei" w:hAnsi="Calibri"/>
      <w:b/>
      <w:sz w:val="32"/>
      <w:szCs w:val="32"/>
      <w:color w:val="9E1B32"/>
    </w:rPr>
  </w:style>
  <w:style w:type="paragraph" w:styleId="Heading2">
    <w:name w:val="heading 2"/>
    <w:pPr>
      <w:keepNext/>
      <w:spacing w:before="240" w:after="120"/>
    </w:pPr>
    <w:rPr>
      <w:rFonts w:ascii="Calibri" w:eastAsia="Microsoft YaHei" w:hAnsi="Calibri"/>
      <w:b/>
      <w:sz w:val="26"/>
      <w:szCs w:val="26"/>
      <w:color w:val="34424F"/>
    </w:rPr>
  </w:style>
  <w:style w:type="paragraph" w:styleId="BodyText">
    <w:name w:val="Body Text"/>
    <w:basedOn w:val="Normal"/>
    <w:pPr>
      <w:spacing w:after="120" w:line="264" w:lineRule="auto"/>
    </w:pPr>
  </w:style>
  <w:style w:type="paragraph" w:styleId="ListParagraph">
    <w:name w:val="List Paragraph"/>
    <w:basedOn w:val="Normal"/>
    <w:pPr>
      <w:ind w:left="720"/>
      <w:spacing w:after="120" w:line="280" w:lineRule="auto"/>
    </w:pPr>
  </w:style>
  <w:style w:type="paragraph" w:styleId="ReferenceList">
    <w:name w:val="Reference List"/>
    <w:basedOn w:val="Normal"/>
    <w:pPr>
      <w:ind w:left="360" w:hanging="240"/>
      <w:spacing w:after="50" w:line="220" w:lineRule="auto"/>
    </w:pPr>
    <w:rPr>
      <w:rFonts w:ascii="Calibri" w:eastAsia="Microsoft YaHei" w:hAnsi="Calibri"/>
      <w:sz w:val="18"/>
      <w:szCs w:val="18"/>
      <w:color w:val="172033"/>
    </w:rPr>
  </w:style>
  <w:style w:type="paragraph" w:styleId="SmallSpace">
    <w:name w:val="Small Space"/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