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平台运行说明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一、工作台入口</w:t>
      </w:r>
    </w:p>
    <w:p>
      <w:r>
        <w:t xml:space="preserve"/>
      </w:r>
    </w:p>
    <w:p>
      <w:pPr>
        <w:pStyle w:val="BodyText"/>
      </w:pPr>
      <w:r>
        <w:t xml:space="preserve">打开`D:\赛力斯\app\index.html`进入知质·灵巡质量指挥台。系统无需安装前端依赖，包含实时管控、知识推理、飞书协同和价值验证四个工作域。</w:t>
      </w:r>
    </w:p>
    <w:p>
      <w:r>
        <w:t xml:space="preserve"/>
      </w:r>
    </w:p>
    <w:p>
      <w:pPr>
        <w:pStyle w:val="BodyText"/>
      </w:pPr>
      <w:r>
        <w:t xml:space="preserve">实时管控区展示产线态势、风险事件队列、数字员工身份、弱信号、缺陷显性化前置量、工艺趋势、风险等级、影响对象和处置安全门。知识推理区展示GraphRAG多跳路径、Top-3候选根因、支持/冲突证据、反证动作、可切换VIN/零件的一车一因果链、五项因果护栏和五项确定性关闭门。飞书协同区展示Base、消息卡片、任务中心、复盘文档四段流程及真实在线对象。价值验证区展示跨工序复制资产、试点目标、统计口径和公开依据。</w:t>
      </w:r>
    </w:p>
    <w:p>
      <w:r>
        <w:t xml:space="preserve"/>
      </w:r>
    </w:p>
    <w:p>
      <w:pPr>
        <w:pStyle w:val="Heading1"/>
        <w:keepNext/>
      </w:pPr>
      <w:r>
        <w:t xml:space="preserve">二、完整演示流程</w:t>
      </w:r>
    </w:p>
    <w:p>
      <w:r>
        <w:t xml:space="preserve"/>
      </w:r>
    </w:p>
    <w:p>
      <w:pPr>
        <w:pStyle w:val="ListParagraph"/>
      </w:pPr>
      <w:r>
        <w:t xml:space="preserve">1. 在风险事件队列选择总装拧紧、焊装点焊、涂装烘干或压铸冷却工况。</w:t>
      </w:r>
    </w:p>
    <w:p>
      <w:pPr>
        <w:pStyle w:val="ListParagraph"/>
      </w:pPr>
      <w:r>
        <w:t xml:space="preserve">2. 点击“注入下一工况”，观察事件从主动感知、图谱收敛、证据推理推进到飞书执行。</w:t>
      </w:r>
    </w:p>
    <w:p>
      <w:pPr>
        <w:pStyle w:val="ListParagraph"/>
      </w:pPr>
      <w:r>
        <w:t xml:space="preserve">3. 查看弱信号、多引擎共识、缺陷显性化前置量、工艺参数趋势和P1/P2分级依据。</w:t>
      </w:r>
    </w:p>
    <w:p>
      <w:pPr>
        <w:pStyle w:val="ListParagraph"/>
      </w:pPr>
      <w:r>
        <w:t xml:space="preserve">4. 在数字员工窗口追问如何提前发现、因果结论是否可信、影响VIN、飞书任务或关闭条件；也可输入自定义问题。</w:t>
      </w:r>
    </w:p>
    <w:p>
      <w:pPr>
        <w:pStyle w:val="ListParagraph"/>
      </w:pPr>
      <w:r>
        <w:t xml:space="preserve">5. 点击不同VIN/零件查看对象级过程档案；核查Top-3支持/冲突证据、反证动作和五项因果护栏；点击“查看完整证据”或导出JSON证据包。</w:t>
      </w:r>
    </w:p>
    <w:p>
      <w:pPr>
        <w:pStyle w:val="ListParagraph"/>
      </w:pPr>
      <w:r>
        <w:t xml:space="preserve">6. 点击“派发飞书闭环”，观察Base、卡片、任务和文档状态进入执行阶段。</w:t>
      </w:r>
    </w:p>
    <w:p>
      <w:pPr>
        <w:pStyle w:val="ListParagraph"/>
      </w:pPr>
      <w:r>
        <w:t xml:space="preserve">7. 点击“人工确认处置”，模拟质量负责人确认；观察五项关闭门状态变化，随后点击“验证并关闭”，系统只有在物理复检、授权确认和知识回写等条件满足后进入关闭状态。</w:t>
      </w:r>
    </w:p>
    <w:p>
      <w:pPr>
        <w:pStyle w:val="ListParagraph"/>
      </w:pPr>
      <w:r>
        <w:t xml:space="preserve">8. 打开在线质量台账、飞书任务和复盘文档，核验真实协同对象。</w:t>
      </w:r>
    </w:p>
    <w:p>
      <w:r>
        <w:t xml:space="preserve"/>
      </w:r>
    </w:p>
    <w:p>
      <w:pPr>
        <w:pStyle w:val="Heading1"/>
        <w:keepNext/>
      </w:pPr>
      <w:r>
        <w:t xml:space="preserve">三、飞书在线对象</w:t>
      </w:r>
    </w:p>
    <w:p>
      <w:r>
        <w:t xml:space="preserve"/>
      </w:r>
    </w:p>
    <w:p>
      <w:pPr>
        <w:pStyle w:val="BodyText"/>
      </w:pPr>
      <w:r>
        <w:t xml:space="preserve">质量事件Base：`https://larkcommunity.feishu.cn/base/DYAabhZeiagT0ZsjGaTcWFPrn7b?table=tblFo5Btaj0IBXiD`</w:t>
      </w:r>
    </w:p>
    <w:p>
      <w:r>
        <w:t xml:space="preserve"/>
      </w:r>
    </w:p>
    <w:p>
      <w:pPr>
        <w:pStyle w:val="BodyText"/>
      </w:pPr>
      <w:r>
        <w:t xml:space="preserve">飞书任务：`https://applink.feishu.cn/client/todo/detail?guid=f10d51e5-cc8e-4c71-9441-cd29a77feacf`</w:t>
      </w:r>
    </w:p>
    <w:p>
      <w:r>
        <w:t xml:space="preserve"/>
      </w:r>
    </w:p>
    <w:p>
      <w:pPr>
        <w:pStyle w:val="BodyText"/>
      </w:pPr>
      <w:r>
        <w:t xml:space="preserve">复盘文档：`https://larkcommunity.feishu.cn/docx/PjludNq8foBhkrxV8VQccsldneb`</w:t>
      </w:r>
    </w:p>
    <w:p>
      <w:r>
        <w:t xml:space="preserve"/>
      </w:r>
    </w:p>
    <w:p>
      <w:pPr>
        <w:pStyle w:val="BodyText"/>
      </w:pPr>
      <w:r>
        <w:t xml:space="preserve">Base表ID为`tblFo5Btaj0IBXiD`，包含13个质量事件字段。示例任务和复盘文档由同一事件`CASE-TQ-20260719-01`生成，文档中嵌入了真实飞书任务块。</w:t>
      </w:r>
    </w:p>
    <w:p>
      <w:r>
        <w:t xml:space="preserve"/>
      </w:r>
    </w:p>
    <w:p>
      <w:pPr>
        <w:pStyle w:val="Heading1"/>
        <w:keepNext/>
      </w:pPr>
      <w:r>
        <w:t xml:space="preserve">四、命令行验证</w:t>
      </w:r>
    </w:p>
    <w:p>
      <w:r>
        <w:t xml:space="preserve"/>
      </w:r>
    </w:p>
    <w:p>
      <w:pPr>
        <w:pStyle w:val="BodyText"/>
      </w:pPr>
      <w:r>
        <w:t xml:space="preserve">```powershell</w:t>
      </w:r>
    </w:p>
    <w:p>
      <w:pPr>
        <w:pStyle w:val="BodyText"/>
      </w:pPr>
      <w:r>
        <w:t xml:space="preserve">py D:\赛力斯\scripts\run_quality_agent.py</w:t>
      </w:r>
    </w:p>
    <w:p>
      <w:pPr>
        <w:pStyle w:val="BodyText"/>
      </w:pPr>
      <w:r>
        <w:t xml:space="preserve">powershell -ExecutionPolicy Bypass -File D:\赛力斯\scripts\orchestrate_feishu_quality_event.ps1 -WriteBase -CreateTask -CreateReviewDoc -DryRun</w:t>
      </w:r>
    </w:p>
    <w:p>
      <w:pPr>
        <w:pStyle w:val="BodyText"/>
      </w:pPr>
      <w:r>
        <w:t xml:space="preserve">node --check D:\赛力斯\app\app.js</w:t>
      </w:r>
    </w:p>
    <w:p>
      <w:pPr>
        <w:pStyle w:val="BodyText"/>
      </w:pPr>
      <w:r>
        <w:t xml:space="preserve">node --check D:\赛力斯\app\dashboard.js</w:t>
      </w:r>
    </w:p>
    <w:p>
      <w:pPr>
        <w:pStyle w:val="BodyText"/>
      </w:pPr>
      <w:r>
        <w:t xml:space="preserve">py D:\赛力斯\scripts\audit_materials.py</w:t>
      </w:r>
    </w:p>
    <w:p>
      <w:pPr>
        <w:pStyle w:val="BodyText"/>
      </w:pPr>
      <w:r>
        <w:t xml:space="preserve">```</w:t>
      </w:r>
    </w:p>
    <w:p>
      <w:r>
        <w:t xml:space="preserve"/>
      </w:r>
    </w:p>
    <w:p>
      <w:pPr>
        <w:pStyle w:val="BodyText"/>
      </w:pPr>
      <w:r>
        <w:t xml:space="preserve">不带`-DryRun`时，编排脚本可以创建飞书任务和复盘文档。消息发送默认关闭，只有明确指定收件人、内容和发送身份并传入确认开关后才执行。</w:t>
      </w:r>
    </w:p>
    <w:p>
      <w:r>
        <w:t xml:space="preserve"/>
      </w:r>
    </w:p>
    <w:p>
      <w:pPr>
        <w:pStyle w:val="Heading1"/>
        <w:keepNext/>
      </w:pPr>
      <w:r>
        <w:t xml:space="preserve">五、演示与生产边界</w:t>
      </w:r>
    </w:p>
    <w:p>
      <w:r>
        <w:t xml:space="preserve"/>
      </w:r>
    </w:p>
    <w:p>
      <w:pPr>
        <w:pStyle w:val="BodyText"/>
      </w:pPr>
      <w:r>
        <w:t xml:space="preserve">页面中的工艺参数和VIN为脱敏仿真数据，用于展示机制，不代表赛力斯真实工艺窗口。生产接入需由企业确认数据字典、质量等级、责任角色和放行权限。系统首期不直接修改PLC/SCADA参数，不替代质量负责人放行，不自动关闭P1；数据缺失、延迟、连续低置信或人机结论冲突时自动退回只读监测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