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参考文献与数据依据</w:t>
      </w:r>
    </w:p>
    <w:p>
      <w:pPr>
        <w:pStyle w:val="Subtitle"/>
      </w:pPr>
      <w:r>
        <w:t xml:space="preserve">赛力斯企业命题参赛材料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1900"/>
        <w:gridCol w:w="7460"/>
      </w:tblGrid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作品名称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知质·灵巡：面向新能源汽车智能工厂的质量风险主动管控数字员工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参赛队伍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智造知行队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数字员工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知质·灵巡</w:t>
            </w:r>
          </w:p>
        </w:tc>
      </w:tr>
      <w:tr>
        <w:tc>
          <w:tcPr>
            <w:tcW w:w="190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材料定位</w:t>
            </w:r>
          </w:p>
        </w:tc>
        <w:tc>
          <w:tcPr>
            <w:tcW w:w="7460" w:type="dxa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r>
              <w:t xml:space="preserve">设备质量风险主动识别、证据推理、飞书协同与复盘闭环</w:t>
            </w:r>
          </w:p>
        </w:tc>
      </w:tr>
    </w:tbl>
    <w:p>
      <w:pPr>
        <w:pStyle w:val="SmallSpace"/>
      </w:pPr>
      <w:r>
        <w:t xml:space="preserve"/>
      </w:r>
    </w:p>
    <w:p>
      <w:r>
        <w:t xml:space="preserve"/>
      </w:r>
    </w:p>
    <w:p>
      <w:pPr>
        <w:pStyle w:val="Heading1"/>
        <w:keepNext/>
      </w:pPr>
      <w:r>
        <w:t xml:space="preserve">一、企业业务依据</w:t>
      </w:r>
    </w:p>
    <w:p>
      <w:r>
        <w:t xml:space="preserve"/>
      </w:r>
    </w:p>
    <w:p>
      <w:pPr>
        <w:pStyle w:val="BodyText"/>
      </w:pPr>
      <w:r>
        <w:t xml:space="preserve">赛力斯集团2024年年度报告提出持续推进“产业大脑+超级工厂”引领的智能制造2.0建设，并披露大模型技术赋能研发、生产、销售和服务全链路。2025年半年度报告进一步披露数字孪生、人工智能、大数据和物联网的融合，以及关键生产工序、焊点质量和整车静态质量自动化检测能力。2024年ESG报告说明公司构建全生命周期质量管控机制，使用AI监测、虚拟调试和数字孪生，并建立“一件一档、一车一档”追溯机制。</w:t>
      </w:r>
    </w:p>
    <w:p>
      <w:r>
        <w:t xml:space="preserve"/>
      </w:r>
    </w:p>
    <w:p>
      <w:pPr>
        <w:pStyle w:val="BodyText"/>
      </w:pPr>
      <w:r>
        <w:t xml:space="preserve">上述资料表明，赛力斯已有高质量数据采集与追溯基础。本方案不重复建设数据看板，而是补齐从异常信号到证据推理、责任任务、关闭验证和知识回写的主动质量风险层。</w:t>
      </w:r>
    </w:p>
    <w:p>
      <w:r>
        <w:t xml:space="preserve"/>
      </w:r>
    </w:p>
    <w:p>
      <w:pPr>
        <w:pStyle w:val="Heading1"/>
        <w:keepNext/>
      </w:pPr>
      <w:r>
        <w:t xml:space="preserve">二、技术研究依据</w:t>
      </w:r>
    </w:p>
    <w:p>
      <w:r>
        <w:t xml:space="preserve"/>
      </w:r>
    </w:p>
    <w:p>
      <w:pPr>
        <w:pStyle w:val="BodyText"/>
      </w:pPr>
      <w:r>
        <w:t xml:space="preserve">Wehner等针对电动车制造根因分析提出知识图谱、因果贝叶斯网络和专家反馈结合的方法，说明专家知识能缩小因果搜索空间并减少伪因果。Root-KGD将工业数据特征与设备、物流等实体结合，用知识图谱定位根因并提供物理实体解释。Fraunhofer研究进一步将异常检测、时间有效因果图和反事实干预组合，使候选根因具有可验证、可证伪路径。制造问题求解GraphRAG研究把在线异常检测、FMEA贝叶斯网络、历史8D图谱和混合检索串联，为本方案的“发现—推理—行动”提供技术依据。Document GraphRAG和ProQ-KG分别支撑制造文档结构检索及产品—过程—资源—FMEA统一建模。</w:t>
      </w:r>
    </w:p>
    <w:p>
      <w:r>
        <w:t xml:space="preserve"/>
      </w:r>
    </w:p>
    <w:p>
      <w:pPr>
        <w:pStyle w:val="Heading1"/>
        <w:keepNext/>
      </w:pPr>
      <w:r>
        <w:t xml:space="preserve">三、质量管理与可信AI依据</w:t>
      </w:r>
    </w:p>
    <w:p>
      <w:r>
        <w:t xml:space="preserve"/>
      </w:r>
    </w:p>
    <w:p>
      <w:pPr>
        <w:pStyle w:val="BodyText"/>
      </w:pPr>
      <w:r>
        <w:t xml:space="preserve">ISO 9001强调过程方法、风险思维、监视测量、形成文件的信息和持续改进。本方案据此把每次异常组织为包含风险、措施、验证、责任和回写的闭环。NIST AI RMF要求明确人机角色、监督机制、文档和审计，本方案据此设置P1人工确认、低置信降级、数据缺失停派和全链路审计。</w:t>
      </w:r>
    </w:p>
    <w:p>
      <w:r>
        <w:t xml:space="preserve"/>
      </w:r>
    </w:p>
    <w:p>
      <w:pPr>
        <w:pStyle w:val="Heading1"/>
        <w:keepNext/>
      </w:pPr>
      <w:r>
        <w:t xml:space="preserve">四、飞书能力依据</w:t>
      </w:r>
    </w:p>
    <w:p>
      <w:r>
        <w:t xml:space="preserve"/>
      </w:r>
    </w:p>
    <w:p>
      <w:pPr>
        <w:pStyle w:val="BodyText"/>
      </w:pPr>
      <w:r>
        <w:t xml:space="preserve">飞书开放平台多维表格支持表、字段、记录、视图、仪表盘、角色权限和自动化流程；任务v2支持负责人、关注人、子任务、评论、附件和幂等调用；消息卡片支持按钮、选择器和回传交互；文档OpenAPI支持创建和编辑结构化文档；任务与消息事件支持状态监听。由此形成“Base台账—卡片通知—任务执行—文档复盘—事件回写”的执行织网。</w:t>
      </w:r>
    </w:p>
    <w:p>
      <w:r>
        <w:t xml:space="preserve"/>
      </w:r>
    </w:p>
    <w:p>
      <w:pPr>
        <w:pStyle w:val="Heading1"/>
        <w:keepNext/>
      </w:pPr>
      <w:r>
        <w:t xml:space="preserve">五、参考文献</w:t>
      </w:r>
    </w:p>
    <w:p>
      <w:r>
        <w:t xml:space="preserve"/>
      </w:r>
    </w:p>
    <w:p>
      <w:pPr>
        <w:pStyle w:val="ReferenceList"/>
      </w:pPr>
      <w:r>
        <w:t xml:space="preserve">1. 赛力斯集团股份有限公司. 2024年年度报告[EB/OL]. 2025-04-01. https://cdn-web.seres.cn/uploads/20250401/5cb4a1a9711d4df2daabb14d964625a0.pdf.</w:t>
      </w:r>
    </w:p>
    <w:p>
      <w:pPr>
        <w:pStyle w:val="ReferenceList"/>
      </w:pPr>
      <w:r>
        <w:t xml:space="preserve">2. 赛力斯集团股份有限公司. 2025年半年度报告[EB/OL]. 2025-09-02. https://cdn-web.seres.cn/uploads/20250902/16d86a4ef54310af944762148f4e9c3a.pdf.</w:t>
      </w:r>
    </w:p>
    <w:p>
      <w:pPr>
        <w:pStyle w:val="ReferenceList"/>
      </w:pPr>
      <w:r>
        <w:t xml:space="preserve">3. 赛力斯集团股份有限公司. 2024年环境、社会及管治报告[EB/OL]. 2025-04-01. https://cdn-web.seres.cn/uploads/20250401/527578cbe5eb235154a0b049fa778022.pdf.</w:t>
      </w:r>
    </w:p>
    <w:p>
      <w:pPr>
        <w:pStyle w:val="ReferenceList"/>
      </w:pPr>
      <w:r>
        <w:t xml:space="preserve">4. ISO. ISO 9001 explained: Quality management systems[EB/OL]. https://www.iso.org/home/insights-news/resources/iso-9001-explained.html.</w:t>
      </w:r>
    </w:p>
    <w:p>
      <w:pPr>
        <w:pStyle w:val="ReferenceList"/>
      </w:pPr>
      <w:r>
        <w:t xml:space="preserve">5. National Institute of Standards and Technology. Artificial Intelligence Risk Management Framework 1.0[R]. NIST AI 100-1, 2023. https://doi.org/10.6028/NIST.AI.100-1.</w:t>
      </w:r>
    </w:p>
    <w:p>
      <w:pPr>
        <w:pStyle w:val="ReferenceList"/>
      </w:pPr>
      <w:r>
        <w:t xml:space="preserve">6. Wehner C, Kertel M, Wewerka J, et al. Interactive and Intelligent Root Cause Analysis in Manufacturing with Causal Bayesian Networks and Knowledge Graphs[EB/OL]. arXiv:2402.00043, 2024. https://arxiv.org/abs/2402.00043.</w:t>
      </w:r>
    </w:p>
    <w:p>
      <w:pPr>
        <w:pStyle w:val="ReferenceList"/>
      </w:pPr>
      <w:r>
        <w:t xml:space="preserve">7. Chen J, Qian J, Zhang X, et al. Root-KGD: A Novel Framework for Root Cause Diagnosis Based on Knowledge Graph and Industrial Data[EB/OL]. arXiv:2406.13664, 2024. https://arxiv.org/abs/2406.13664.</w:t>
      </w:r>
    </w:p>
    <w:p>
      <w:pPr>
        <w:pStyle w:val="ReferenceList"/>
      </w:pPr>
      <w:r>
        <w:t xml:space="preserve">8. Knollmeyer S, Caymazer O, Grossmann D. Document GraphRAG: Knowledge Graph Enhanced Retrieval Augmented Generation for Document Question Answering Within the Manufacturing Domain[J]. Electronics, 2025, 14(11):2102. https://doi.org/10.3390/electronics14112102.</w:t>
      </w:r>
    </w:p>
    <w:p>
      <w:pPr>
        <w:pStyle w:val="ReferenceList"/>
      </w:pPr>
      <w:r>
        <w:t xml:space="preserve">9. Kurniawan K, Kropatschek S, Kiesling E, et al. ProQ-KG: Integrated Cyber-Physical Production System Knowledge Graph for Quality Issue Analysis[EB/OL]. 2025. https://papers.ssrn.com/sol3/papers.cfm?abstract_id=5273075.</w:t>
      </w:r>
    </w:p>
    <w:p>
      <w:pPr>
        <w:pStyle w:val="ReferenceList"/>
      </w:pPr>
      <w:r>
        <w:t xml:space="preserve">10. Xu Z, Dang Y. Data-driven causal knowledge graph construction for root cause analysis in quality problem solving[J]. International Journal of Production Research, 2023, 61(14):4693-4711. https://doi.org/10.1080/00207543.2022.2137597.</w:t>
      </w:r>
    </w:p>
    <w:p>
      <w:pPr>
        <w:pStyle w:val="ReferenceList"/>
      </w:pPr>
      <w:r>
        <w:t xml:space="preserve">11. 飞书开放平台. 多维表格概述[EB/OL]. https://open.feishu.cn/document/server-docs/docs/bitable-v1/bitable-overview?lang=zh-CN.</w:t>
      </w:r>
    </w:p>
    <w:p>
      <w:pPr>
        <w:pStyle w:val="ReferenceList"/>
      </w:pPr>
      <w:r>
        <w:t xml:space="preserve">12. 飞书开放平台. 任务v2概述[EB/OL]. https://open.feishu.cn/document/task-v2/overview.</w:t>
      </w:r>
    </w:p>
    <w:p>
      <w:pPr>
        <w:pStyle w:val="ReferenceList"/>
      </w:pPr>
      <w:r>
        <w:t xml:space="preserve">13. 飞书开放平台. 配置卡片交互[EB/OL]. https://open.feishu.cn/document/common-capabilities/message-card/add-card-interaction/interaction-module.</w:t>
      </w:r>
    </w:p>
    <w:p>
      <w:pPr>
        <w:pStyle w:val="ReferenceList"/>
      </w:pPr>
      <w:r>
        <w:t xml:space="preserve">14. 飞书开放平台. 文档OpenAPI概述[EB/OL]. https://open.feishu.cn/document/server-docs/docs/docs/docx-v1/docx-overview.</w:t>
      </w:r>
    </w:p>
    <w:p>
      <w:pPr>
        <w:pStyle w:val="ReferenceList"/>
      </w:pPr>
      <w:r>
        <w:t xml:space="preserve">15. Rehak J, Sommer A, Becker M, et al. Counterfactual Root Cause Analysis via Anomaly Detection and Causal Graphs[C]. IEEE INDIN, 2023. https://doi.org/10.1109/INDIN51400.2023.10218245.</w:t>
      </w:r>
    </w:p>
    <w:p>
      <w:pPr>
        <w:pStyle w:val="ReferenceList"/>
      </w:pPr>
      <w:r>
        <w:t xml:space="preserve">16. Rehak J, Youssef S, Beyerer J. Root cause analysis using anomaly detection and temporal informed causal graphs[C]. ML4CPS, 2024. https://doi.org/10.24406/publica-3069.</w:t>
      </w:r>
    </w:p>
    <w:p>
      <w:pPr>
        <w:pStyle w:val="ReferenceList"/>
      </w:pPr>
      <w:r>
        <w:t xml:space="preserve">17. Kropatschek S, et al. Retrieval-Augmented Generation using Knowledge Graphs for Manufacturing Problem-Solving[C]. 2025. https://publica.fraunhofer.de/entities/publication/3ec641f3-33db-472b-8414-a1bb9e246a10.</w:t>
      </w:r>
    </w:p>
    <w:p>
      <w:r>
        <w:t xml:space="preserve"/>
      </w:r>
    </w:p>
    <w:p>
      <w:pPr>
        <w:pStyle w:val="BodyText"/>
      </w:pPr>
      <w:r>
        <w:t xml:space="preserve">结构化参考目录保存在`data/reference_catalog.json`，每条来源标注其在方案中的使用位置。企业公开数字只作为场景依据，仿真参数不声称来自赛力斯真实产线。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eastAsia="Microsoft YaHei" w:hAnsi="Calibri"/>
      <w:sz w:val="22"/>
      <w:szCs w:val="22"/>
      <w:color w:val="172033"/>
    </w:rPr>
  </w:style>
  <w:style w:type="paragraph" w:styleId="Title">
    <w:name w:val="Title"/>
    <w:pPr>
      <w:spacing w:before="0" w:after="160"/>
    </w:pPr>
    <w:rPr>
      <w:rFonts w:ascii="Calibri" w:eastAsia="Microsoft YaHei" w:hAnsi="Calibri"/>
      <w:b/>
      <w:sz w:val="36"/>
      <w:szCs w:val="36"/>
      <w:color w:val="171C22"/>
    </w:rPr>
  </w:style>
  <w:style w:type="paragraph" w:styleId="Subtitle">
    <w:name w:val="Subtitle"/>
    <w:pPr>
      <w:spacing w:after="240"/>
    </w:pPr>
    <w:rPr>
      <w:rFonts w:ascii="Calibri" w:eastAsia="Microsoft YaHei" w:hAnsi="Calibri"/>
      <w:sz w:val="22"/>
      <w:szCs w:val="22"/>
      <w:color w:val="657086"/>
    </w:rPr>
  </w:style>
  <w:style w:type="paragraph" w:styleId="Heading1">
    <w:name w:val="heading 1"/>
    <w:pPr>
      <w:keepNext/>
      <w:spacing w:before="320" w:after="160"/>
    </w:pPr>
    <w:rPr>
      <w:rFonts w:ascii="Calibri" w:eastAsia="Microsoft YaHei" w:hAnsi="Calibri"/>
      <w:b/>
      <w:sz w:val="32"/>
      <w:szCs w:val="32"/>
      <w:color w:val="9E1B32"/>
    </w:rPr>
  </w:style>
  <w:style w:type="paragraph" w:styleId="Heading2">
    <w:name w:val="heading 2"/>
    <w:pPr>
      <w:keepNext/>
      <w:spacing w:before="240" w:after="120"/>
    </w:pPr>
    <w:rPr>
      <w:rFonts w:ascii="Calibri" w:eastAsia="Microsoft YaHei" w:hAnsi="Calibri"/>
      <w:b/>
      <w:sz w:val="26"/>
      <w:szCs w:val="26"/>
      <w:color w:val="34424F"/>
    </w:rPr>
  </w:style>
  <w:style w:type="paragraph" w:styleId="BodyText">
    <w:name w:val="Body Text"/>
    <w:basedOn w:val="Normal"/>
    <w:pPr>
      <w:spacing w:after="120" w:line="264" w:lineRule="auto"/>
    </w:pPr>
  </w:style>
  <w:style w:type="paragraph" w:styleId="ListParagraph">
    <w:name w:val="List Paragraph"/>
    <w:basedOn w:val="Normal"/>
    <w:pPr>
      <w:ind w:left="720"/>
      <w:spacing w:after="120" w:line="280" w:lineRule="auto"/>
    </w:pPr>
  </w:style>
  <w:style w:type="paragraph" w:styleId="ReferenceList">
    <w:name w:val="Reference List"/>
    <w:basedOn w:val="Normal"/>
    <w:pPr>
      <w:ind w:left="360" w:hanging="240"/>
      <w:spacing w:after="50" w:line="220" w:lineRule="auto"/>
    </w:pPr>
    <w:rPr>
      <w:rFonts w:ascii="Calibri" w:eastAsia="Microsoft YaHei" w:hAnsi="Calibri"/>
      <w:sz w:val="18"/>
      <w:szCs w:val="18"/>
      <w:color w:val="172033"/>
    </w:rPr>
  </w:style>
  <w:style w:type="paragraph" w:styleId="SmallSpace">
    <w:name w:val="Small Space"/>
    <w:pPr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