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方案创新亮点</w:t>
      </w:r>
    </w:p>
    <w:p>
      <w:pPr>
        <w:pStyle w:val="Subtitle"/>
      </w:pPr>
      <w:r>
        <w:t xml:space="preserve">赛力斯企业命题参赛材料</w:t>
      </w:r>
    </w:p>
    <w:tbl>
      <w:tblPr>
        <w:tblStyle w:val="TableGrid"/>
        <w:tblW w:w="9360" w:type="dxa"/>
        <w:tblInd w:w="120" w:type="dxa"/>
        <w:tblLayout w:type="fixed"/>
        <w:tblBorders>
          <w:top w:val="single" w:sz="4" w:color="D9E0EA"/>
          <w:left w:val="single" w:sz="4" w:color="D9E0EA"/>
          <w:bottom w:val="single" w:sz="4" w:color="D9E0EA"/>
          <w:right w:val="single" w:sz="4" w:color="D9E0EA"/>
          <w:insideH w:val="single" w:sz="4" w:color="D9E0EA"/>
          <w:insideV w:val="single" w:sz="4" w:color="D9E0EA"/>
        </w:tblBorders>
      </w:tblPr>
      <w:tblGrid>
        <w:gridCol w:w="1900"/>
        <w:gridCol w:w="7460"/>
      </w:tblGrid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作品名称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知质·灵巡：面向新能源汽车智能工厂的质量风险主动管控数字员工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参赛队伍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智造知行队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数字员工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材料定位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设备质量风险主动识别、证据推理、飞书协同与复盘闭环</w:t>
            </w:r>
          </w:p>
        </w:tc>
      </w:tr>
    </w:tbl>
    <w:p>
      <w:pPr>
        <w:pStyle w:val="SmallSpace"/>
      </w:pPr>
      <w:r>
        <w:t xml:space="preserve"/>
      </w:r>
    </w:p>
    <w:p>
      <w:r>
        <w:t xml:space="preserve"/>
      </w:r>
    </w:p>
    <w:p>
      <w:pPr>
        <w:pStyle w:val="Heading1"/>
        <w:keepNext/>
      </w:pPr>
      <w:r>
        <w:t xml:space="preserve">一、从问答助手到岗位化数字员工</w:t>
      </w:r>
    </w:p>
    <w:p>
      <w:r>
        <w:t xml:space="preserve"/>
      </w:r>
    </w:p>
    <w:p>
      <w:pPr>
        <w:pStyle w:val="BodyText"/>
      </w:pPr>
      <w:r>
        <w:t xml:space="preserve">知质·灵巡不是被动回答问题的知识库，而是具备岗位职责的质量风险专员。它持续巡检设备告警、参数趋势和检测结果，发现异常后主动生成风险等级、证据链、影响范围和处置任务。最终放行仍由质量负责人确认，数字员工负责把证据和流程准备到可执行状态。</w:t>
      </w:r>
    </w:p>
    <w:p>
      <w:r>
        <w:t xml:space="preserve"/>
      </w:r>
    </w:p>
    <w:p>
      <w:pPr>
        <w:pStyle w:val="Heading1"/>
        <w:keepNext/>
      </w:pPr>
      <w:r>
        <w:t xml:space="preserve">二、一车一因果链</w:t>
      </w:r>
    </w:p>
    <w:p>
      <w:r>
        <w:t xml:space="preserve"/>
      </w:r>
    </w:p>
    <w:p>
      <w:pPr>
        <w:pStyle w:val="BodyText"/>
      </w:pPr>
      <w:r>
        <w:t xml:space="preserve">方案把一车一档从追溯记录升级为因果链载体。每辆受影响车辆都能回答四个问题：经过哪个工位，受哪个设备或参数影响，为什么需要隔离或复检，关闭依据是什么。这比单纯保存检测结果更接近质量工程现场的真实决策方式。</w:t>
      </w:r>
    </w:p>
    <w:p>
      <w:r>
        <w:t xml:space="preserve"/>
      </w:r>
    </w:p>
    <w:p>
      <w:pPr>
        <w:pStyle w:val="Heading1"/>
        <w:keepNext/>
      </w:pPr>
      <w:r>
        <w:t xml:space="preserve">三、设备质量风险线程</w:t>
      </w:r>
    </w:p>
    <w:p>
      <w:r>
        <w:t xml:space="preserve"/>
      </w:r>
    </w:p>
    <w:p>
      <w:pPr>
        <w:pStyle w:val="BodyText"/>
      </w:pPr>
      <w:r>
        <w:t xml:space="preserve">每一次异常都会生成一条风险线程，线程包含设备、工位、参数、阈值、VIN或零件批次、历史案例、根因假设、责任人、SLA、复检结果和复盘结论。风险线程解决了质量知识分散在报警系统、Excel、群聊和个人经验中的问题。</w:t>
      </w:r>
    </w:p>
    <w:p>
      <w:r>
        <w:t xml:space="preserve"/>
      </w:r>
    </w:p>
    <w:p>
      <w:pPr>
        <w:pStyle w:val="Heading1"/>
        <w:keepNext/>
      </w:pPr>
      <w:r>
        <w:t xml:space="preserve">四、主动式GraphRAG</w:t>
      </w:r>
    </w:p>
    <w:p>
      <w:r>
        <w:t xml:space="preserve"/>
      </w:r>
    </w:p>
    <w:p>
      <w:pPr>
        <w:pStyle w:val="BodyText"/>
      </w:pPr>
      <w:r>
        <w:t xml:space="preserve">普通RAG需要人员提问后检索文档，主动式GraphRAG由现场数据触发。系统先沿知识图谱确定设备、工序、质量特性和历史案例的关系，再从FMEA、SOP、维修记录和质检规范中补充证据，最后用因果护栏排除不合理解释。</w:t>
      </w:r>
    </w:p>
    <w:p>
      <w:r>
        <w:t xml:space="preserve"/>
      </w:r>
    </w:p>
    <w:p>
      <w:pPr>
        <w:pStyle w:val="BodyText"/>
      </w:pPr>
      <w:r>
        <w:t xml:space="preserve">主动不等于等到硬阈值报警后自动发消息。系统使用工艺规则、EWMA、CUSUM、指令-反馈残差和图谱关系形成多引擎共识，并用“下游检验理论发现时点-风险线程首次可派单时点”度量缺陷显性化前置量。演示四场景分别给出18至46分钟的脱敏仿真前置量，试点验收目标为中位数不少于10分钟。</w:t>
      </w:r>
    </w:p>
    <w:p>
      <w:r>
        <w:t xml:space="preserve"/>
      </w:r>
    </w:p>
    <w:p>
      <w:pPr>
        <w:pStyle w:val="Heading1"/>
        <w:keepNext/>
      </w:pPr>
      <w:r>
        <w:t xml:space="preserve">五、Top-3因果假设与反证闭环</w:t>
      </w:r>
    </w:p>
    <w:p>
      <w:r>
        <w:t xml:space="preserve"/>
      </w:r>
    </w:p>
    <w:p>
      <w:pPr>
        <w:pStyle w:val="BodyText"/>
      </w:pPr>
      <w:r>
        <w:t xml:space="preserve">系统不把模型相关性直接写成根因。每个Top-3假设同时展示支持证据、冲突证据和可以改变其置信度的反证动作，并经过时序、机理、复现、干预和数据完整五项护栏。处置结果若不支持Top-1，系统会降级该假设并提升其他候选，而不是为原答案补充说辞。</w:t>
      </w:r>
    </w:p>
    <w:p>
      <w:r>
        <w:t xml:space="preserve"/>
      </w:r>
    </w:p>
    <w:p>
      <w:pPr>
        <w:pStyle w:val="Heading1"/>
        <w:keepNext/>
      </w:pPr>
      <w:r>
        <w:t xml:space="preserve">六、确定性关闭门</w:t>
      </w:r>
    </w:p>
    <w:p>
      <w:r>
        <w:t xml:space="preserve"/>
      </w:r>
    </w:p>
    <w:p>
      <w:pPr>
        <w:pStyle w:val="BodyText"/>
      </w:pPr>
      <w:r>
        <w:t xml:space="preserve">源数据完整、影响范围锁定、物理复检通过、授权人员确认、任务与知识回写完成是五个结构化强制项。规则引擎负责判定，大模型只解释缺失项；P1任一项未通过只能隔离或升级。该设计把可靠、可追溯落实为可执行状态机。</w:t>
      </w:r>
    </w:p>
    <w:p>
      <w:r>
        <w:t xml:space="preserve"/>
      </w:r>
    </w:p>
    <w:p>
      <w:pPr>
        <w:pStyle w:val="Heading1"/>
        <w:keepNext/>
      </w:pPr>
      <w:r>
        <w:t xml:space="preserve">五、飞书原生执行闭环</w:t>
      </w:r>
    </w:p>
    <w:p>
      <w:r>
        <w:t xml:space="preserve"/>
      </w:r>
    </w:p>
    <w:p>
      <w:pPr>
        <w:pStyle w:val="BodyText"/>
      </w:pPr>
      <w:r>
        <w:t xml:space="preserve">飞书不是简单通知渠道，而是执行层。Aily承接自然语言查询，多维表格承载事件与任务，自定义机器人推送风险卡片。质量、设备、工艺和班组角色在同一条事件线程中更新状态，关闭后复盘结果回写知识底座。</w:t>
      </w:r>
    </w:p>
    <w:p>
      <w:r>
        <w:t xml:space="preserve"/>
      </w:r>
    </w:p>
    <w:p>
      <w:pPr>
        <w:pStyle w:val="Heading1"/>
        <w:keepNext/>
      </w:pPr>
      <w:r>
        <w:t xml:space="preserve">六、可复制的工况模板</w:t>
      </w:r>
    </w:p>
    <w:p>
      <w:r>
        <w:t xml:space="preserve"/>
      </w:r>
    </w:p>
    <w:p>
      <w:pPr>
        <w:pStyle w:val="BodyText"/>
      </w:pPr>
      <w:r>
        <w:t xml:space="preserve">总装拧紧、焊装点焊、涂装烘干和压铸冷却虽然工艺不同，但都能抽象为“设备-参数-质量特性-影响范围-处置任务-复盘知识”的通用模板。该模板可扩展到电驱装配、电池包气密、整车标定、供应链来料和路试问题闭环。</w:t>
      </w:r>
    </w:p>
    <w:p>
      <w:r>
        <w:t xml:space="preserve"/>
      </w:r>
    </w:p>
    <w:p>
      <w:pPr>
        <w:pStyle w:val="Heading1"/>
        <w:keepNext/>
      </w:pPr>
      <w:r>
        <w:t xml:space="preserve">七、业务指标明确</w:t>
      </w:r>
    </w:p>
    <w:p>
      <w:r>
        <w:t xml:space="preserve"/>
      </w:r>
    </w:p>
    <w:p>
      <w:pPr>
        <w:pStyle w:val="BodyText"/>
      </w:pPr>
      <w:r>
        <w:t xml:space="preserve">方案不只描述技术先进性，而是绑定现场指标：异常定位时间下降40%-60%，P1任务派发小于1分钟，根因Top-3命中率达到80%以上，关键工序追溯覆盖达到100%，重复质量问题下降15%-25%，复盘知识沉淀率达到90%以上。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  <w:keepNext/>
      </w:pPr>
      <w:r>
        <w:t xml:space="preserve">八、区别于常规方案的组合创新</w:t>
      </w:r>
    </w:p>
    <w:p>
      <w:r>
        <w:t xml:space="preserve"/>
      </w:r>
    </w:p>
    <w:tbl>
      <w:tblPr>
        <w:tblStyle w:val="TableGrid"/>
        <w:tblW w:w="9360" w:type="dxa"/>
        <w:tblInd w:w="120" w:type="dxa"/>
        <w:tblLayout w:type="fixed"/>
        <w:tblBorders>
          <w:top w:val="single" w:sz="4" w:color="D9E0EA"/>
          <w:left w:val="single" w:sz="4" w:color="D9E0EA"/>
          <w:bottom w:val="single" w:sz="4" w:color="D9E0EA"/>
          <w:right w:val="single" w:sz="4" w:color="D9E0EA"/>
          <w:insideH w:val="single" w:sz="4" w:color="D9E0EA"/>
          <w:insideV w:val="single" w:sz="4" w:color="D9E0EA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维度</w:t>
            </w:r>
          </w:p>
        </w:tc>
        <w:tc>
          <w:tcPr>
            <w:tcW w:w="312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常规报警或问答方案</w:t>
            </w:r>
          </w:p>
        </w:tc>
        <w:tc>
          <w:tcPr>
            <w:tcW w:w="312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知质·灵巡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触发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人员查看报警或主动提问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设备、工艺、检测事件主动触发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上下文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单条报警或文本相似片段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本体约束子图、时序窗口、VIN/批次和文档证据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根因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单一结论或经验判断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Top-K可证伪假设、证据ID、置信度和反证条件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影响范围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人工跨系统查询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从最后合格点、MES过站和绑定关系自动圈定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执行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群消息和线下沟通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Base、卡片、任务、文档共享事件ID并回写状态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学习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报警关闭即结束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复检与维修结果更新图谱关系和案例权重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治理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自动化边界模糊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P1人工确认、低置信降级、越权操作为0</w:t>
            </w:r>
          </w:p>
        </w:tc>
      </w:tr>
    </w:tbl>
    <w:p>
      <w:pPr>
        <w:pStyle w:val="SmallSpace"/>
      </w:pPr>
      <w:r>
        <w:t xml:space="preserve"/>
      </w:r>
    </w:p>
    <w:p>
      <w:r>
        <w:t xml:space="preserve"/>
      </w:r>
    </w:p>
    <w:p>
      <w:pPr>
        <w:pStyle w:val="Heading1"/>
        <w:keepNext/>
      </w:pPr>
      <w:r>
        <w:t xml:space="preserve">九、两个核心原创机制</w:t>
      </w:r>
    </w:p>
    <w:p>
      <w:r>
        <w:t xml:space="preserve"/>
      </w:r>
    </w:p>
    <w:p>
      <w:pPr>
        <w:pStyle w:val="BodyText"/>
      </w:pPr>
      <w:r>
        <w:t xml:space="preserve">一车一因果链不是把更多字段塞进一车一档，而是把车辆经过的工位、设备版本、参数时间窗、风险关系、处置证据和最终放行结论组织为可查询的因果线程。它既支持事后追溯，也支持异常发生时向前圈定影响范围。</w:t>
      </w:r>
    </w:p>
    <w:p>
      <w:r>
        <w:t xml:space="preserve"/>
      </w:r>
    </w:p>
    <w:p>
      <w:pPr>
        <w:pStyle w:val="BodyText"/>
      </w:pPr>
      <w:r>
        <w:t xml:space="preserve">事件ID驱动的飞书执行织网把Base记录、任务幂等键、消息通知和复盘文档连接起来。飞书不只是提醒渠道，而是可审计的业务执行层；任务完成、附件上传和人工确认成为Agent重新判断关闭条件的输入。</w:t>
      </w:r>
    </w:p>
    <w:p>
      <w:r>
        <w:t xml:space="preserve"/>
      </w:r>
    </w:p>
    <w:p>
      <w:pPr>
        <w:pStyle w:val="Heading1"/>
        <w:keepNext/>
      </w:pPr>
      <w:r>
        <w:t xml:space="preserve">十、创新的可验证性</w:t>
      </w:r>
    </w:p>
    <w:p>
      <w:r>
        <w:t xml:space="preserve"/>
      </w:r>
    </w:p>
    <w:p>
      <w:pPr>
        <w:pStyle w:val="BodyText"/>
      </w:pPr>
      <w:r>
        <w:t xml:space="preserve">创新点均可通过作品直接验证：异常注入证明主动触发；动态图谱与证据抽屉证明多跳解释；一车一因果链证明影响圈定；安全门证明人机边界；在线Base、任务和复盘文档证明飞书执行；关闭后的时间线与字段变化证明知识回写。创新不是概念命名，而是可观察状态和可重复操作。</w:t>
      </w:r>
    </w:p>
    <w:sectPr>
      <w:pgSz w:w="12240" w:h="15840"/>
      <w:pgMar w:top="1440" w:right="1440" w:bottom="1440" w:left="144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num w:numId="1">
    <w:abstractNumId w:val="1"/>
  </w:num>
  <w:num w:numId="2">
    <w:abstractNumId w:val="2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after="120" w:line="264" w:lineRule="auto"/>
    </w:pPr>
    <w:rPr>
      <w:rFonts w:ascii="Calibri" w:eastAsia="Microsoft YaHei" w:hAnsi="Calibri"/>
      <w:sz w:val="22"/>
      <w:szCs w:val="22"/>
      <w:color w:val="172033"/>
    </w:rPr>
  </w:style>
  <w:style w:type="paragraph" w:styleId="Title">
    <w:name w:val="Title"/>
    <w:pPr>
      <w:spacing w:before="0" w:after="160"/>
    </w:pPr>
    <w:rPr>
      <w:rFonts w:ascii="Calibri" w:eastAsia="Microsoft YaHei" w:hAnsi="Calibri"/>
      <w:b/>
      <w:sz w:val="36"/>
      <w:szCs w:val="36"/>
      <w:color w:val="171C22"/>
    </w:rPr>
  </w:style>
  <w:style w:type="paragraph" w:styleId="Subtitle">
    <w:name w:val="Subtitle"/>
    <w:pPr>
      <w:spacing w:after="240"/>
    </w:pPr>
    <w:rPr>
      <w:rFonts w:ascii="Calibri" w:eastAsia="Microsoft YaHei" w:hAnsi="Calibri"/>
      <w:sz w:val="22"/>
      <w:szCs w:val="22"/>
      <w:color w:val="657086"/>
    </w:rPr>
  </w:style>
  <w:style w:type="paragraph" w:styleId="Heading1">
    <w:name w:val="heading 1"/>
    <w:pPr>
      <w:keepNext/>
      <w:spacing w:before="320" w:after="160"/>
    </w:pPr>
    <w:rPr>
      <w:rFonts w:ascii="Calibri" w:eastAsia="Microsoft YaHei" w:hAnsi="Calibri"/>
      <w:b/>
      <w:sz w:val="32"/>
      <w:szCs w:val="32"/>
      <w:color w:val="9E1B32"/>
    </w:rPr>
  </w:style>
  <w:style w:type="paragraph" w:styleId="Heading2">
    <w:name w:val="heading 2"/>
    <w:pPr>
      <w:keepNext/>
      <w:spacing w:before="240" w:after="120"/>
    </w:pPr>
    <w:rPr>
      <w:rFonts w:ascii="Calibri" w:eastAsia="Microsoft YaHei" w:hAnsi="Calibri"/>
      <w:b/>
      <w:sz w:val="26"/>
      <w:szCs w:val="26"/>
      <w:color w:val="34424F"/>
    </w:rPr>
  </w:style>
  <w:style w:type="paragraph" w:styleId="BodyText">
    <w:name w:val="Body Text"/>
    <w:basedOn w:val="Normal"/>
    <w:pPr>
      <w:spacing w:after="120" w:line="264" w:lineRule="auto"/>
    </w:pPr>
  </w:style>
  <w:style w:type="paragraph" w:styleId="ListParagraph">
    <w:name w:val="List Paragraph"/>
    <w:basedOn w:val="Normal"/>
    <w:pPr>
      <w:ind w:left="720"/>
      <w:spacing w:after="120" w:line="280" w:lineRule="auto"/>
    </w:pPr>
  </w:style>
  <w:style w:type="paragraph" w:styleId="ReferenceList">
    <w:name w:val="Reference List"/>
    <w:basedOn w:val="Normal"/>
    <w:pPr>
      <w:ind w:left="360" w:hanging="240"/>
      <w:spacing w:after="50" w:line="220" w:lineRule="auto"/>
    </w:pPr>
    <w:rPr>
      <w:rFonts w:ascii="Calibri" w:eastAsia="Microsoft YaHei" w:hAnsi="Calibri"/>
      <w:sz w:val="18"/>
      <w:szCs w:val="18"/>
      <w:color w:val="172033"/>
    </w:rPr>
  </w:style>
  <w:style w:type="paragraph" w:styleId="SmallSpace">
    <w:name w:val="Small Space"/>
    <w:pPr>
      <w:spacing w:after="8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</Relationships>
</file>