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四个仿真工况：总装底盘合装拧紧、焊装侧围点焊、涂装中涂烘干、一体化压铸冷却。使用者进入页面后，可点击“注入异常”切换事件，观察数字员工自动形成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数字员工窗口提供六个追问入口：如何提前发现、为什么升级P1、因果结论是否可信、影响哪些VIN、如何派发飞书任务、关闭条件是什么。每个回答均由当前工况数据驱动，并与主动预警窗、GraphRAG证据链、Top-3假设、飞书任务看板和多维表格记录保持一致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多维表格记录，字段包括事件ID、风险等级、设备、工位、异常参数、影响范围、根因假设、处置决策、证据链、任务状态和Aily入口。P1事件通过机器人卡片推送到质量、设备、工艺和班组群，P2事件进入当班观察队列。责任人更新任务后，状态同步回多维表格；关闭后，复检和维修结论进入知识图谱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该交互案例让作品从静态方案变成可操作系统。使用者可以直接看到：数字员工如何发现异常，如何解释风险，如何组织证据，如何派发任务，如何关闭并学习。这正是“从感知到行动”的落地形态。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每个工况按照五个可视状态推进。主动感知阶段接收设备、工艺、检测与MES事件；图谱收敛阶段定位设备、参数、质量特性与影响对象；证据推理阶段检索FMEA、SOP、维修和历史8D；飞书执行阶段生成台账、卡片、任务和SLA；验证回写阶段校验复检、设备恢复与责任确认。状态不可跳过：P1未人工确认时，关闭按钮保持禁用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展示四个工艺单元和实时数据时间。左侧风险队列支持四工况切换；中心数字员工区域展示岗位形象、风险等级、置信度、影响数量、预计止损窗口以及缺陷显性化前置量；预警窗按稳定基线、弱漂移、风险收敛和理论显性点展示时间线；协同窗口支持六个标准问题和自定义输入；右侧处置编排展示安全门、责任任务、SLA与执行日志。下方展示GraphRAG关系网络、可切换VIN/零件的一车一因果链、Top-3假设与反证、五项因果护栏、确定性关闭门、飞书在线对象、跨工序复制矩阵、量化目标和公开证据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已创建在线Base记录、飞书任务和复盘文档。工作台中的“打开质量台账”“P1拧紧质量风险处置”和“CASE-TQ质量事件复盘”可直接访问对应对象。在线对象用于证明接口链路；机器人消息卡片和Aily技能在企业开发者后台发布后进入实际组织流程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