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评委速读：创新亮点</w:t>
      </w:r>
    </w:p>
    <w:p>
      <w:pPr>
        <w:pStyle w:val="Heading1"/>
      </w:pPr>
      <w:r>
        <w:t>一句话定位</w:t>
      </w:r>
    </w:p>
    <w:p>
      <w:r>
        <w:t>本方案不是做一个普通质量看板，也不是做一个被动问答机器人，而是打造一名有证据、有权限边界、能推动飞书闭环的赛力斯质量管控AI数字员工。</w:t>
      </w:r>
    </w:p>
    <w:p>
      <w:pPr>
        <w:pStyle w:val="Heading1"/>
      </w:pPr>
      <w:r>
        <w:t>创新点一：主动巡检数字员工</w:t>
      </w:r>
    </w:p>
    <w:p>
      <w:r>
        <w:t>传统方案是工程师提问后AI回答。本方案让AI持续监听工艺参数、设备报警、质检结果和维修记录，主动识别隐性质量风险。它更像在线质量工程师，而不是知识库入口。</w:t>
      </w:r>
    </w:p>
    <w:p>
      <w:pPr>
        <w:pStyle w:val="Heading1"/>
      </w:pPr>
      <w:r>
        <w:t>创新点二：质量因果图谱</w:t>
      </w:r>
    </w:p>
    <w:p>
      <w:r>
        <w:t>知识图谱不只存设备是什么、工位在哪里，而是表达设备状态如何影响工艺参数，工艺参数如何影响质量特性，质量特性如何关联缺陷模式和处置方案。</w:t>
      </w:r>
    </w:p>
    <w:p>
      <w:pPr>
        <w:pStyle w:val="Heading1"/>
      </w:pPr>
      <w:r>
        <w:t>创新点三：Graph RAG证据合约</w:t>
      </w:r>
    </w:p>
    <w:p>
      <w:r>
        <w:t>每个P0/P1结论必须带实时参数、图谱路径、历史案例或控制计划三类证据。AI不能只给建议，必须交付可审计证据链。</w:t>
      </w:r>
    </w:p>
    <w:p>
      <w:pPr>
        <w:pStyle w:val="Heading1"/>
      </w:pPr>
      <w:r>
        <w:t>创新点四：飞书质量闭环操作系统</w:t>
      </w:r>
    </w:p>
    <w:p>
      <w:r>
        <w:t>飞书不是最后通知一下，而是承接事件、证据、任务、SLA、复盘的执行系统。Aily负责解释和追问，多维表格负责结构化记录，Webhook负责快速播报，任务关闭后回写复盘知识。</w:t>
      </w:r>
    </w:p>
    <w:p>
      <w:pPr>
        <w:pStyle w:val="Heading1"/>
      </w:pPr>
      <w:r>
        <w:t>创新点五：质量记忆飞轮</w:t>
      </w:r>
    </w:p>
    <w:p>
      <w:r>
        <w:t>每次异常处置都会沉淀最终根因、有效措施、误报/漏报原因和预防规则，持续反哺知识图谱、历史案例库和FMEA，让AI越用越懂产线。</w:t>
      </w:r>
    </w:p>
    <w:p>
      <w:pPr>
        <w:pStyle w:val="Heading1"/>
      </w:pPr>
      <w:r>
        <w:t>答辩建议话术</w:t>
      </w:r>
    </w:p>
    <w:p>
      <w:r>
        <w:t>我们不是把大模型接到工厂文档上做问答，而是让AI成为一名有权限边界的质量数字员工。它会主动发现异常，用Graph RAG交付证据链，用飞书推动任务闭环，并把每次处置沉淀成赛力斯自己的质量记忆。</w:t>
      </w:r>
    </w:p>
    <w:p>
      <w:pPr>
        <w:pStyle w:val="Heading1"/>
      </w:pPr>
      <w:r>
        <w:t>三张卡机制</w:t>
      </w:r>
    </w:p>
    <w:p>
      <w:r>
        <w:t>一次质量异常进入系统后，AI自动生成风险卡、证据卡、任务卡。风险卡说明风险等级、影响范围和疑似根因；证据卡说明参数越界、图谱路径、历史案例和控制计划；任务卡说明隔离、复检、校准、维修和复盘任务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eastAsia="Microsoft YaHei"/>
      <w:sz w:val="21"/>
    </w:rPr>
  </w:style>
  <w:style w:type="paragraph" w:styleId="Title">
    <w:name w:val="Title"/>
    <w:rPr>
      <w:b/>
      <w:rFonts w:ascii="Calibri" w:eastAsia="Microsoft YaHei"/>
      <w:sz w:val="36"/>
    </w:rPr>
  </w:style>
  <w:style w:type="paragraph" w:styleId="Heading1">
    <w:name w:val="heading 1"/>
    <w:rPr>
      <w:b/>
      <w:color w:val="1F4E79"/>
      <w:rFonts w:ascii="Calibri" w:eastAsia="Microsoft YaHei"/>
      <w:sz w:val="2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