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开题报告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6583680" cy="3703320"/>
            <wp:docPr id="1" name="质量风险主动管控总体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ai-architecture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ReferenceList"/>
      </w:pPr>
      <w:r>
        <w:t xml:space="preserve">图1  质量风险主动管控AI数字员工总体架构</w:t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一、命题要求对应</w:t>
      </w:r>
    </w:p>
    <w:p>
      <w:r>
        <w:t xml:space="preserve"/>
      </w:r>
    </w:p>
    <w:p>
      <w:pPr>
        <w:pStyle w:val="BodyText"/>
      </w:pPr>
      <w:r>
        <w:t xml:space="preserve">本方案直接围绕题面三项亮点展开。智能制造知识底座方面，建设设备、工艺、质量、VIN、FMEA、控制计划和处置任务的本体与知识图谱；从感知到行动的自主范式方面，让数字员工在设备报警和参数波动出现时主动触发GraphRAG检索、风险分级、根因推理和任务编排；落地应用方面，通过飞书Aily、多维表格和机器人卡片把质量、设备、工艺和班组角色纳入同一条风险线程，形成从发现到关闭的业务闭环。</w:t>
      </w:r>
    </w:p>
    <w:p>
      <w:r>
        <w:t xml:space="preserve"/>
      </w:r>
    </w:p>
    <w:p>
      <w:pPr>
        <w:pStyle w:val="Heading1"/>
        <w:keepNext/>
      </w:pPr>
      <w:r>
        <w:t xml:space="preserve">二、命题重新定义</w:t>
      </w:r>
    </w:p>
    <w:p>
      <w:r>
        <w:t xml:space="preserve"/>
      </w:r>
    </w:p>
    <w:p>
      <w:pPr>
        <w:pStyle w:val="BodyText"/>
      </w:pPr>
      <w:r>
        <w:t xml:space="preserve">本命题的核心不是“为工厂增加一个AI问答入口”，而是回答一个更具体的问题：当现场设备尚未造成最终缺陷、但已经出现质量风险苗头时，系统能否像一名质量工程师一样主动识别风险、组织证据、推动处置，并在关闭后沉淀经验。赛力斯超级工厂的生产特点决定了这个问题具有现实价值：新能源汽车制造链路长、工艺精度高、设备自动化程度高，很多质量风险并不是单一检测项失败，而是设备状态、工艺参数、零件批次、环境条件和历史维修共同作用的结果。</w:t>
      </w:r>
    </w:p>
    <w:p>
      <w:r>
        <w:t xml:space="preserve"/>
      </w:r>
    </w:p>
    <w:p>
      <w:pPr>
        <w:pStyle w:val="BodyText"/>
      </w:pPr>
      <w:r>
        <w:t xml:space="preserve">因此，“知质·灵巡”被定义为设备质量风险主动管控数字员工。它的岗位目标不是替代质量负责人放行车辆，也不是绕过既有制造系统直接控制设备，而是在MES、QMS、SCADA、PLC、视觉检测、维修记录、FMEA和飞书协同之间建立一个可推理的质量风险工作层，把分散数据组织成可执行闭环。</w:t>
      </w:r>
    </w:p>
    <w:p>
      <w:r>
        <w:t xml:space="preserve"/>
      </w:r>
    </w:p>
    <w:p>
      <w:pPr>
        <w:pStyle w:val="Heading1"/>
        <w:keepNext/>
      </w:pPr>
      <w:r>
        <w:t xml:space="preserve">三、命题前置洞察</w:t>
      </w:r>
    </w:p>
    <w:p>
      <w:r>
        <w:t xml:space="preserve"/>
      </w:r>
    </w:p>
    <w:p>
      <w:pPr>
        <w:pStyle w:val="BodyText"/>
      </w:pPr>
      <w:r>
        <w:t xml:space="preserve">公开资料显示，赛力斯超级工厂已经具备全价值链质量数据采集、异常特征自动提取、控线、异常设备定位和一车一档能力。华为智慧园区案例进一步说明，AI、联接、计算、存储、云和数字能源共同支撑生产网络、AIoT检测、数字班组和全过程质量数据采集。也就是说，赛题不是从零开始做“数据化”，而是在现有智能制造基础上继续前进一步：把已有数据资产转化为主动风险管控能力。</w:t>
      </w:r>
    </w:p>
    <w:p>
      <w:r>
        <w:t xml:space="preserve"/>
      </w:r>
    </w:p>
    <w:p>
      <w:pPr>
        <w:pStyle w:val="BodyText"/>
      </w:pPr>
      <w:r>
        <w:t xml:space="preserve">传统知识库式系统存在三个断点。第一，发现断点：系统等待人员提问，无法主动从参数漂移、设备告警和批次异常中捕捉隐性风险。第二，解释断点：报警记录只告诉“发生了什么”，很少说明“为什么严重、影响哪些车、依据是什么”。第三，执行断点：分析结果停留在报告里，未必自动进入班组任务、责任人、SLA、复检和复盘流程。</w:t>
      </w:r>
    </w:p>
    <w:p>
      <w:r>
        <w:t xml:space="preserve"/>
      </w:r>
    </w:p>
    <w:p>
      <w:pPr>
        <w:pStyle w:val="BodyText"/>
      </w:pPr>
      <w:r>
        <w:t xml:space="preserve">新能源汽车制造的质量风险天然是多跳关系问题。以关键螺栓拧紧为例，扭矩偏低可能关联拧紧枪校准、套筒磨损、角度补偿、螺栓批次、工位节拍、VIN时间窗、FMEA条目和复检规范；焊点电流漂移可能关联电极帽寿命、二次回路接触电阻、焊核直径和车身结构强度；涂装烘干温度不足可能关联风门、温控回路、膜厚、附着力和时间窗车辆；压铸模温差异常可能关联冷却水路、温控阀、X光缩孔和尺寸稳定性。这类问题不适合只用单表规则或通用文本问答处理，更适合用知识图谱表达关系，用GraphRAG检索证据，用Agent推动动作。</w:t>
      </w:r>
    </w:p>
    <w:p>
      <w:r>
        <w:t xml:space="preserve"/>
      </w:r>
    </w:p>
    <w:p>
      <w:pPr>
        <w:pStyle w:val="Heading1"/>
        <w:keepNext/>
      </w:pPr>
      <w:r>
        <w:t xml:space="preserve">四、方案切入点</w:t>
      </w:r>
    </w:p>
    <w:p>
      <w:r>
        <w:t xml:space="preserve"/>
      </w:r>
    </w:p>
    <w:p>
      <w:pPr>
        <w:pStyle w:val="BodyText"/>
      </w:pPr>
      <w:r>
        <w:t xml:space="preserve">作品选择从“设备质量风险线程”切入。每一次异常不是孤立报警，而是一条贯穿设备、工位、参数、车辆或零件批次、历史案例、责任任务、复检结果和复盘结论的风险线程。知质·灵巡围绕这条线程完成六步闭环：观察现场信号，研判风险等级，检索图谱与文档证据，推理根因和影响范围，派发飞书任务，关闭后回写知识底座。</w:t>
      </w:r>
    </w:p>
    <w:p>
      <w:r>
        <w:t xml:space="preserve"/>
      </w:r>
    </w:p>
    <w:p>
      <w:pPr>
        <w:pStyle w:val="BodyText"/>
      </w:pPr>
      <w:r>
        <w:t xml:space="preserve">首期工况选择遵循三个标准：一是质量影响高，涉及安全连接、结构强度、外观耐久或关键结构件；二是数据可获得，能从设备参数、检测结果、MES过站和维修记录中形成证据链；三是可复制，能抽象为“设备-参数-质量特性-任务-复盘”的通用模板。由此确定总装拧紧、焊装点焊、涂装烘干和一体化压铸冷却四个场景。</w:t>
      </w:r>
    </w:p>
    <w:p>
      <w:r>
        <w:t xml:space="preserve"/>
      </w:r>
    </w:p>
    <w:p>
      <w:pPr>
        <w:pStyle w:val="Heading1"/>
        <w:keepNext/>
      </w:pPr>
      <w:r>
        <w:t xml:space="preserve">五、技术路线</w:t>
      </w:r>
    </w:p>
    <w:p>
      <w:r>
        <w:t xml:space="preserve"/>
      </w:r>
    </w:p>
    <w:p>
      <w:pPr>
        <w:pStyle w:val="BodyText"/>
      </w:pPr>
      <w:r>
        <w:t xml:space="preserve">底层是质量知识底座。系统以本体论统一设备、工位、工序、工艺参数、质量特性、缺陷模式、FMEA、控制计划、VIN、零件批次、人员角色和处置任务，形成“设备位于工位、工位执行工序、工序产生参数、参数影响质量特性、质量特性关联缺陷模式、缺陷模式对应FMEA条目、处置任务分派责任角色”的语义网络。</w:t>
      </w:r>
    </w:p>
    <w:p>
      <w:r>
        <w:t xml:space="preserve"/>
      </w:r>
    </w:p>
    <w:p>
      <w:pPr>
        <w:pStyle w:val="BodyText"/>
      </w:pPr>
      <w:r>
        <w:t xml:space="preserve">中层是GraphRAG和因果护栏。GraphRAG不只检索文档片段，而是先沿图谱路径收敛上下文，再从SOP、FMEA、历史8D、维修记录和检测规范中提取证据。因果护栏负责约束方向和边界，例如后续检测缺陷不能反向解释前序设备参数，设备维修记录只能影响维修后的时间窗，批次风险必须通过零件绑定关系映射到VIN。</w:t>
      </w:r>
    </w:p>
    <w:p>
      <w:r>
        <w:t xml:space="preserve"/>
      </w:r>
    </w:p>
    <w:p>
      <w:pPr>
        <w:pStyle w:val="BodyText"/>
      </w:pPr>
      <w:r>
        <w:t xml:space="preserve">上层是岗位化Agent。知质·灵巡具备五类能力：主动巡检参数流和告警流；用风险规则进行P1/P2/P3分级；生成根因假设、影响范围和证据链；通过飞书Aily、多维表格和机器人卡片分派任务；在复检、维修、责任确认齐全后关闭事件并回写知识图谱。</w:t>
      </w:r>
    </w:p>
    <w:p>
      <w:r>
        <w:t xml:space="preserve"/>
      </w:r>
    </w:p>
    <w:p>
      <w:pPr>
        <w:pStyle w:val="Heading1"/>
        <w:keepNext/>
      </w:pPr>
      <w:r>
        <w:t xml:space="preserve">六、落地边界与验证方式</w:t>
      </w:r>
    </w:p>
    <w:p>
      <w:r>
        <w:t xml:space="preserve"/>
      </w:r>
    </w:p>
    <w:p>
      <w:pPr>
        <w:pStyle w:val="BodyText"/>
      </w:pPr>
      <w:r>
        <w:t xml:space="preserve">方案坚持“先辅助决策、后闭环协同、再局部自动化”的路线。首期不直接修改PLC/DCS控制参数，不越过质量放行审批，不自动关闭P1事件。系统先以影子模式回放历史事件，验证风险分级、影响范围圈定和根因Top-K命中率；再进入当班协同，验证任务派发、复检跟踪和关闭回写；最后在稳定工况中接入更多产线。</w:t>
      </w:r>
    </w:p>
    <w:p>
      <w:r>
        <w:t xml:space="preserve"/>
      </w:r>
    </w:p>
    <w:p>
      <w:pPr>
        <w:pStyle w:val="BodyText"/>
      </w:pPr>
      <w:r>
        <w:t xml:space="preserve">核心指标包括：异常定位时间下降40%-60%；P1事件从识别到任务派发小于1分钟；关键工序追溯覆盖达到100%；根因Top-3命中率达到80%以上；重复质量问题下降15%-25%；质量复盘知识沉淀率达到90%以上。停用条件包括关键数据延迟、核心点位缺失、模型低置信连续出现、责任人未确认、复检结果与系统判断冲突等。</w:t>
      </w:r>
    </w:p>
    <w:p>
      <w:r>
        <w:t xml:space="preserve"/>
      </w:r>
    </w:p>
    <w:p>
      <w:pPr>
        <w:pStyle w:val="Heading1"/>
        <w:keepNext/>
      </w:pPr>
      <w:r>
        <w:t xml:space="preserve">七、方案整体概述</w:t>
      </w:r>
    </w:p>
    <w:p>
      <w:r>
        <w:t xml:space="preserve"/>
      </w:r>
    </w:p>
    <w:p>
      <w:pPr>
        <w:pStyle w:val="BodyText"/>
      </w:pPr>
      <w:r>
        <w:t xml:space="preserve">知质·灵巡的整体方案可以概括为“一套知识底座、一名数字员工、一条协同闭环”。知识底座把设备、工序、参数、质量特性、VIN、零件批次、FMEA、控制计划和历史案例组织为图谱；数字员工在工艺过程、设备报警或参数波动出现时主动启动分析；协同闭环把根因证据、复检任务、维修动作、责任人和关闭条件写入飞书多维表格，并通过Aily和机器人卡片推动现场执行。</w:t>
      </w:r>
    </w:p>
    <w:p>
      <w:r>
        <w:t xml:space="preserve"/>
      </w:r>
    </w:p>
    <w:p>
      <w:pPr>
        <w:pStyle w:val="BodyText"/>
      </w:pPr>
      <w:r>
        <w:t xml:space="preserve">该方案直接面向题面提出的“每一次工艺过程、设备报警或参数波动都应被全面监控与精准识别”。它不是把所有数据堆成看板，而是把数据变成可行动的质量风险线程：一个事件从被捕捉开始，就同时具备事件ID、影响范围、证据链、处置方案、责任人、时限和复盘入口。</w:t>
      </w:r>
    </w:p>
    <w:p>
      <w:r>
        <w:t xml:space="preserve"/>
      </w:r>
    </w:p>
    <w:p>
      <w:pPr>
        <w:pStyle w:val="Heading1"/>
        <w:keepNext/>
      </w:pPr>
      <w:r>
        <w:t xml:space="preserve">八、整体架构与核心功能模块</w:t>
      </w:r>
    </w:p>
    <w:p>
      <w:r>
        <w:t xml:space="preserve"/>
      </w:r>
    </w:p>
    <w:p>
      <w:pPr>
        <w:pStyle w:val="BodyText"/>
      </w:pPr>
      <w:r>
        <w:t xml:space="preserve">整体架构分为六层。第一层为数据接入层，接入MES、QMS、SCADA/PLC、视觉检测、设备点检、维修记录、FMEA、控制计划和飞书任务状态。第二层为质量知识底座层，基于本体论建立设备、工位、工序、参数、质量特性、缺陷模式、根因和处置任务之间的关系。第三层为风险识别层，结合工艺窗口、SPC趋势、连续性、设备寿命、批次范围和历史案例进行P1/P2/P3分级。第四层为GraphRAG推理层，沿图谱路径检索FMEA、SOP、维修记录、质检规范和历史8D，生成可验证证据链。第五层为Agent执行层，完成观察、研判、检索、推理、行动和复盘。第六层为飞书协同层，通过Aily、多维表格和机器人卡片承接任务流转。</w:t>
      </w:r>
    </w:p>
    <w:p>
      <w:r>
        <w:t xml:space="preserve"/>
      </w:r>
    </w:p>
    <w:p>
      <w:pPr>
        <w:pStyle w:val="BodyText"/>
      </w:pPr>
      <w:r>
        <w:t xml:space="preserve">核心功能模块包括：异常主动捕捉、影响范围圈定、一车一因果链、根因Top-K推理、可解释证据链、飞书任务派发、关闭条件校验、知识图谱回写和指标看板。四个试点工况分别覆盖总装拧紧、焊装点焊、涂装烘干和压铸冷却，能够体现关键连接、结构强度、外观耐久和关键结构件等典型质量风险。</w:t>
      </w:r>
    </w:p>
    <w:p>
      <w:r>
        <w:t xml:space="preserve"/>
      </w:r>
    </w:p>
    <w:p>
      <w:pPr>
        <w:pStyle w:val="Heading1"/>
        <w:keepNext/>
      </w:pPr>
      <w:r>
        <w:t xml:space="preserve">九、核心创新点</w:t>
      </w:r>
    </w:p>
    <w:p>
      <w:r>
        <w:t xml:space="preserve"/>
      </w:r>
    </w:p>
    <w:p>
      <w:pPr>
        <w:pStyle w:val="BodyText"/>
      </w:pPr>
      <w:r>
        <w:t xml:space="preserve">技术创新在于主动式GraphRAG。常规RAG等待人员提问后检索文本，知质·灵巡由设备报警和参数波动触发，先在知识图谱中确定设备、工序、质量特性和历史案例关系，再检索文档证据并通过因果护栏排除伪相关。</w:t>
      </w:r>
    </w:p>
    <w:p>
      <w:r>
        <w:t xml:space="preserve"/>
      </w:r>
    </w:p>
    <w:p>
      <w:pPr>
        <w:pStyle w:val="BodyText"/>
      </w:pPr>
      <w:r>
        <w:t xml:space="preserve">模式创新在于岗位化数字员工。它不是泛用聊天机器人，而是具备质量风险专员的职责边界：可自动生成隔离建议、复检任务和证据链，但不替代质量负责人放行，不直接修改控制层参数。</w:t>
      </w:r>
    </w:p>
    <w:p>
      <w:r>
        <w:t xml:space="preserve"/>
      </w:r>
    </w:p>
    <w:p>
      <w:pPr>
        <w:pStyle w:val="BodyText"/>
      </w:pPr>
      <w:r>
        <w:t xml:space="preserve">流程创新在于风险线程闭环。传统报警系统通常停在“发现异常”，本方案把异常推进到“圈定影响、解释依据、派发任务、关闭校验、知识回写”。每次事件关闭后都会沉淀为下一次推理可调用的设备-症状-根因-措施关系。</w:t>
      </w:r>
    </w:p>
    <w:p>
      <w:r>
        <w:t xml:space="preserve"/>
      </w:r>
    </w:p>
    <w:p>
      <w:pPr>
        <w:pStyle w:val="BodyText"/>
      </w:pPr>
      <w:r>
        <w:t xml:space="preserve">业务创新在于一车一因果链。赛力斯已有一车一档基础，方案进一步让每辆受影响车辆能说明“经历哪个工位、受到哪个参数影响、依据哪些证据处置、关闭条件是什么”，从追溯档案升级为质量推理载体。</w:t>
      </w:r>
    </w:p>
    <w:p>
      <w:r>
        <w:t xml:space="preserve"/>
      </w:r>
    </w:p>
    <w:p>
      <w:pPr>
        <w:pStyle w:val="Heading1"/>
        <w:keepNext/>
      </w:pPr>
      <w:r>
        <w:t xml:space="preserve">十、落地量化价值</w:t>
      </w:r>
    </w:p>
    <w:p>
      <w:r>
        <w:t xml:space="preserve"/>
      </w:r>
    </w:p>
    <w:p>
      <w:pPr>
        <w:pStyle w:val="BodyText"/>
      </w:pPr>
      <w:r>
        <w:t xml:space="preserve">首期价值采用可核算口径，只统计被现场采纳并完成闭环的事件。异常定位时间目标下降40%-60%；P1事件从识别到飞书任务派发控制在1分钟内；关键工序追溯覆盖达到100%；根因Top-3命中率达到80%以上；重复质量问题下降15%-25%；质量复盘知识沉淀率达到90%以上；班组跨角色沟通链路从群聊分散沟通转为多维表格结构化留痕。</w:t>
      </w:r>
    </w:p>
    <w:p>
      <w:r>
        <w:t xml:space="preserve"/>
      </w:r>
    </w:p>
    <w:p>
      <w:pPr>
        <w:pStyle w:val="BodyText"/>
      </w:pPr>
      <w:r>
        <w:t xml:space="preserve">以总装拧紧为例，传统流程需要质量、设备、工艺人员分别查询设备记录、MES过站、历史维修和复检规范。知质·灵巡把这些信息沿图谱路径一次组织成证据链，并自动生成车辆隔离、扭矩复检、设备校准、套筒检查和FMEA回写任务，目标是把“找资料和找责任人”的时间压缩到分钟级。</w:t>
      </w:r>
    </w:p>
    <w:p>
      <w:r>
        <w:t xml:space="preserve"/>
      </w:r>
    </w:p>
    <w:p>
      <w:pPr>
        <w:pStyle w:val="Heading1"/>
        <w:keepNext/>
      </w:pPr>
      <w:r>
        <w:t xml:space="preserve">十一、落地可行性与可推广性</w:t>
      </w:r>
    </w:p>
    <w:p>
      <w:r>
        <w:t xml:space="preserve"/>
      </w:r>
    </w:p>
    <w:p>
      <w:pPr>
        <w:pStyle w:val="BodyText"/>
      </w:pPr>
      <w:r>
        <w:t xml:space="preserve">可行性来自三点。第一，赛力斯公开资料已显示其具备全过程质量数据采集、异常定位、控线和一车一档基础，说明数据源和场景具备建设条件。第二，飞书Aily、多维表格和机器人卡片能以轻量方式嵌入现有组织流程，不需要一开始重构MES或QMS。第三，方案采取“离线回放-影子运行-协同闭环-产线复制”路线，先辅助决策，不直接触碰控制层和最终放行权限。</w:t>
      </w:r>
    </w:p>
    <w:p>
      <w:r>
        <w:t xml:space="preserve"/>
      </w:r>
    </w:p>
    <w:p>
      <w:pPr>
        <w:pStyle w:val="BodyText"/>
      </w:pPr>
      <w:r>
        <w:t xml:space="preserve">可推广性来自工况模板化。总装拧紧、焊装点焊、涂装烘干和压铸冷却虽然工艺不同，但都可抽象为“设备-参数-质量特性-影响范围-处置任务-复盘知识”的同一模板。该模板可继续扩展到电驱装配、电池包气密、整车标定、供应链来料质量和路试问题闭环，形成从单点工位到多产线、多基地的质量风险数字员工体系。</w:t>
      </w:r>
    </w:p>
    <w:p>
      <w:r>
        <w:t xml:space="preserve"/>
      </w:r>
    </w:p>
    <w:p>
      <w:pPr>
        <w:pStyle w:val="Heading1"/>
        <w:keepNext/>
      </w:pPr>
      <w:r>
        <w:t xml:space="preserve">十二、决赛版系统实装</w:t>
      </w:r>
    </w:p>
    <w:p>
      <w:r>
        <w:t xml:space="preserve"/>
      </w:r>
    </w:p>
    <w:p>
      <w:pPr>
        <w:pStyle w:val="BodyText"/>
      </w:pPr>
      <w:r>
        <w:t xml:space="preserve">作品已从概念架构推进到可运行链路。互动工作台包含产线态势、事件队列、数字员工身份、弱信号与缺陷显性化前置量、GraphRAG路径、Top-3假设、反事实验证、一车一因果链、决策前因果护栏、关闭前确定性门、三态运行模式、责任链、故障降级、飞书执行轨迹和跨工序复制矩阵。四类工况的前置量由带时间戳序列实际运行EWMA/CUSUM并计算，不从页面文案读取；干预结果会更新候选根因后验排序，缺少干预证据和实名确认时关闭按钮保持禁用。</w:t>
      </w:r>
    </w:p>
    <w:p>
      <w:r>
        <w:t xml:space="preserve"/>
      </w:r>
    </w:p>
    <w:p>
      <w:pPr>
        <w:pStyle w:val="BodyText"/>
      </w:pPr>
      <w:r>
        <w:t xml:space="preserve">飞书在线链路已完成用户身份授权、Base解析、13字段质量事件表创建、记录写入和读取回验。事件`CASE-TQ-20260719-01`已使用同一幂等键创建飞书任务`f10d51e5-cc8e-4c71-9441-cd29a77feacf`，并生成嵌入该任务的复盘文档`PjludNq8foBhkrxV8VQccsldneb`。这条链路证明质量事件可以从结构化台账进入责任任务，再进入复盘知识，而不是停留在网页演示。</w:t>
      </w:r>
    </w:p>
    <w:p>
      <w:r>
        <w:t xml:space="preserve"/>
      </w:r>
    </w:p>
    <w:p>
      <w:pPr>
        <w:pStyle w:val="Heading1"/>
        <w:keepNext/>
      </w:pPr>
      <w:r>
        <w:t xml:space="preserve">十三、数据、模型与治理设计</w:t>
      </w:r>
    </w:p>
    <w:p>
      <w:r>
        <w:t xml:space="preserve"/>
      </w:r>
    </w:p>
    <w:p>
      <w:pPr>
        <w:pStyle w:val="BodyText"/>
      </w:pPr>
      <w:r>
        <w:t xml:space="preserve">主动发现采用四级检测栈：数据质量门先检查事件时间、采集时间、序列号、采样率、缺失、量纲、校准状态和VIN/批次绑定；硬规则保证安全底线；EWMA、CUSUM和指令—反馈残差识别尚未触发停机的缓慢漂移；知识关系校验异常是否关联关键质量特性、PFMEA和历史案例。前置量按“下游检验理论发现时点-统计信号与知识关系首次形成最小证据共识时点”计算。四场景18至46分钟为脱敏仿真计算，试点以中位数不少于10分钟为目标，并同时考核召回率、误报率和人工驳回率。</w:t>
      </w:r>
    </w:p>
    <w:p>
      <w:r>
        <w:t xml:space="preserve"/>
      </w:r>
    </w:p>
    <w:p>
      <w:pPr>
        <w:pStyle w:val="BodyText"/>
      </w:pPr>
      <w:r>
        <w:t xml:space="preserve">因果推理不输出未经验证的唯一答案。每个Top-3候选同时保存支持证据、冲突证据、反证动作和置信度，并经过数据完整、时序先行、机理一致、同位复现和干预可证伪五项决策前护栏。互动工作台中的对照动作会实际增强、削弱或重排Top-3。事件关闭另由影响范围锁定、物理复检通过、授权人员确认、责任任务完成、知识与控制文件回写五项关闭前规则决定，模型只负责解释和生成草案。</w:t>
      </w:r>
    </w:p>
    <w:p>
      <w:r>
        <w:t xml:space="preserve"/>
      </w:r>
    </w:p>
    <w:p>
      <w:pPr>
        <w:pStyle w:val="BodyText"/>
      </w:pPr>
      <w:r>
        <w:t xml:space="preserve">数据侧建立三类契约。事实数据包括设备参数、告警、MES过站、质量检测和维修记录；知识数据包括FMEA、控制计划、SOP、8D和专家规则；协同数据包括责任人、任务状态、SLA、附件和关闭结论。所有数据记录事件时间、来源系统、版本和权限等级。VIN、人员和供应商信息按企业数据分类分级要求处理，公共演示只使用脱敏仿真数据。</w:t>
      </w:r>
    </w:p>
    <w:p>
      <w:r>
        <w:t xml:space="preserve"/>
      </w:r>
    </w:p>
    <w:p>
      <w:pPr>
        <w:pStyle w:val="BodyText"/>
      </w:pPr>
      <w:r>
        <w:t xml:space="preserve">模型侧采用“规则兜底、图谱收敛、模型排序、专家确认”。硬工艺窗口和安全规则优先；图谱限制检索路径与因果方向；时序模型识别漂移、连续性和共振特征；大模型只在有证据上下文时生成解释和任务草案。每条结论输出证据ID、置信度、数据时间和可证伪条件。评测集按产线、风险等级和新旧设备分层，防止同一案例跨训练与测试泄漏。</w:t>
      </w:r>
    </w:p>
    <w:p>
      <w:r>
        <w:t xml:space="preserve"/>
      </w:r>
    </w:p>
    <w:p>
      <w:pPr>
        <w:pStyle w:val="BodyText"/>
      </w:pPr>
      <w:r>
        <w:t xml:space="preserve">治理侧设置P1人工确认、低置信降级、数据缺失停派、人工结论冲突升级和全链路审计。停用触发包括关键数据延迟超过业务窗口、核心点位缺失、同类事件误报连续超阈值、模型版本未经审批或现场出现重大人机分歧。系统可在不影响MES/QMS和控制层的情况下退回只读监测模式。</w:t>
      </w:r>
    </w:p>
    <w:p>
      <w:r>
        <w:t xml:space="preserve"/>
      </w:r>
    </w:p>
    <w:p>
      <w:pPr>
        <w:pStyle w:val="Heading1"/>
        <w:keepNext/>
      </w:pPr>
      <w:r>
        <w:t xml:space="preserve">十四、试点验收合同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目标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口径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退出条件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P1召回率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历史回放与影子运行重大风险事件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出现重大漏判立即停用并复盘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根因Top-3命中率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不低于80%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与质量工程师最终确认根因比对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连续两周低于70%暂停推广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影响范围准确率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不低于90%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与最终隔离VIN/批次比对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过度圈定或漏圈定超阈值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飞书派发时长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小于1分钟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事件触发到任务创建时间戳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API异常时退回人工流程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已关闭P1五项门完整率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100%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范围、复检、授权、任务与回写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任一缺失均不得关闭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过程记录字段完整率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全部事件必填字段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低于阈值退回数据治理阶段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越权操作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0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控制参数修改、未经授权放行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任一次即停用相关能力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十五、生产运行保障与责任链</w:t>
      </w:r>
    </w:p>
    <w:p>
      <w:r>
        <w:t xml:space="preserve"/>
      </w:r>
    </w:p>
    <w:p>
      <w:pPr>
        <w:pStyle w:val="BodyText"/>
      </w:pPr>
      <w:r>
        <w:t xml:space="preserve">系统设置影子验证、协同执行和生产受控三种模式，并用L0/L2/L3权限区分只读回放、飞书派单和经审批的受控写入。数据延迟时冻结新增推理；图谱不可用时切换规则与控制计划只读包；飞书中断时写入本地Outbox并按事件ID幂等补偿。质量工程师确认风险受理，检测人员签署复检实测和量具状态，设备/工艺岗位签署纠正措施与首件，质量负责人审核最终关闭依据。系统不直接修改PLC/SCADA参数，不替代质量放行。</w:t>
      </w:r>
    </w:p>
    <w:p>
      <w:r>
        <w:t xml:space="preserve"/>
      </w:r>
    </w:p>
    <w:p>
      <w:pPr>
        <w:pStyle w:val="Heading1"/>
        <w:keepNext/>
      </w:pPr>
      <w:r>
        <w:t xml:space="preserve">十六、依据来源</w:t>
      </w:r>
    </w:p>
    <w:p>
      <w:r>
        <w:t xml:space="preserve"/>
      </w:r>
    </w:p>
    <w:p>
      <w:pPr>
        <w:pStyle w:val="BodyText"/>
      </w:pPr>
      <w:r>
        <w:t xml:space="preserve">方案依据赛力斯集团2024年年度报告、2025年半年度报告和2024年ESG报告；技术依据包括电动车制造交互式根因分析、Root-KGD、Document GraphRAG和反事实根因分析；制造架构与治理依据包括ISO 23247、OPC UA for ISA-95、AIAG Control Plan、NIST AI RMF和NIST SP 800-82 Rev.3；飞书能力依据来自多维表格、任务、消息卡片、文档和事件订阅官方资料。完整目录和链接见`04_参考文献与数据依据`。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image" Target="media/quality-ai-architecture.png"/>

</Relationships>
</file>