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系统运行说明与完整案例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一、案例题设</w:t>
      </w:r>
    </w:p>
    <w:p>
      <w:r>
        <w:t xml:space="preserve"/>
      </w:r>
    </w:p>
    <w:p>
      <w:pPr>
        <w:pStyle w:val="BodyText"/>
      </w:pPr>
      <w:r>
        <w:t xml:space="preserve">总装GA-12底盘合装工位中，TQ-17智能拧紧枪在14:18至14:26连续出现M12关键螺栓扭矩偏低。实测值为86.4N·m，工艺窗口为92-108N·m，影响VIN尾号8123-8125。同期角度补偿波动扩大，但车辆尚未全部下线，现场需要判断这是单点参数波动、设备状态问题，还是需要立即控线的质量风险。</w:t>
      </w:r>
    </w:p>
    <w:p>
      <w:r>
        <w:t xml:space="preserve"/>
      </w:r>
    </w:p>
    <w:p>
      <w:pPr>
        <w:pStyle w:val="Heading1"/>
        <w:keepNext/>
      </w:pPr>
      <w:r>
        <w:t xml:space="preserve">二、数字员工处置过程</w:t>
      </w:r>
    </w:p>
    <w:p>
      <w:r>
        <w:t xml:space="preserve"/>
      </w:r>
    </w:p>
    <w:p>
      <w:pPr>
        <w:pStyle w:val="ListParagraph"/>
      </w:pPr>
      <w:r>
        <w:t xml:space="preserve">1. 主动捕捉：知质·灵巡从参数流中发现扭矩越界，并识别同一设备、同一工位、同一紧固点连续3辆车重复出现，优先级高于单点报警。</w:t>
      </w:r>
    </w:p>
    <w:p>
      <w:r>
        <w:t xml:space="preserve"/>
      </w:r>
    </w:p>
    <w:p>
      <w:pPr>
        <w:pStyle w:val="ListParagraph"/>
      </w:pPr>
      <w:r>
        <w:t xml:space="preserve">2. 影响圈定：系统读取MES过站和设备时间窗，锁定VIN尾号8123-8125，并向上一次合格校验后的车辆扩展核查，形成车辆级风险清单。</w:t>
      </w:r>
    </w:p>
    <w:p>
      <w:r>
        <w:t xml:space="preserve"/>
      </w:r>
    </w:p>
    <w:p>
      <w:pPr>
        <w:pStyle w:val="ListParagraph"/>
      </w:pPr>
      <w:r>
        <w:t xml:space="preserve">3. 图谱检索：系统沿“总装一线-底盘合装-TQ-17-拧紧参数-预紧力风险-FMEA条目-历史案例C-009”路径检索，获取套筒磨损、校准偏移、角度补偿波动和复检规范。</w:t>
      </w:r>
    </w:p>
    <w:p>
      <w:r>
        <w:t xml:space="preserve"/>
      </w:r>
    </w:p>
    <w:p>
      <w:pPr>
        <w:pStyle w:val="ListParagraph"/>
      </w:pPr>
      <w:r>
        <w:t xml:space="preserve">4. 根因推理：EWMA在14:08先识别均值弱漂移，CUSUM、连续VIN和FMEA关系于14:16形成4/4共识，比下游路试或抽检理论显性点前置22分钟。GraphRAG返回Top-3假设：套筒磨损叠加校准漂移86%、螺纹摩擦系数异常57%、配方错配34%。Top-1仍绑定“更换套筒并用标准件复校”的反证动作，不作为未经验证的事实。</w:t>
      </w:r>
    </w:p>
    <w:p>
      <w:r>
        <w:t xml:space="preserve"/>
      </w:r>
    </w:p>
    <w:p>
      <w:pPr>
        <w:pStyle w:val="ListParagraph"/>
      </w:pPr>
      <w:r>
        <w:t xml:space="preserve">5. 风险分级：如果只看单次数值越界，可归为P2；但该事件涉及关键安全连接件、连续车辆复现、角度补偿同步波动和历史案例匹配，因此升级为P1。</w:t>
      </w:r>
    </w:p>
    <w:p>
      <w:r>
        <w:t xml:space="preserve"/>
      </w:r>
    </w:p>
    <w:p>
      <w:pPr>
        <w:pStyle w:val="ListParagraph"/>
      </w:pPr>
      <w:r>
        <w:t xml:space="preserve">6. 反事实验证：执行“更换套筒+标准件复校”，提交标准件扭矩、角度残差、量具校准状态和检测岗位签署。实测99.1N·m且残差回到基线后，Top-3由86%/57%/34%更新为93%/31%/14%；该结果增强设备侧原因，但不能代替影响VIN复检。</w:t>
      </w:r>
    </w:p>
    <w:p>
      <w:r>
        <w:t xml:space="preserve"/>
      </w:r>
    </w:p>
    <w:p>
      <w:pPr>
        <w:pStyle w:val="ListParagraph"/>
      </w:pPr>
      <w:r>
        <w:t xml:space="preserve">7. 协同执行：系统写入飞书多维表格，生成质量工程师、检测人员、设备工程师、班组长和质量知识管理员任务；质量工程师确认风险受理，检测人员签署实测，质量负责人审核关闭依据。</w:t>
      </w:r>
    </w:p>
    <w:p>
      <w:r>
        <w:t xml:space="preserve"/>
      </w:r>
    </w:p>
    <w:p>
      <w:pPr>
        <w:pStyle w:val="ListParagraph"/>
      </w:pPr>
      <w:r>
        <w:t xml:space="preserve">8. 关闭校验：影响范围锁定、物理复检通过、质量负责人确认、责任任务完成、任务与知识回写五项全部通过后，事件进入关闭状态。P1任何一项缺失均不得放行。</w:t>
      </w:r>
    </w:p>
    <w:p>
      <w:r>
        <w:t xml:space="preserve"/>
      </w:r>
    </w:p>
    <w:p>
      <w:pPr>
        <w:pStyle w:val="ListParagraph"/>
      </w:pPr>
      <w:r>
        <w:t xml:space="preserve">9. 知识回写：系统生成“扭矩偏低-角度补偿波动-套筒磨损/校准漂移-复检与校准措施”的PFMEA和控制计划变更草案，由授权岗位审核后发布。</w:t>
      </w:r>
    </w:p>
    <w:p>
      <w:r>
        <w:t xml:space="preserve"/>
      </w:r>
    </w:p>
    <w:p>
      <w:pPr>
        <w:pStyle w:val="Heading1"/>
        <w:keepNext/>
      </w:pPr>
      <w:r>
        <w:t xml:space="preserve">三、输出结果</w:t>
      </w:r>
    </w:p>
    <w:p>
      <w:r>
        <w:t xml:space="preserve"/>
      </w:r>
    </w:p>
    <w:p>
      <w:r>
        <w:rPr>
          <w:b/>
          <w:color w:val="9E1B32"/>
        </w:rPr>
        <w:t xml:space="preserve">风险等级：</w:t>
      </w:r>
      <w:r>
        <w:t xml:space="preserve">P1</w:t>
      </w:r>
    </w:p>
    <w:p>
      <w:r>
        <w:t xml:space="preserve"/>
      </w:r>
    </w:p>
    <w:p>
      <w:r>
        <w:rPr>
          <w:b/>
          <w:color w:val="9E1B32"/>
        </w:rPr>
        <w:t xml:space="preserve">影响范围：</w:t>
      </w:r>
      <w:r>
        <w:t xml:space="preserve">VIN尾号8123-8125，并核查上一次合格校验后的车辆</w:t>
      </w:r>
    </w:p>
    <w:p>
      <w:r>
        <w:t xml:space="preserve"/>
      </w:r>
    </w:p>
    <w:p>
      <w:r>
        <w:rPr>
          <w:b/>
          <w:color w:val="9E1B32"/>
        </w:rPr>
        <w:t xml:space="preserve">根因假设：</w:t>
      </w:r>
      <w:r>
        <w:t xml:space="preserve">套筒磨损叠加设备校准漂移</w:t>
      </w:r>
    </w:p>
    <w:p>
      <w:r>
        <w:t xml:space="preserve"/>
      </w:r>
    </w:p>
    <w:p>
      <w:r>
        <w:rPr>
          <w:b/>
          <w:color w:val="9E1B32"/>
        </w:rPr>
        <w:t xml:space="preserve">处置决策：</w:t>
      </w:r>
      <w:r>
        <w:t xml:space="preserve">暂停该点位自动放行，隔离影响车辆，完成复检、设备处理和首件确认后恢复</w:t>
      </w:r>
    </w:p>
    <w:p>
      <w:r>
        <w:t xml:space="preserve"/>
      </w:r>
    </w:p>
    <w:p>
      <w:r>
        <w:rPr>
          <w:b/>
          <w:color w:val="9E1B32"/>
        </w:rPr>
        <w:t xml:space="preserve">证据链：</w:t>
      </w:r>
      <w:r>
        <w:t xml:space="preserve">工艺窗口越界、同设备连续复现、角度补偿同步波动、历史案例C-009、FMEA条目、复检规范</w:t>
      </w:r>
    </w:p>
    <w:p>
      <w:r>
        <w:t xml:space="preserve"/>
      </w:r>
    </w:p>
    <w:p>
      <w:r>
        <w:rPr>
          <w:b/>
          <w:color w:val="9E1B32"/>
        </w:rPr>
        <w:t xml:space="preserve">飞书任务：</w:t>
      </w:r>
      <w:r>
        <w:t xml:space="preserve">车辆隔离复检、TQ-17校准、套筒检查更换、备用设备首件确认、FMEA控制计划回写</w:t>
      </w:r>
    </w:p>
    <w:p>
      <w:r>
        <w:t xml:space="preserve"/>
      </w:r>
    </w:p>
    <w:p>
      <w:pPr>
        <w:pStyle w:val="Heading1"/>
        <w:keepNext/>
      </w:pPr>
      <w:r>
        <w:t xml:space="preserve">四、案例价值</w:t>
      </w:r>
    </w:p>
    <w:p>
      <w:r>
        <w:t xml:space="preserve"/>
      </w:r>
    </w:p>
    <w:p>
      <w:pPr>
        <w:pStyle w:val="BodyText"/>
      </w:pPr>
      <w:r>
        <w:t xml:space="preserve">该案例体现数字员工与传统报警系统的差异。传统系统只能提示扭矩异常，知质·灵巡则能说明异常为什么严重、影响哪些车辆、证据来自哪里、谁需要处理、什么时候关闭、关闭后如何沉淀。它把质量管理从事后追溯推进到过程拦截。</w:t>
      </w:r>
    </w:p>
    <w:p>
      <w:r>
        <w:t xml:space="preserve"/>
      </w:r>
    </w:p>
    <w:p>
      <w:pPr>
        <w:pStyle w:val="Heading1"/>
        <w:keepNext/>
      </w:pPr>
      <w:r>
        <w:t xml:space="preserve">五、端到端系统执行记录</w:t>
      </w:r>
    </w:p>
    <w:p>
      <w:r>
        <w:t xml:space="preserve"/>
      </w:r>
    </w:p>
    <w:p>
      <w:pPr>
        <w:pStyle w:val="BodyText"/>
      </w:pPr>
      <w:r>
        <w:t xml:space="preserve">该案例已完成四类系统对象贯通。在线Base“赛力斯质量风险事件闭环”保存事件ID、风险等级、设备、工位、异常参数、影响范围、根因假设、证据链、处置方案、责任任务和Aily指令等13个字段。飞书任务v2以`CASE-TQ-20260719-01-quality-owner`为幂等键创建任务，GUID为`f10d51e5-cc8e-4c71-9441-cd29a77feacf`。复盘文档`PjludNq8foBhkrxV8VQccsldneb`写入事件摘要、四条证据、根因假设、处置方案和关闭检查项，并嵌入真实任务块。互动工作台显示同一事件的趋势、图谱路径、任务状态和关闭门。</w:t>
      </w:r>
    </w:p>
    <w:p>
      <w:r>
        <w:t xml:space="preserve"/>
      </w:r>
    </w:p>
    <w:p>
      <w:pPr>
        <w:pStyle w:val="Heading1"/>
        <w:keepNext/>
      </w:pPr>
      <w:r>
        <w:t xml:space="preserve">六、异常分支与恢复</w:t>
      </w:r>
    </w:p>
    <w:p>
      <w:r>
        <w:t xml:space="preserve"/>
      </w:r>
    </w:p>
    <w:p>
      <w:pPr>
        <w:pStyle w:val="BodyText"/>
      </w:pPr>
      <w:r>
        <w:t xml:space="preserve">如果MES过站数据缺失，系统不输出确定影响VIN，只给出待核查时间窗并停止自动派单。如果设备参数时间戳与MES时钟偏差超过阈值，系统标记数据不可比并请求校时。如果复检结果与根因假设冲突，事件不关闭，原假设降权并重新检索零件批次、工具状态和工位节拍等替代路径。如果飞书接口超时，事件包保存在本地待同步队列，恢复后使用相同幂等键重试，避免重复任务。</w:t>
      </w:r>
    </w:p>
    <w:p>
      <w:r>
        <w:t xml:space="preserve"/>
      </w:r>
    </w:p>
    <w:p>
      <w:pPr>
        <w:pStyle w:val="Heading1"/>
        <w:keepNext/>
      </w:pPr>
      <w:r>
        <w:t xml:space="preserve">七、案例验收点</w:t>
      </w:r>
    </w:p>
    <w:p>
      <w:r>
        <w:t xml:space="preserve"/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4680"/>
        <w:gridCol w:w="4680"/>
      </w:tblGrid>
      <w:tr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验收项</w:t>
            </w:r>
          </w:p>
        </w:tc>
        <w:tc>
          <w:tcPr>
            <w:tcW w:w="4680" w:type="dxa"/>
            <w:shd w:fill="F2F4F7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rPr>
                <w:b/>
              </w:rPr>
              <w:t xml:space="preserve">通过条件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主动触发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无需人员提问即可从连续越界生成风险线程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影响圈定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VIN8123-8125与设备、工位、时间窗形成可解释关系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证据解释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每个根因结论至少包含数据、时空、历史知识三类证据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协同执行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Base、任务和复盘文档共享事件ID或幂等键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人工安全门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未确认时“验证并关闭”不可用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反事实证据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选择动作后仍须提交实测、准则和检测签署；验收前不得关闭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权限策略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L0影子模式、数据过期和图谱失效均能阻断相应动作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故障恢复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飞书中断进入Outbox，恢复后按同一幂等键补偿且不重复建单</w:t>
            </w:r>
          </w:p>
        </w:tc>
      </w:tr>
      <w:tr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知识回写</w:t>
            </w:r>
          </w:p>
        </w:tc>
        <w:tc>
          <w:tcPr>
            <w:tcW w:w="468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关闭后沉淀设备—症状—根因—措施关系及适用边界</w:t>
            </w:r>
          </w:p>
        </w:tc>
      </w:tr>
    </w:tbl>
    <w:p>
      <w:pPr>
        <w:pStyle w:val="SmallSpace"/>
      </w:pPr>
      <w:r>
        <w:t xml:space="preserve"/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171C22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9E1B32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34424F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ReferenceList">
    <w:name w:val="Reference List"/>
    <w:basedOn w:val="Normal"/>
    <w:pPr>
      <w:ind w:left="360" w:hanging="240"/>
      <w:spacing w:after="50" w:line="220" w:lineRule="auto"/>
    </w:pPr>
    <w:rPr>
      <w:rFonts w:ascii="Calibri" w:eastAsia="Microsoft YaHei" w:hAnsi="Calibri"/>
      <w:sz w:val="18"/>
      <w:szCs w:val="18"/>
      <w:color w:val="172033"/>
    </w:r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
</Relationships>
</file>