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每一次异常都会生成一条风险线程，线程包含设备、工位、参数、阈值、VIN或零件批次、历史案例、根因假设、责任人、SLA、复检结果和复盘结论。风险线程解决了质量知识分散在报警系统、Excel、群聊和个人经验中的问题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BodyText"/>
      </w:pPr>
      <w:r>
        <w:t xml:space="preserve">主动不等于等到硬阈值报警后自动发消息。系统使用工艺规则、EWMA、CUSUM、指令-反馈残差和图谱关系形成多引擎共识，并用“下游检验理论发现时点-风险线程首次可派单时点”度量缺陷显性化前置量。演示四场景分别给出18至46分钟的脱敏仿真前置量，试点验收目标为中位数不少于10分钟。</w:t>
      </w:r>
    </w:p>
    <w:p>
      <w:r>
        <w:t xml:space="preserve"/>
      </w:r>
    </w:p>
    <w:p>
      <w:pPr>
        <w:pStyle w:val="Heading1"/>
        <w:keepNext/>
      </w:pPr>
      <w:r>
        <w:t xml:space="preserve">五、Top-3因果假设与反证闭环</w:t>
      </w:r>
    </w:p>
    <w:p>
      <w:r>
        <w:t xml:space="preserve"/>
      </w:r>
    </w:p>
    <w:p>
      <w:pPr>
        <w:pStyle w:val="BodyText"/>
      </w:pPr>
      <w:r>
        <w:t xml:space="preserve">系统不把模型相关性直接写成根因。每个Top-3假设同时展示支持证据、冲突证据和可以改变其置信度的反证动作，并经过时序、机理、复现、干预和数据完整五项护栏。处置结果若不支持Top-1，系统会降级该假设并提升其他候选，而不是为原答案补充说辞。</w:t>
      </w:r>
    </w:p>
    <w:p>
      <w:r>
        <w:t xml:space="preserve"/>
      </w:r>
    </w:p>
    <w:p>
      <w:pPr>
        <w:pStyle w:val="Heading1"/>
        <w:keepNext/>
      </w:pPr>
      <w:r>
        <w:t xml:space="preserve">六、确定性关闭门</w:t>
      </w:r>
    </w:p>
    <w:p>
      <w:r>
        <w:t xml:space="preserve"/>
      </w:r>
    </w:p>
    <w:p>
      <w:pPr>
        <w:pStyle w:val="BodyText"/>
      </w:pPr>
      <w:r>
        <w:t xml:space="preserve">源数据完整、影响范围锁定、物理复检通过、授权人员确认、任务与知识回写完成是五个结构化强制项。规则引擎负责判定，大模型只解释缺失项；P1任一项未通过只能隔离或升级。该设计把可靠、可追溯落实为可执行状态机。</w:t>
      </w:r>
    </w:p>
    <w:p>
      <w:r>
        <w:t xml:space="preserve"/>
      </w:r>
    </w:p>
    <w:p>
      <w:pPr>
        <w:pStyle w:val="Heading1"/>
        <w:keepNext/>
      </w:pPr>
      <w:r>
        <w:t xml:space="preserve">七、飞书原生执行闭环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八、可复制的工况模板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九、业务指标明确</w:t>
      </w:r>
    </w:p>
    <w:p>
      <w:r>
        <w:t xml:space="preserve"/>
      </w:r>
    </w:p>
    <w:p>
      <w:pPr>
        <w:pStyle w:val="BodyText"/>
      </w:pPr>
      <w:r>
        <w:t xml:space="preserve">方案不只描述技术先进性，而是绑定现场指标：异常定位时间下降40%-60%，P1任务派发小于1分钟，根因Top-3命中率达到80%以上，关键工序追溯覆盖达到100%，重复质量问题下降15%-25%，复盘知识沉淀率达到90%以上。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十、区别于常规方案的组合创新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报警关闭即结束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复检与维修结果更新图谱关系和案例权重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十一、两个核心原创机制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Heading1"/>
        <w:keepNext/>
      </w:pPr>
      <w:r>
        <w:t xml:space="preserve">十二、创新的可验证性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异常注入证明主动触发；动态图谱与证据抽屉证明多跳解释；一车一因果链证明影响圈定；安全门证明人机边界；在线Base、任务和复盘文档证明飞书执行；关闭后的时间线与字段变化证明知识回写。创新不是概念命名，而是可观察状态和可重复操作。</w:t>
      </w:r>
    </w:p>
    <w:p>
      <w:r>
        <w:t xml:space="preserve"/>
      </w:r>
    </w:p>
    <w:p>
      <w:pPr>
        <w:pStyle w:val="Heading1"/>
        <w:keepNext/>
      </w:pPr>
      <w:r>
        <w:t xml:space="preserve">十三、反事实实验台与证据护照</w:t>
      </w:r>
    </w:p>
    <w:p>
      <w:r>
        <w:t xml:space="preserve"/>
      </w:r>
    </w:p>
    <w:p>
      <w:pPr>
        <w:pStyle w:val="BodyText"/>
      </w:pPr>
      <w:r>
        <w:t xml:space="preserve">反事实实验不是预置按钮直接改变结论，而是“选择动作—列出必填实测—绑定验收准则—检测岗位签署—更新后验”的状态机。焊装二次回路案例中，实测可使原Top-2升为Top-1，直观证明系统能够改变原判断。事件护照随信号、规则版本、知识快照、干预、签署和关闭状态变化生成新哈希，使导出的事件包能够说明结论基于哪一版数据和知识。</w:t>
      </w:r>
    </w:p>
    <w:p>
      <w:r>
        <w:t xml:space="preserve"/>
      </w:r>
    </w:p>
    <w:p>
      <w:pPr>
        <w:pStyle w:val="Heading1"/>
        <w:keepNext/>
      </w:pPr>
      <w:r>
        <w:t xml:space="preserve">十四、模式策略与断链恢复</w:t>
      </w:r>
    </w:p>
    <w:p>
      <w:r>
        <w:t xml:space="preserve"/>
      </w:r>
    </w:p>
    <w:p>
      <w:pPr>
        <w:pStyle w:val="BodyText"/>
      </w:pPr>
      <w:r>
        <w:t xml:space="preserve">影子验证、协同执行和生产受控对应L0/L2/L3权限。统一策略守卫控制派单、确认和关闭：L0不能外部写入；数据过期冻结派单和关闭；图谱不可用不允许形成唯一根因；飞书中断写入Outbox，恢复后按相同幂等键补偿。故障演练真正改变按钮、任务状态和事件包，而不是只显示说明文字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