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整体解决方案书</w:t>
      </w:r>
    </w:p>
    <w:p>
      <w:pPr>
        <w:pStyle w:val="Subtitle"/>
      </w:pPr>
      <w:r>
        <w:t xml:space="preserve">赛力斯企业命题参赛材料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1900"/>
        <w:gridCol w:w="7460"/>
      </w:tblGrid>
      <w:tr>
        <w:tc>
          <w:tcPr>
            <w:tcW w:w="19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作品名称</w:t>
            </w:r>
          </w:p>
        </w:tc>
        <w:tc>
          <w:tcPr>
            <w:tcW w:w="746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知质·灵巡：面向新能源汽车智能工厂的质量风险主动管控数字员工</w:t>
            </w:r>
          </w:p>
        </w:tc>
      </w:tr>
      <w:tr>
        <w:tc>
          <w:tcPr>
            <w:tcW w:w="19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参赛队伍</w:t>
            </w:r>
          </w:p>
        </w:tc>
        <w:tc>
          <w:tcPr>
            <w:tcW w:w="746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智造知行队</w:t>
            </w:r>
          </w:p>
        </w:tc>
      </w:tr>
      <w:tr>
        <w:tc>
          <w:tcPr>
            <w:tcW w:w="19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数字员工</w:t>
            </w:r>
          </w:p>
        </w:tc>
        <w:tc>
          <w:tcPr>
            <w:tcW w:w="746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知质·灵巡</w:t>
            </w:r>
          </w:p>
        </w:tc>
      </w:tr>
      <w:tr>
        <w:tc>
          <w:tcPr>
            <w:tcW w:w="19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材料定位</w:t>
            </w:r>
          </w:p>
        </w:tc>
        <w:tc>
          <w:tcPr>
            <w:tcW w:w="746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设备质量风险主动识别、证据推理、飞书协同与复盘闭环</w:t>
            </w:r>
          </w:p>
        </w:tc>
      </w:tr>
    </w:tbl>
    <w:p>
      <w:pPr>
        <w:pStyle w:val="SmallSpace"/>
      </w:pPr>
      <w:r>
        <w:t xml:space="preserve"/>
      </w:r>
    </w:p>
    <w:p>
      <w:r>
        <w:t xml:space="preserve"/>
      </w:r>
    </w:p>
    <w:p>
      <w:pPr>
        <w:pStyle w:val="Heading1"/>
        <w:keepNext/>
      </w:pPr>
      <w:r>
        <w:t xml:space="preserve">方案概述</w:t>
      </w:r>
    </w:p>
    <w:p>
      <w:r>
        <w:t xml:space="preserve"/>
      </w:r>
    </w:p>
    <w:p>
      <w:pPr>
        <w:pStyle w:val="BodyText"/>
      </w:pPr>
      <w:r>
        <w:t xml:space="preserve">“知质·灵巡”是面向赛力斯超级工厂的质量风险主动管控数字员工。它围绕设备、工艺、质量、车辆和任务五类对象构建知识底座，将设备告警、工艺参数、视觉检测、MES过站、QMS缺陷、维修记录、FMEA和控制计划统一为可检索、可推理、可追溯的图谱。系统在现场数据流中主动识别风险信号，调用GraphRAG和规则引擎生成证据链，再通过飞书Aily、多维表格和机器人卡片完成跨角色协同。</w:t>
      </w:r>
    </w:p>
    <w:p>
      <w:r>
        <w:t xml:space="preserve"/>
      </w:r>
    </w:p>
    <w:p>
      <w:pPr>
        <w:pStyle w:val="Heading1"/>
        <w:keepNext/>
      </w:pPr>
      <w:r>
        <w:t xml:space="preserve">架构模块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数据接入层：接入PLC/SCADA设备告警、工艺参数、视觉检测结果、MES过站、QMS缺陷、维修保养和飞书任务状态。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知识底座层：建立设备-工艺-质量本体，核心关系包括设备位于工位、工位执行工序、工序产生参数、参数影响质量特性、质量特性关联缺陷模式、缺陷模式对应FMEA条目、FMEA条目绑定控制计划和处置流程。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推理决策层：采用工艺窗口越界检测、SPC趋势识别、同工位连续性判断、VIN时间窗圈定、历史案例检索、因果路径约束和风险分级规则，输出根因假设与证据链。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数字员工层：知质·灵巡以岗位化方式运行，具备异常巡检、风险解释、任务派发、进度追问、关闭校验和知识回写能力。它不直接替代质量负责人作最终放行，而是把证据、风险和动作准备到可执行状态。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协同执行层：飞书Aily提供自然语言入口，多维表格承载质量事件、任务、复检、放行和复盘数据，自定义机器人向班组群推送风险卡片。</w:t>
      </w:r>
    </w:p>
    <w:p>
      <w:r>
        <w:t xml:space="preserve"/>
      </w:r>
    </w:p>
    <w:p>
      <w:pPr>
        <w:pStyle w:val="Heading1"/>
        <w:keepNext/>
      </w:pPr>
      <w:r>
        <w:t xml:space="preserve">核心创新</w:t>
      </w:r>
    </w:p>
    <w:p>
      <w:r>
        <w:t xml:space="preserve"/>
      </w:r>
    </w:p>
    <w:p>
      <w:r>
        <w:rPr>
          <w:b/>
          <w:color w:val="1F4D78"/>
        </w:rPr>
        <w:t xml:space="preserve">主动式GraphRAG：</w:t>
      </w:r>
      <w:r>
        <w:t xml:space="preserve">不是等待提问，而是在参数流和告警流中触发检索；图谱路径决定检索范围，文档证据补充处置依据。</w:t>
      </w:r>
    </w:p>
    <w:p>
      <w:r>
        <w:t xml:space="preserve"/>
      </w:r>
    </w:p>
    <w:p>
      <w:r>
        <w:rPr>
          <w:b/>
          <w:color w:val="1F4D78"/>
        </w:rPr>
        <w:t xml:space="preserve">风险数字孪生线程：</w:t>
      </w:r>
      <w:r>
        <w:t xml:space="preserve">每个异常生成一条包含设备、参数、VIN、任务、责任人、SLA和复盘结论的线程，闭环后沉淀为下一次推理资产。</w:t>
      </w:r>
    </w:p>
    <w:p>
      <w:r>
        <w:t xml:space="preserve"/>
      </w:r>
    </w:p>
    <w:p>
      <w:r>
        <w:rPr>
          <w:b/>
          <w:color w:val="1F4D78"/>
        </w:rPr>
        <w:t xml:space="preserve">因果护栏：</w:t>
      </w:r>
      <w:r>
        <w:t xml:space="preserve">通过工序顺序、设备拓扑和FMEA规则排除不可能根因，降低只靠文本相似度造成的误判。</w:t>
      </w:r>
    </w:p>
    <w:p>
      <w:r>
        <w:t xml:space="preserve"/>
      </w:r>
    </w:p>
    <w:p>
      <w:r>
        <w:rPr>
          <w:b/>
          <w:color w:val="1F4D78"/>
        </w:rPr>
        <w:t xml:space="preserve">飞书原生协同：</w:t>
      </w:r>
      <w:r>
        <w:t xml:space="preserve">质量事件从识别开始即进入多维表格和班组任务流，避免“系统分析完、现场没人接”的断点。</w:t>
      </w:r>
    </w:p>
    <w:p>
      <w:r>
        <w:t xml:space="preserve"/>
      </w:r>
    </w:p>
    <w:p>
      <w:pPr>
        <w:pStyle w:val="Heading1"/>
        <w:keepNext/>
      </w:pPr>
      <w:r>
        <w:t xml:space="preserve">量化价值</w:t>
      </w:r>
    </w:p>
    <w:p>
      <w:r>
        <w:t xml:space="preserve"/>
      </w:r>
    </w:p>
    <w:p>
      <w:pPr>
        <w:pStyle w:val="BodyText"/>
      </w:pPr>
      <w:r>
        <w:t xml:space="preserve">首期在四类工况落地后，目标为关键异常定位时间下降40%-60%，P1事件任务派发时间控制在1分钟内，关键工序追溯覆盖达到100%，重复质量问题下降15%-25%，质量复盘知识沉淀覆盖率达到90%以上。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64" w:lineRule="auto"/>
    </w:pPr>
    <w:rPr>
      <w:rFonts w:ascii="Calibri" w:eastAsia="Microsoft YaHei" w:hAnsi="Calibri"/>
      <w:sz w:val="22"/>
      <w:szCs w:val="22"/>
      <w:color w:val="172033"/>
    </w:rPr>
  </w:style>
  <w:style w:type="paragraph" w:styleId="Title">
    <w:name w:val="Title"/>
    <w:pPr>
      <w:spacing w:before="0" w:after="160"/>
    </w:pPr>
    <w:rPr>
      <w:rFonts w:ascii="Calibri" w:eastAsia="Microsoft YaHei" w:hAnsi="Calibri"/>
      <w:b/>
      <w:sz w:val="36"/>
      <w:szCs w:val="36"/>
      <w:color w:val="0B2545"/>
    </w:rPr>
  </w:style>
  <w:style w:type="paragraph" w:styleId="Subtitle">
    <w:name w:val="Subtitle"/>
    <w:pPr>
      <w:spacing w:after="240"/>
    </w:pPr>
    <w:rPr>
      <w:rFonts w:ascii="Calibri" w:eastAsia="Microsoft YaHei" w:hAnsi="Calibri"/>
      <w:sz w:val="22"/>
      <w:szCs w:val="22"/>
      <w:color w:val="657086"/>
    </w:rPr>
  </w:style>
  <w:style w:type="paragraph" w:styleId="Heading1">
    <w:name w:val="heading 1"/>
    <w:pPr>
      <w:keepNext/>
      <w:spacing w:before="320" w:after="160"/>
    </w:pPr>
    <w:rPr>
      <w:rFonts w:ascii="Calibri" w:eastAsia="Microsoft YaHei" w:hAnsi="Calibri"/>
      <w:b/>
      <w:sz w:val="32"/>
      <w:szCs w:val="32"/>
      <w:color w:val="2E74B5"/>
    </w:rPr>
  </w:style>
  <w:style w:type="paragraph" w:styleId="Heading2">
    <w:name w:val="heading 2"/>
    <w:pPr>
      <w:keepNext/>
      <w:spacing w:before="240" w:after="120"/>
    </w:pPr>
    <w:rPr>
      <w:rFonts w:ascii="Calibri" w:eastAsia="Microsoft YaHei" w:hAnsi="Calibri"/>
      <w:b/>
      <w:sz w:val="26"/>
      <w:szCs w:val="26"/>
      <w:color w:val="2E74B5"/>
    </w:rPr>
  </w:style>
  <w:style w:type="paragraph" w:styleId="BodyText">
    <w:name w:val="Body Text"/>
    <w:basedOn w:val="Normal"/>
    <w:pPr>
      <w:spacing w:after="120" w:line="264" w:lineRule="auto"/>
    </w:pPr>
  </w:style>
  <w:style w:type="paragraph" w:styleId="ListParagraph">
    <w:name w:val="List Paragraph"/>
    <w:basedOn w:val="Normal"/>
    <w:pPr>
      <w:ind w:left="720"/>
      <w:spacing w:after="120" w:line="280" w:lineRule="auto"/>
    </w:pPr>
  </w:style>
  <w:style w:type="paragraph" w:styleId="SmallSpace">
    <w:name w:val="Small Space"/>
    <w:pPr>
      <w:spacing w:after="8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