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平台运行说明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本地工作台</w:t>
      </w:r>
    </w:p>
    <w:p>
      <w:r>
        <w:t xml:space="preserve"/>
      </w:r>
    </w:p>
    <w:p>
      <w:r>
        <w:rPr>
          <w:b/>
          <w:color w:val="1F4D78"/>
        </w:rPr>
        <w:t xml:space="preserve">入口文件：</w:t>
      </w:r>
      <w:r>
        <w:t xml:space="preserve">`D:\赛力斯\app\index.html`</w:t>
      </w:r>
    </w:p>
    <w:p>
      <w:r>
        <w:t xml:space="preserve"/>
      </w:r>
    </w:p>
    <w:p>
      <w:pPr>
        <w:pStyle w:val="BodyText"/>
      </w:pPr>
      <w:r>
        <w:t xml:space="preserve">运行步骤：双击入口文件即可打开工作台。左侧选择仿真工况，顶部点击“注入异常”切换事件，点击“关闭任务”查看复盘回写状态。中部数字员工窗口支持点击追问，右侧展示GraphRAG证据链、飞书协同任务和多维表格记录。</w:t>
      </w:r>
    </w:p>
    <w:p>
      <w:r>
        <w:t xml:space="preserve"/>
      </w:r>
    </w:p>
    <w:p>
      <w:pPr>
        <w:pStyle w:val="Heading1"/>
        <w:keepNext/>
      </w:pPr>
      <w:r>
        <w:t xml:space="preserve">命令行运行</w:t>
      </w:r>
    </w:p>
    <w:p>
      <w:r>
        <w:t xml:space="preserve"/>
      </w:r>
    </w:p>
    <w:p>
      <w:r>
        <w:rPr>
          <w:b/>
          <w:color w:val="1F4D78"/>
        </w:rPr>
        <w:t xml:space="preserve">命令：</w:t>
      </w:r>
      <w:r>
        <w:t xml:space="preserve">`py D:\赛力斯\scripts\run_quality_agent.py`</w:t>
      </w:r>
    </w:p>
    <w:p>
      <w:r>
        <w:t xml:space="preserve"/>
      </w:r>
    </w:p>
    <w:p>
      <w:pPr>
        <w:pStyle w:val="BodyText"/>
      </w:pPr>
      <w:r>
        <w:t xml:space="preserve">脚本会读取`data/factory_events.csv`与`data/quality_cases.json`，完成风险分级、案例检索、证据链组织和飞书记录生成。</w:t>
      </w:r>
    </w:p>
    <w:p>
      <w:r>
        <w:t xml:space="preserve"/>
      </w:r>
    </w:p>
    <w:p>
      <w:pPr>
        <w:pStyle w:val="Heading1"/>
        <w:keepNext/>
      </w:pPr>
      <w:r>
        <w:t xml:space="preserve">飞书接入</w:t>
      </w:r>
    </w:p>
    <w:p>
      <w:r>
        <w:t xml:space="preserve"/>
      </w:r>
    </w:p>
    <w:p>
      <w:r>
        <w:rPr>
          <w:b/>
          <w:color w:val="1F4D78"/>
        </w:rPr>
        <w:t xml:space="preserve">配置文件：</w:t>
      </w:r>
      <w:r>
        <w:t xml:space="preserve">`data/feishu_env_template.json`</w:t>
      </w:r>
    </w:p>
    <w:p>
      <w:r>
        <w:t xml:space="preserve"/>
      </w:r>
    </w:p>
    <w:p>
      <w:pPr>
        <w:pStyle w:val="BodyText"/>
      </w:pPr>
      <w:r>
        <w:t xml:space="preserve">对接方式：企业应用负责获取tenant_access_token，多维表格接口写入质量事件，自定义机器人向班组群发送卡片，Aily作为自然语言入口调用质量事件查询、任务更新和复盘回写能力。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