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系统运行说明与完整案例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案例题设</w:t>
      </w:r>
    </w:p>
    <w:p>
      <w:r>
        <w:t xml:space="preserve"/>
      </w:r>
    </w:p>
    <w:p>
      <w:pPr>
        <w:pStyle w:val="BodyText"/>
      </w:pPr>
      <w:r>
        <w:t xml:space="preserve">总装GA-12底盘合装工位中，TQ-17智能拧紧枪在14:18至14:26连续出现M12关键螺栓扭矩偏低。测量值为86.4N·m，工艺窗口为92-108N·m，影响VIN尾号8123-8125。角度补偿波动同步扩大，系统需要判断是否为单点异常、设备风险还是批次质量风险。</w:t>
      </w:r>
    </w:p>
    <w:p>
      <w:r>
        <w:t xml:space="preserve"/>
      </w:r>
    </w:p>
    <w:p>
      <w:pPr>
        <w:pStyle w:val="Heading1"/>
        <w:keepNext/>
      </w:pPr>
      <w:r>
        <w:t xml:space="preserve">数字员工处置过程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主动捕捉：知质·灵巡从设备参数流中发现扭矩越界，并识别“连续3辆车、同一工位、同一点位”的重复模式。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图谱定位：系统沿“总装一线-底盘合装工位-TQ-17-扭矩参数-预紧力风险-FMEA条目-历史案例C-009”路径检索。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根因推断：GraphRAG返回设备校准、套筒磨损、角度补偿波动和历史处置记录。因果护栏排除后续工序对当前扭矩的反向影响，根因假设收敛为“套筒磨损叠加校准漂移”。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风险分级：单次数值越界可进入P2，但关键安全连接件、连续车辆复现、历史案例匹配和影响车辆未完全放行共同触发P1。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协同执行：系统写入飞书多维表格，生成三类任务：质量工程师隔离并复检车辆，设备工程师校准TQ-17并检查套筒，班组长切换备用拧紧枪并复核首件。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关闭回写：当复检合格、设备校准完成、备用设备首件合格、责任人确认四项齐全后，事件关闭。系统把根因、处置、复检结果和阈值调整写回质量知识图谱。</w:t>
      </w:r>
    </w:p>
    <w:p>
      <w:r>
        <w:t xml:space="preserve"/>
      </w:r>
    </w:p>
    <w:p>
      <w:pPr>
        <w:pStyle w:val="Heading1"/>
        <w:keepNext/>
      </w:pPr>
      <w:r>
        <w:t xml:space="preserve">输出结果</w:t>
      </w:r>
    </w:p>
    <w:p>
      <w:r>
        <w:t xml:space="preserve"/>
      </w:r>
    </w:p>
    <w:p>
      <w:r>
        <w:rPr>
          <w:b/>
          <w:color w:val="1F4D78"/>
        </w:rPr>
        <w:t xml:space="preserve">风险等级：</w:t>
      </w:r>
      <w:r>
        <w:t xml:space="preserve">P1</w:t>
      </w:r>
    </w:p>
    <w:p>
      <w:r>
        <w:t xml:space="preserve"/>
      </w:r>
    </w:p>
    <w:p>
      <w:r>
        <w:rPr>
          <w:b/>
          <w:color w:val="1F4D78"/>
        </w:rPr>
        <w:t xml:space="preserve">影响范围：</w:t>
      </w:r>
      <w:r>
        <w:t xml:space="preserve">VIN尾号8123-8125，向前核查至上一次设备合格校验后的5辆车</w:t>
      </w:r>
    </w:p>
    <w:p>
      <w:r>
        <w:t xml:space="preserve"/>
      </w:r>
    </w:p>
    <w:p>
      <w:r>
        <w:rPr>
          <w:b/>
          <w:color w:val="1F4D78"/>
        </w:rPr>
        <w:t xml:space="preserve">根因假设：</w:t>
      </w:r>
      <w:r>
        <w:t xml:space="preserve">套筒磨损叠加设备校准漂移</w:t>
      </w:r>
    </w:p>
    <w:p>
      <w:r>
        <w:t xml:space="preserve"/>
      </w:r>
    </w:p>
    <w:p>
      <w:r>
        <w:rPr>
          <w:b/>
          <w:color w:val="1F4D78"/>
        </w:rPr>
        <w:t xml:space="preserve">处置决策：</w:t>
      </w:r>
      <w:r>
        <w:t xml:space="preserve">暂停该点位自动放行，隔离影响车辆，完成复检和设备处理后恢复</w:t>
      </w:r>
    </w:p>
    <w:p>
      <w:r>
        <w:t xml:space="preserve"/>
      </w:r>
    </w:p>
    <w:p>
      <w:r>
        <w:rPr>
          <w:b/>
          <w:color w:val="1F4D78"/>
        </w:rPr>
        <w:t xml:space="preserve">证据链：</w:t>
      </w:r>
      <w:r>
        <w:t xml:space="preserve">工艺窗口越界、同设备连续复现、角度补偿同步波动、历史案例C-009、FMEA条目FM-TQ-04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