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方案创新亮点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1. 从知识库到岗位化数字员工</w:t>
      </w:r>
    </w:p>
    <w:p>
      <w:r>
        <w:t xml:space="preserve"/>
      </w:r>
    </w:p>
    <w:p>
      <w:pPr>
        <w:pStyle w:val="BodyText"/>
      </w:pPr>
      <w:r>
        <w:t xml:space="preserve">系统不是问答助手，而是一个有岗位职责的质量数字员工。知质·灵巡持续巡检现场数据，发现风险后自动进入“证据链生成-任务派发-关闭校验-知识回写”流程。它保留质量负责人最终确认权，同时承担高频、跨系统、强追溯的分析与协同工作。</w:t>
      </w:r>
    </w:p>
    <w:p>
      <w:r>
        <w:t xml:space="preserve"/>
      </w:r>
    </w:p>
    <w:p>
      <w:pPr>
        <w:pStyle w:val="Heading1"/>
        <w:keepNext/>
      </w:pPr>
      <w:r>
        <w:t xml:space="preserve">2. 设备质量风险线程</w:t>
      </w:r>
    </w:p>
    <w:p>
      <w:r>
        <w:t xml:space="preserve"/>
      </w:r>
    </w:p>
    <w:p>
      <w:pPr>
        <w:pStyle w:val="BodyText"/>
      </w:pPr>
      <w:r>
        <w:t xml:space="preserve">每个异常不再只是报警记录，而是一条风险线程。线程包含设备、工位、参数、车辆或零件范围、历史案例、责任人、SLA、复检结果和关闭依据。线程闭环后进入知识图谱，成为下一次主动识别的经验资产。</w:t>
      </w:r>
    </w:p>
    <w:p>
      <w:r>
        <w:t xml:space="preserve"/>
      </w:r>
    </w:p>
    <w:p>
      <w:pPr>
        <w:pStyle w:val="Heading1"/>
        <w:keepNext/>
      </w:pPr>
      <w:r>
        <w:t xml:space="preserve">3. GraphRAG与因果护栏融合</w:t>
      </w:r>
    </w:p>
    <w:p>
      <w:r>
        <w:t xml:space="preserve"/>
      </w:r>
    </w:p>
    <w:p>
      <w:pPr>
        <w:pStyle w:val="BodyText"/>
      </w:pPr>
      <w:r>
        <w:t xml:space="preserve">GraphRAG负责跨图谱和文档检索，因果护栏负责约束方向和范围。例如后续检测结果不能反向解释前序设备参数，外部环境变量可作为根变量，最终检验缺陷可作为叶变量。这种组合能减少文本相似检索带来的伪相关。</w:t>
      </w:r>
    </w:p>
    <w:p>
      <w:r>
        <w:t xml:space="preserve"/>
      </w:r>
    </w:p>
    <w:p>
      <w:pPr>
        <w:pStyle w:val="Heading1"/>
        <w:keepNext/>
      </w:pPr>
      <w:r>
        <w:t xml:space="preserve">4. 飞书协同即业务执行层</w:t>
      </w:r>
    </w:p>
    <w:p>
      <w:r>
        <w:t xml:space="preserve"/>
      </w:r>
    </w:p>
    <w:p>
      <w:pPr>
        <w:pStyle w:val="BodyText"/>
      </w:pPr>
      <w:r>
        <w:t xml:space="preserve">飞书Aily、多维表格和机器人卡片不是附属展示，而是执行层。质量事件进入多维表格后自动分派责任人和SLA；班组在飞书内更新处置状态；Aily承接自然语言查询；关闭后数据回写质量图谱。</w:t>
      </w:r>
    </w:p>
    <w:p>
      <w:r>
        <w:t xml:space="preserve"/>
      </w:r>
    </w:p>
    <w:p>
      <w:pPr>
        <w:pStyle w:val="Heading1"/>
        <w:keepNext/>
      </w:pPr>
      <w:r>
        <w:t xml:space="preserve">5. 可复制的工况模板</w:t>
      </w:r>
    </w:p>
    <w:p>
      <w:r>
        <w:t xml:space="preserve"/>
      </w:r>
    </w:p>
    <w:p>
      <w:pPr>
        <w:pStyle w:val="BodyText"/>
      </w:pPr>
      <w:r>
        <w:t xml:space="preserve">方案把总装拧紧、焊装焊点、涂装烘干、压铸冷却抽象为同一类“设备-参数-质量特性-处置任务”模板。后续可扩展到电驱装配、电池包气密、底盘标定、整车测试和供应链来料质量。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