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报名表填写文本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1F4D78"/>
        </w:rPr>
        <w:t xml:space="preserve">企业命题：</w:t>
      </w:r>
      <w:r>
        <w:t xml:space="preserve">如果加入赛力斯超级工厂团队，如何打造一名会主动管控设备质量风险的AI数字员工。</w:t>
      </w:r>
    </w:p>
    <w:p>
      <w:r>
        <w:t xml:space="preserve"/>
      </w:r>
    </w:p>
    <w:p>
      <w:r>
        <w:rPr>
          <w:b/>
          <w:color w:val="1F4D78"/>
        </w:rPr>
        <w:t xml:space="preserve">队伍名称：</w:t>
      </w:r>
      <w:r>
        <w:t xml:space="preserve">智造知行队</w:t>
      </w:r>
    </w:p>
    <w:p>
      <w:r>
        <w:t xml:space="preserve"/>
      </w:r>
    </w:p>
    <w:p>
      <w:r>
        <w:rPr>
          <w:b/>
          <w:color w:val="1F4D78"/>
        </w:rPr>
        <w:t xml:space="preserve">作品名称：</w:t>
      </w:r>
      <w:r>
        <w:t xml:space="preserve">知质·灵巡：面向新能源汽车智能工厂的质量风险主动管控数字员工</w:t>
      </w:r>
    </w:p>
    <w:p>
      <w:r>
        <w:t xml:space="preserve"/>
      </w:r>
    </w:p>
    <w:p>
      <w:pPr>
        <w:pStyle w:val="BodyText"/>
      </w:pPr>
      <w:r>
        <w:t xml:space="preserve">核心定位：构建一名具备“主动巡检、证据推理、协同处置、复盘学习”能力的质量数字员工，把设备参数波动、工艺窗口偏移和批次质量风险转化为可解释、可派发、可关闭的现场行动。</w:t>
      </w:r>
    </w:p>
    <w:p>
      <w:r>
        <w:t xml:space="preserve"/>
      </w:r>
    </w:p>
    <w:p>
      <w:pPr>
        <w:pStyle w:val="BodyText"/>
      </w:pPr>
      <w:r>
        <w:t xml:space="preserve">开题报告part 1：赛力斯超级工厂面向高精度新能源汽车制造，质量风险不只来自最终检验结果，而是隐藏在设备状态、工艺参数、环境条件、零件批次和人员处置之间。公开资料显示，赛力斯已围绕质量自动化管理、全过程质量数据采集、异常定位、控线和一车一档形成基础。参赛方案的关键不是再做一个问答系统，而是把数据采集能力转化为主动管控能力：让数字员工围绕设备、工艺、质量和车辆关系，主动发现风险、判断严重性、组织处置、验证关闭，并把责任、时限、状态和复盘沉淀到协同系统。</w:t>
      </w:r>
    </w:p>
    <w:p>
      <w:r>
        <w:t xml:space="preserve"/>
      </w:r>
    </w:p>
    <w:p>
      <w:pPr>
        <w:pStyle w:val="BodyText"/>
      </w:pPr>
      <w:r>
        <w:t xml:space="preserve">开题报告part 2：方案命名为“知质·灵巡”。底层建设工厂质量知识底座，以本体论统一描述产品、工艺、设备、传感器、参数、报警、缺陷模式、根因、控制计划和处置任务，并接入FMEA、维修记录、质检报告、MES、SCADA、PLC与飞书任务数据，形成设备-过程-质量三类实体互联的知识图谱。中层采用GraphRAG：当拧紧扭矩、焊点电流、涂装温度、压铸模温差等设备报警或参数扰动出现时，系统先在图谱中检索相关工序、设备、参数阈值、历史案例和质量后果，再结合文档知识库生成可验证证据链。上层由Autonomous Agent执行“观察-研判-检索-推理-行动-复盘”循环，自动给出风险等级、疑似根因、隔离范围、复检项目、维修任务和放行条件，并在飞书Aily中生成任务，在多维表格追踪责任人、时限、状态和复盘结论。首期选择总装拧紧、焊装点焊、涂装烘干和压铸冷却四类关键工况，目标是异常定位时间下降40%-60%，重复质量问题下降15%-25%，关键工序追溯覆盖达到100%，并可复制到更多产线。</w:t>
      </w:r>
    </w:p>
    <w:p>
      <w:r>
        <w:t xml:space="preserve"/>
      </w:r>
    </w:p>
    <w:p>
      <w:r>
        <w:rPr>
          <w:b/>
          <w:color w:val="1F4D78"/>
        </w:rPr>
        <w:t xml:space="preserve">团队补充材料链接：</w:t>
      </w:r>
      <w:r>
        <w:t xml:space="preserve">https://github.com/zhijinDeng/Seris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