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开题报告</w:t>
      </w:r>
    </w:p>
    <w:p>
      <w:pPr>
        <w:pStyle w:val="Subtitle"/>
      </w:pPr>
      <w:r>
        <w:t xml:space="preserve">赛力斯企业命题参赛材料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1900"/>
        <w:gridCol w:w="7460"/>
      </w:tblGrid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作品名称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知质·灵巡：面向新能源汽车智能工厂的质量风险主动管控数字员工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参赛队伍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智造知行队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数字员工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知质·灵巡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材料定位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设备质量风险主动识别、证据推理、飞书协同与复盘闭环</w:t>
            </w:r>
          </w:p>
        </w:tc>
      </w:tr>
    </w:tbl>
    <w:p>
      <w:pPr>
        <w:pStyle w:val="SmallSpace"/>
      </w:pPr>
      <w:r>
        <w:t xml:space="preserve"/>
      </w:r>
    </w:p>
    <w:p>
      <w:r>
        <w:t xml:space="preserve"/>
      </w:r>
    </w:p>
    <w:p>
      <w:pPr>
        <w:pStyle w:val="Heading1"/>
        <w:keepNext/>
      </w:pPr>
      <w:r>
        <w:t xml:space="preserve">一、命题重新定义</w:t>
      </w:r>
    </w:p>
    <w:p>
      <w:r>
        <w:t xml:space="preserve"/>
      </w:r>
    </w:p>
    <w:p>
      <w:pPr>
        <w:pStyle w:val="BodyText"/>
      </w:pPr>
      <w:r>
        <w:t xml:space="preserve">本命题的核心不是“为工厂增加一个AI问答入口”，而是回答一个更具体的问题：当现场设备尚未造成最终缺陷、但已经出现质量风险苗头时，系统能否像一名质量工程师一样主动识别风险、组织证据、推动处置，并在关闭后沉淀经验。赛力斯超级工厂的生产特点决定了这个问题具有现实价值：新能源汽车制造链路长、工艺精度高、设备自动化程度高，很多质量风险并不是单一检测项失败，而是设备状态、工艺参数、零件批次、环境条件和历史维修共同作用的结果。</w:t>
      </w:r>
    </w:p>
    <w:p>
      <w:r>
        <w:t xml:space="preserve"/>
      </w:r>
    </w:p>
    <w:p>
      <w:pPr>
        <w:pStyle w:val="BodyText"/>
      </w:pPr>
      <w:r>
        <w:t xml:space="preserve">因此，“知质·灵巡”被定义为设备质量风险主动管控数字员工。它的岗位目标不是替代质量负责人放行车辆，也不是绕过既有制造系统直接控制设备，而是在MES、QMS、SCADA、PLC、视觉检测、维修记录、FMEA和飞书协同之间建立一个可推理的质量风险工作层，把分散数据组织成可执行闭环。</w:t>
      </w:r>
    </w:p>
    <w:p>
      <w:r>
        <w:t xml:space="preserve"/>
      </w:r>
    </w:p>
    <w:p>
      <w:pPr>
        <w:pStyle w:val="Heading1"/>
        <w:keepNext/>
      </w:pPr>
      <w:r>
        <w:t xml:space="preserve">二、命题前置洞察</w:t>
      </w:r>
    </w:p>
    <w:p>
      <w:r>
        <w:t xml:space="preserve"/>
      </w:r>
    </w:p>
    <w:p>
      <w:pPr>
        <w:pStyle w:val="BodyText"/>
      </w:pPr>
      <w:r>
        <w:t xml:space="preserve">公开资料显示，赛力斯超级工厂已经具备全价值链质量数据采集、异常特征自动提取、控线、异常设备定位和一车一档能力。华为智慧园区案例进一步说明，AI、联接、计算、存储、云和数字能源共同支撑生产网络、AIoT检测、数字班组和全过程质量数据采集。也就是说，赛题不是从零开始做“数据化”，而是在现有智能制造基础上继续前进一步：把已有数据资产转化为主动风险管控能力。</w:t>
      </w:r>
    </w:p>
    <w:p>
      <w:r>
        <w:t xml:space="preserve"/>
      </w:r>
    </w:p>
    <w:p>
      <w:pPr>
        <w:pStyle w:val="BodyText"/>
      </w:pPr>
      <w:r>
        <w:t xml:space="preserve">传统知识库式系统存在三个断点。第一，发现断点：系统等待人员提问，无法主动从参数漂移、设备告警和批次异常中捕捉隐性风险。第二，解释断点：报警记录只告诉“发生了什么”，很少说明“为什么严重、影响哪些车、依据是什么”。第三，执行断点：分析结果停留在报告里，未必自动进入班组任务、责任人、SLA、复检和复盘流程。</w:t>
      </w:r>
    </w:p>
    <w:p>
      <w:r>
        <w:t xml:space="preserve"/>
      </w:r>
    </w:p>
    <w:p>
      <w:pPr>
        <w:pStyle w:val="BodyText"/>
      </w:pPr>
      <w:r>
        <w:t xml:space="preserve">新能源汽车制造的质量风险天然是多跳关系问题。以关键螺栓拧紧为例，扭矩偏低可能关联拧紧枪校准、套筒磨损、角度补偿、螺栓批次、工位节拍、VIN时间窗、FMEA条目和复检规范；焊点电流漂移可能关联电极帽寿命、二次回路接触电阻、焊核直径和车身结构强度；涂装烘干温度不足可能关联风门、温控回路、膜厚、附着力和时间窗车辆；压铸模温差异常可能关联冷却水路、温控阀、X光缩孔和尺寸稳定性。这类问题不适合只用单表规则或通用文本问答处理，更适合用知识图谱表达关系，用GraphRAG检索证据，用Agent推动动作。</w:t>
      </w:r>
    </w:p>
    <w:p>
      <w:r>
        <w:t xml:space="preserve"/>
      </w:r>
    </w:p>
    <w:p>
      <w:pPr>
        <w:pStyle w:val="Heading1"/>
        <w:keepNext/>
      </w:pPr>
      <w:r>
        <w:t xml:space="preserve">三、方案切入点</w:t>
      </w:r>
    </w:p>
    <w:p>
      <w:r>
        <w:t xml:space="preserve"/>
      </w:r>
    </w:p>
    <w:p>
      <w:pPr>
        <w:pStyle w:val="BodyText"/>
      </w:pPr>
      <w:r>
        <w:t xml:space="preserve">作品选择从“设备质量风险线程”切入。每一次异常不是孤立报警，而是一条贯穿设备、工位、参数、车辆或零件批次、历史案例、责任任务、复检结果和复盘结论的风险线程。知质·灵巡围绕这条线程完成六步闭环：观察现场信号，研判风险等级，检索图谱与文档证据，推理根因和影响范围，派发飞书任务，关闭后回写知识底座。</w:t>
      </w:r>
    </w:p>
    <w:p>
      <w:r>
        <w:t xml:space="preserve"/>
      </w:r>
    </w:p>
    <w:p>
      <w:pPr>
        <w:pStyle w:val="BodyText"/>
      </w:pPr>
      <w:r>
        <w:t xml:space="preserve">首期工况选择遵循三个标准：一是质量影响高，涉及安全连接、结构强度、外观耐久或关键结构件；二是数据可获得，能从设备参数、检测结果、MES过站和维修记录中形成证据链；三是可复制，能抽象为“设备-参数-质量特性-任务-复盘”的通用模板。由此确定总装拧紧、焊装点焊、涂装烘干和一体化压铸冷却四个场景。</w:t>
      </w:r>
    </w:p>
    <w:p>
      <w:r>
        <w:t xml:space="preserve"/>
      </w:r>
    </w:p>
    <w:p>
      <w:pPr>
        <w:pStyle w:val="Heading1"/>
        <w:keepNext/>
      </w:pPr>
      <w:r>
        <w:t xml:space="preserve">四、技术路线</w:t>
      </w:r>
    </w:p>
    <w:p>
      <w:r>
        <w:t xml:space="preserve"/>
      </w:r>
    </w:p>
    <w:p>
      <w:pPr>
        <w:pStyle w:val="BodyText"/>
      </w:pPr>
      <w:r>
        <w:t xml:space="preserve">底层是质量知识底座。系统以本体论统一设备、工位、工序、工艺参数、质量特性、缺陷模式、FMEA、控制计划、VIN、零件批次、人员角色和处置任务，形成“设备位于工位、工位执行工序、工序产生参数、参数影响质量特性、质量特性关联缺陷模式、缺陷模式对应FMEA条目、处置任务分派责任角色”的语义网络。</w:t>
      </w:r>
    </w:p>
    <w:p>
      <w:r>
        <w:t xml:space="preserve"/>
      </w:r>
    </w:p>
    <w:p>
      <w:pPr>
        <w:pStyle w:val="BodyText"/>
      </w:pPr>
      <w:r>
        <w:t xml:space="preserve">中层是GraphRAG和因果护栏。GraphRAG不只检索文档片段，而是先沿图谱路径收敛上下文，再从SOP、FMEA、历史8D、维修记录和检测规范中提取证据。因果护栏负责约束方向和边界，例如后续检测缺陷不能反向解释前序设备参数，设备维修记录只能影响维修后的时间窗，批次风险必须通过零件绑定关系映射到VIN。</w:t>
      </w:r>
    </w:p>
    <w:p>
      <w:r>
        <w:t xml:space="preserve"/>
      </w:r>
    </w:p>
    <w:p>
      <w:pPr>
        <w:pStyle w:val="BodyText"/>
      </w:pPr>
      <w:r>
        <w:t xml:space="preserve">上层是岗位化Agent。知质·灵巡具备五类能力：主动巡检参数流和告警流；用风险规则进行P1/P2/P3分级；生成根因假设、影响范围和证据链；通过飞书Aily、多维表格和机器人卡片分派任务；在复检、维修、责任确认齐全后关闭事件并回写知识图谱。</w:t>
      </w:r>
    </w:p>
    <w:p>
      <w:r>
        <w:t xml:space="preserve"/>
      </w:r>
    </w:p>
    <w:p>
      <w:pPr>
        <w:pStyle w:val="Heading1"/>
        <w:keepNext/>
      </w:pPr>
      <w:r>
        <w:t xml:space="preserve">五、落地边界与验证方式</w:t>
      </w:r>
    </w:p>
    <w:p>
      <w:r>
        <w:t xml:space="preserve"/>
      </w:r>
    </w:p>
    <w:p>
      <w:pPr>
        <w:pStyle w:val="BodyText"/>
      </w:pPr>
      <w:r>
        <w:t xml:space="preserve">方案坚持“先辅助决策、后闭环协同、再局部自动化”的路线。首期不直接修改PLC/DCS控制参数，不越过质量放行审批，不自动关闭P1事件。系统先以影子模式回放历史事件，验证风险分级、影响范围圈定和根因Top-K命中率；再进入当班协同，验证任务派发、复检跟踪和关闭回写；最后在稳定工况中接入更多产线。</w:t>
      </w:r>
    </w:p>
    <w:p>
      <w:r>
        <w:t xml:space="preserve"/>
      </w:r>
    </w:p>
    <w:p>
      <w:pPr>
        <w:pStyle w:val="BodyText"/>
      </w:pPr>
      <w:r>
        <w:t xml:space="preserve">核心指标包括：异常定位时间下降40%-60%；P1事件从识别到任务派发小于1分钟；关键工序追溯覆盖达到100%；根因Top-3命中率达到80%以上；重复质量问题下降15%-25%；质量复盘知识沉淀率达到90%以上。停用条件包括关键数据延迟、核心点位缺失、模型低置信连续出现、责任人未确认、复检结果与系统判断冲突等。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eastAsia="Microsoft YaHei" w:hAnsi="Calibri"/>
      <w:sz w:val="22"/>
      <w:szCs w:val="22"/>
      <w:color w:val="172033"/>
    </w:rPr>
  </w:style>
  <w:style w:type="paragraph" w:styleId="Title">
    <w:name w:val="Title"/>
    <w:pPr>
      <w:spacing w:before="0" w:after="160"/>
    </w:pPr>
    <w:rPr>
      <w:rFonts w:ascii="Calibri" w:eastAsia="Microsoft YaHei" w:hAnsi="Calibri"/>
      <w:b/>
      <w:sz w:val="36"/>
      <w:szCs w:val="36"/>
      <w:color w:val="0B2545"/>
    </w:rPr>
  </w:style>
  <w:style w:type="paragraph" w:styleId="Subtitle">
    <w:name w:val="Subtitle"/>
    <w:pPr>
      <w:spacing w:after="240"/>
    </w:pPr>
    <w:rPr>
      <w:rFonts w:ascii="Calibri" w:eastAsia="Microsoft YaHei" w:hAnsi="Calibri"/>
      <w:sz w:val="22"/>
      <w:szCs w:val="22"/>
      <w:color w:val="657086"/>
    </w:rPr>
  </w:style>
  <w:style w:type="paragraph" w:styleId="Heading1">
    <w:name w:val="heading 1"/>
    <w:pPr>
      <w:keepNext/>
      <w:spacing w:before="320" w:after="160"/>
    </w:pPr>
    <w:rPr>
      <w:rFonts w:ascii="Calibri" w:eastAsia="Microsoft YaHei" w:hAnsi="Calibri"/>
      <w:b/>
      <w:sz w:val="32"/>
      <w:szCs w:val="32"/>
      <w:color w:val="2E74B5"/>
    </w:rPr>
  </w:style>
  <w:style w:type="paragraph" w:styleId="Heading2">
    <w:name w:val="heading 2"/>
    <w:pPr>
      <w:keepNext/>
      <w:spacing w:before="240" w:after="120"/>
    </w:pPr>
    <w:rPr>
      <w:rFonts w:ascii="Calibri" w:eastAsia="Microsoft YaHei" w:hAnsi="Calibri"/>
      <w:b/>
      <w:sz w:val="26"/>
      <w:szCs w:val="26"/>
      <w:color w:val="2E74B5"/>
    </w:rPr>
  </w:style>
  <w:style w:type="paragraph" w:styleId="BodyText">
    <w:name w:val="Body Text"/>
    <w:basedOn w:val="Normal"/>
    <w:pPr>
      <w:spacing w:after="120" w:line="264" w:lineRule="auto"/>
    </w:pPr>
  </w:style>
  <w:style w:type="paragraph" w:styleId="ListParagraph">
    <w:name w:val="List Paragraph"/>
    <w:basedOn w:val="Normal"/>
    <w:pPr>
      <w:ind w:left="720"/>
      <w:spacing w:after="120" w:line="280" w:lineRule="auto"/>
    </w:pPr>
  </w:style>
  <w:style w:type="paragraph" w:styleId="SmallSpace">
    <w:name w:val="Small Space"/>
    <w:pPr>
      <w:spacing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