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整体解决方案书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一、方案总览</w:t>
      </w:r>
    </w:p>
    <w:p>
      <w:r>
        <w:t xml:space="preserve"/>
      </w:r>
    </w:p>
    <w:p>
      <w:pPr>
        <w:pStyle w:val="BodyText"/>
      </w:pPr>
      <w:r>
        <w:t xml:space="preserve">“知质·灵巡”是一名面向赛力斯超级工厂的设备质量风险主动管控数字员工。方案以工厂质量知识底座为根，以GraphRAG和因果约束为推理引擎，以Autonomous Agent为工作流中枢，以飞书Aily、多维表格和机器人卡片为协同执行层，形成从感知到行动的闭环。</w:t>
      </w:r>
    </w:p>
    <w:p>
      <w:r>
        <w:t xml:space="preserve"/>
      </w:r>
    </w:p>
    <w:p>
      <w:pPr>
        <w:pStyle w:val="BodyText"/>
      </w:pPr>
      <w:r>
        <w:t xml:space="preserve">它要解决的不是单点报警展示，而是现场质量管理中最难沉淀的隐性风险：设备已经出现退化或偏移，但终检尚未报废；参数已经越过窗口，但影响车辆和根因还不清楚；班组已经在群里沟通，但责任、时限、证据和复盘没有进入结构化资产。知质·灵巡把这些碎片组织成一条可追溯风险线程。</w:t>
      </w:r>
    </w:p>
    <w:p>
      <w:r>
        <w:t xml:space="preserve"/>
      </w:r>
    </w:p>
    <w:p>
      <w:pPr>
        <w:pStyle w:val="Heading1"/>
        <w:keepNext/>
      </w:pPr>
      <w:r>
        <w:t xml:space="preserve">二、总体架构与核心模块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数据接入层：接入PLC/SCADA设备告警、扭矩/电流/温度/模温差等工艺参数、MES过站记录、QMS缺陷、视觉检测、X光检测、设备点检、维修工单、FMEA、控制计划和飞书任务状态。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知识底座层：建设质量本体和知识图谱，覆盖设备、工位、工序、参数、质量特性、缺陷模式、根因、控制计划、VIN、零件批次、责任角色和处置任务。每条关系都服务一个业务问题：定位异常来自哪里、影响什么质量特性、应由谁处理、关闭依据是什么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风险识别层：基于工艺窗口、SPC趋势、同工位连续性、同设备重复性、VIN时间窗、零件批次、设备寿命和历史案例匹配，识别P1/P2/P3风险。P1关注安全、法规、结构强度和关键连接件；P2关注可控越界和当班复检；P3进入趋势观察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GraphRAG推理层：当异常触发时，系统先在图谱中确定检索路径，再从FMEA、SOP、历史8D、维修记录、质检规范和知识文档中抽取证据，输出“参数异常-质量风险-根因假设-处置依据”的证据链。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Agent执行层：数字员工执行“观察-研判-检索-推理-行动-复盘”循环。它生成风险等级、影响范围、根因Top-K、复检项目、维修动作、放行条件和飞书任务，并在关闭后把结果回写知识图谱。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飞书协同层：飞书Aily提供自然语言入口，多维表格承载质量事件、处置任务、复检记录、维修记录和复盘记录，自定义机器人向质量、设备、工艺和班组群推送风险卡片。</w:t>
      </w:r>
    </w:p>
    <w:p>
      <w:r>
        <w:t xml:space="preserve"/>
      </w:r>
    </w:p>
    <w:p>
      <w:pPr>
        <w:pStyle w:val="Heading1"/>
        <w:keepNext/>
      </w:pPr>
      <w:r>
        <w:t xml:space="preserve">三、关键业务流程</w:t>
      </w:r>
    </w:p>
    <w:p>
      <w:r>
        <w:t xml:space="preserve"/>
      </w:r>
    </w:p>
    <w:p>
      <w:r>
        <w:rPr>
          <w:b/>
          <w:color w:val="1F4D78"/>
        </w:rPr>
        <w:t xml:space="preserve">以总装底盘合装拧紧为例，TQ-17智能拧紧枪出现M12关键螺栓扭矩偏低。系统不是只展示报警，而是自动完成六步：</w:t>
      </w:r>
      <w:r>
        <w:t xml:space="preserve"/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识别86.4N·m低于92-108N·m工艺窗口，并发现连续3辆车同点位越界。</w:t>
      </w:r>
    </w:p>
    <w:p>
      <w:pPr>
        <w:pStyle w:val="ListParagraph"/>
        <w:numPr>
          <w:ilvl w:val="0"/>
          <w:numId w:val="2"/>
        </w:numPr>
      </w:pPr>
      <w:r>
        <w:t xml:space="preserve">通过MES过站记录圈定VIN尾号8123-8125，并向上一次合格校验时间窗扩展核查。</w:t>
      </w:r>
    </w:p>
    <w:p>
      <w:pPr>
        <w:pStyle w:val="ListParagraph"/>
        <w:numPr>
          <w:ilvl w:val="0"/>
          <w:numId w:val="2"/>
        </w:numPr>
      </w:pPr>
      <w:r>
        <w:t xml:space="preserve">沿“总装一线-底盘合装-TQ-17-扭矩参数-预紧力风险-FMEA条目-历史案例C-009”路径检索证据。</w:t>
      </w:r>
    </w:p>
    <w:p>
      <w:pPr>
        <w:pStyle w:val="ListParagraph"/>
        <w:numPr>
          <w:ilvl w:val="0"/>
          <w:numId w:val="2"/>
        </w:numPr>
      </w:pPr>
      <w:r>
        <w:t xml:space="preserve">结合角度补偿波动、套筒寿命、校准记录和历史案例，形成“套筒磨损叠加校准漂移”的根因假设。</w:t>
      </w:r>
    </w:p>
    <w:p>
      <w:pPr>
        <w:pStyle w:val="ListParagraph"/>
        <w:numPr>
          <w:ilvl w:val="0"/>
          <w:numId w:val="2"/>
        </w:numPr>
      </w:pPr>
      <w:r>
        <w:t xml:space="preserve">自动生成车辆隔离、扭矩复检、设备校准、套筒检查、备用设备首件确认和FMEA回写任务。</w:t>
      </w:r>
    </w:p>
    <w:p>
      <w:pPr>
        <w:pStyle w:val="ListParagraph"/>
        <w:numPr>
          <w:ilvl w:val="0"/>
          <w:numId w:val="2"/>
        </w:numPr>
      </w:pPr>
      <w:r>
        <w:t xml:space="preserve">当复检合格、设备恢复、责任人确认和放行依据齐全后关闭事件，沉淀为下一次推理样本。</w:t>
      </w:r>
    </w:p>
    <w:p>
      <w:r>
        <w:t xml:space="preserve"/>
      </w:r>
    </w:p>
    <w:p>
      <w:pPr>
        <w:pStyle w:val="Heading1"/>
        <w:keepNext/>
      </w:pPr>
      <w:r>
        <w:t xml:space="preserve">四、创新点</w:t>
      </w:r>
    </w:p>
    <w:p>
      <w:r>
        <w:t xml:space="preserve"/>
      </w:r>
    </w:p>
    <w:p>
      <w:r>
        <w:rPr>
          <w:b/>
          <w:color w:val="1F4D78"/>
        </w:rPr>
        <w:t xml:space="preserve">设备质量风险线程：</w:t>
      </w:r>
      <w:r>
        <w:t xml:space="preserve">把报警、参数、VIN、证据、任务、责任人、SLA和复盘结论绑定成一条业务对象，避免质量知识散落在系统、群聊和个人经验里。</w:t>
      </w:r>
    </w:p>
    <w:p>
      <w:r>
        <w:t xml:space="preserve"/>
      </w:r>
    </w:p>
    <w:p>
      <w:r>
        <w:rPr>
          <w:b/>
          <w:color w:val="1F4D78"/>
        </w:rPr>
        <w:t xml:space="preserve">主动式GraphRAG：</w:t>
      </w:r>
      <w:r>
        <w:t xml:space="preserve">不是人员提问后再检索，而是在参数流和告警流中触发检索；图谱决定检索范围，文档补足证据，规则和因果约束校验推理方向。</w:t>
      </w:r>
    </w:p>
    <w:p>
      <w:r>
        <w:t xml:space="preserve"/>
      </w:r>
    </w:p>
    <w:p>
      <w:pPr>
        <w:pStyle w:val="BodyText"/>
      </w:pPr>
      <w:r>
        <w:t xml:space="preserve">一车一因果链：把一车一档从追溯档案升级为风险推理载体，让每辆受影响车辆都能说明“经过了哪个工位、受到哪个参数影响、依据哪些证据执行了哪项处置”。</w:t>
      </w:r>
    </w:p>
    <w:p>
      <w:r>
        <w:t xml:space="preserve"/>
      </w:r>
    </w:p>
    <w:p>
      <w:pPr>
        <w:pStyle w:val="BodyText"/>
      </w:pPr>
      <w:r>
        <w:t xml:space="preserve">飞书即执行层：飞书不只是通知渠道，而是质量事件、任务、责任、状态和复盘的协同载体。Aily承接查询和更新，多维表格承接结构化闭环，机器人卡片推动班组响应。</w:t>
      </w:r>
    </w:p>
    <w:p>
      <w:r>
        <w:t xml:space="preserve"/>
      </w:r>
    </w:p>
    <w:p>
      <w:r>
        <w:rPr>
          <w:b/>
          <w:color w:val="1F4D78"/>
        </w:rPr>
        <w:t xml:space="preserve">质量知识自学习：</w:t>
      </w:r>
      <w:r>
        <w:t xml:space="preserve">每次关闭事件都会沉淀根因、措施、复检结果和阈值调整，形成设备-症状-根因-措施关系，使下一次识别更快、更准。</w:t>
      </w:r>
    </w:p>
    <w:p>
      <w:r>
        <w:t xml:space="preserve"/>
      </w:r>
    </w:p>
    <w:p>
      <w:pPr>
        <w:pStyle w:val="Heading1"/>
        <w:keepNext/>
      </w:pPr>
      <w:r>
        <w:t xml:space="preserve">五、落地路线</w:t>
      </w:r>
    </w:p>
    <w:p>
      <w:r>
        <w:t xml:space="preserve"/>
      </w:r>
    </w:p>
    <w:p>
      <w:r>
        <w:rPr>
          <w:b/>
          <w:color w:val="1F4D78"/>
        </w:rPr>
        <w:t xml:space="preserve">第1阶段：</w:t>
      </w:r>
      <w:r>
        <w:t xml:space="preserve">离线回放。导入历史异常、维修、检测和放行记录，验证风险分级、影响范围圈定和根因命中率。</w:t>
      </w:r>
    </w:p>
    <w:p>
      <w:r>
        <w:t xml:space="preserve"/>
      </w:r>
    </w:p>
    <w:p>
      <w:r>
        <w:rPr>
          <w:b/>
          <w:color w:val="1F4D78"/>
        </w:rPr>
        <w:t xml:space="preserve">第2阶段：</w:t>
      </w:r>
      <w:r>
        <w:t xml:space="preserve">影子运行。系统在当班实时生成建议，但不改变现有放行流程，记录质量工程师采纳、修改或驳回原因。</w:t>
      </w:r>
    </w:p>
    <w:p>
      <w:r>
        <w:t xml:space="preserve"/>
      </w:r>
    </w:p>
    <w:p>
      <w:r>
        <w:rPr>
          <w:b/>
          <w:color w:val="1F4D78"/>
        </w:rPr>
        <w:t xml:space="preserve">第3阶段：</w:t>
      </w:r>
      <w:r>
        <w:t xml:space="preserve">协同闭环。接入飞书多维表格和机器人卡片，实现P1/P2事件任务派发、状态跟踪和关闭回写。</w:t>
      </w:r>
    </w:p>
    <w:p>
      <w:r>
        <w:t xml:space="preserve"/>
      </w:r>
    </w:p>
    <w:p>
      <w:r>
        <w:rPr>
          <w:b/>
          <w:color w:val="1F4D78"/>
        </w:rPr>
        <w:t xml:space="preserve">第4阶段：</w:t>
      </w:r>
      <w:r>
        <w:t xml:space="preserve">产线复制。把四类工况模板扩展到电驱装配、电池包气密、整车标定、供应链来料和路试问题闭环。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六、业务价值与验收</w:t>
      </w:r>
    </w:p>
    <w:p>
      <w:r>
        <w:t xml:space="preserve"/>
      </w:r>
    </w:p>
    <w:p>
      <w:pPr>
        <w:pStyle w:val="BodyText"/>
      </w:pPr>
      <w:r>
        <w:t xml:space="preserve">首期目标为：关键异常定位时间下降40%-60%；P1事件任务派发小于1分钟；根因Top-3命中率达到80%以上；关键工序追溯覆盖达到100%；重复质量问题下降15%-25%；复检、维修、放行和复盘记录结构化率达到90%以上。收益核算只统计被现场采纳并完成闭环的事件，保证价值口径可验证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