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平台运行说明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一、本地工作台</w:t>
      </w:r>
    </w:p>
    <w:p>
      <w:r>
        <w:t xml:space="preserve"/>
      </w:r>
    </w:p>
    <w:p>
      <w:r>
        <w:rPr>
          <w:b/>
          <w:color w:val="1F4D78"/>
        </w:rPr>
        <w:t xml:space="preserve">入口文件：</w:t>
      </w:r>
      <w:r>
        <w:t xml:space="preserve">`D:\赛力斯\app\index.html`</w:t>
      </w:r>
    </w:p>
    <w:p>
      <w:r>
        <w:t xml:space="preserve"/>
      </w:r>
    </w:p>
    <w:p>
      <w:pPr>
        <w:pStyle w:val="BodyText"/>
      </w:pPr>
      <w:r>
        <w:t xml:space="preserve">运行方式：双击入口文件即可打开“知质·灵巡”工作台。页面左侧为四个仿真工况，中部为数字员工交互窗口，右侧为GraphRAG证据链、飞书协同任务和多维表格记录。</w:t>
      </w:r>
    </w:p>
    <w:p>
      <w:r>
        <w:t xml:space="preserve"/>
      </w:r>
    </w:p>
    <w:p>
      <w:r>
        <w:rPr>
          <w:b/>
          <w:color w:val="1F4D78"/>
        </w:rPr>
        <w:t xml:space="preserve">操作路径：</w:t>
      </w:r>
      <w:r>
        <w:t xml:space="preserve"/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选择“总装底盘合装拧紧、焊装侧围点焊、涂装中涂烘干、一体化压铸冷却”任一工况。</w:t>
      </w:r>
    </w:p>
    <w:p>
      <w:pPr>
        <w:pStyle w:val="ListParagraph"/>
        <w:numPr>
          <w:ilvl w:val="0"/>
          <w:numId w:val="2"/>
        </w:numPr>
      </w:pPr>
      <w:r>
        <w:t xml:space="preserve">点击“注入异常”，观察系统如何更新风险等级、影响范围、根因假设和任务列表。</w:t>
      </w:r>
    </w:p>
    <w:p>
      <w:pPr>
        <w:pStyle w:val="ListParagraph"/>
        <w:numPr>
          <w:ilvl w:val="0"/>
          <w:numId w:val="2"/>
        </w:numPr>
      </w:pPr>
      <w:r>
        <w:t xml:space="preserve">点击数字员工窗口中的追问按钮，查看“为什么升级P1、影响哪些VIN、证据链是什么、如何派发飞书任务、关闭后如何复盘”。</w:t>
      </w:r>
    </w:p>
    <w:p>
      <w:pPr>
        <w:pStyle w:val="ListParagraph"/>
        <w:numPr>
          <w:ilvl w:val="0"/>
          <w:numId w:val="2"/>
        </w:numPr>
      </w:pPr>
      <w:r>
        <w:t xml:space="preserve">点击“关闭任务”，查看任务状态和知识回写状态。</w:t>
      </w:r>
    </w:p>
    <w:p>
      <w:r>
        <w:t xml:space="preserve"/>
      </w:r>
    </w:p>
    <w:p>
      <w:pPr>
        <w:pStyle w:val="Heading1"/>
        <w:keepNext/>
      </w:pPr>
      <w:r>
        <w:t xml:space="preserve">二、命令行运行</w:t>
      </w:r>
    </w:p>
    <w:p>
      <w:r>
        <w:t xml:space="preserve"/>
      </w:r>
    </w:p>
    <w:p>
      <w:r>
        <w:rPr>
          <w:b/>
          <w:color w:val="1F4D78"/>
        </w:rPr>
        <w:t xml:space="preserve">命令：</w:t>
      </w:r>
      <w:r>
        <w:t xml:space="preserve">`py D:\赛力斯\scripts\run_quality_agent.py`</w:t>
      </w:r>
    </w:p>
    <w:p>
      <w:r>
        <w:t xml:space="preserve"/>
      </w:r>
    </w:p>
    <w:p>
      <w:pPr>
        <w:pStyle w:val="BodyText"/>
      </w:pPr>
      <w:r>
        <w:t xml:space="preserve">脚本读取`data/factory_events.csv`和`data/quality_cases.json`，完成风险分级、案例检索、证据链生成和飞书记录字段输出。该脚本用于验证工作台背后的数据结构和推理逻辑。</w:t>
      </w:r>
    </w:p>
    <w:p>
      <w:r>
        <w:t xml:space="preserve"/>
      </w:r>
    </w:p>
    <w:p>
      <w:pPr>
        <w:pStyle w:val="Heading1"/>
        <w:keepNext/>
      </w:pPr>
      <w:r>
        <w:t xml:space="preserve">三、飞书接入</w:t>
      </w:r>
    </w:p>
    <w:p>
      <w:r>
        <w:t xml:space="preserve"/>
      </w:r>
    </w:p>
    <w:p>
      <w:r>
        <w:rPr>
          <w:b/>
          <w:color w:val="1F4D78"/>
        </w:rPr>
        <w:t xml:space="preserve">配置文件：</w:t>
      </w:r>
      <w:r>
        <w:t xml:space="preserve">`data/feishu_env_template.json`</w:t>
      </w:r>
    </w:p>
    <w:p>
      <w:r>
        <w:t xml:space="preserve"/>
      </w:r>
    </w:p>
    <w:p>
      <w:r>
        <w:rPr>
          <w:b/>
          <w:color w:val="1F4D78"/>
        </w:rPr>
        <w:t xml:space="preserve">接入步骤：</w:t>
      </w:r>
      <w:r>
        <w:t xml:space="preserve"/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创建飞书企业自建应用，配置应用凭证。</w:t>
      </w:r>
    </w:p>
    <w:p>
      <w:pPr>
        <w:pStyle w:val="ListParagraph"/>
        <w:numPr>
          <w:ilvl w:val="0"/>
          <w:numId w:val="2"/>
        </w:numPr>
      </w:pPr>
      <w:r>
        <w:t xml:space="preserve">按`data/feishu_bitable_schema.csv`创建质量事件表、处置任务表、复检记录表、设备维修表和复盘记录表。</w:t>
      </w:r>
    </w:p>
    <w:p>
      <w:pPr>
        <w:pStyle w:val="ListParagraph"/>
        <w:numPr>
          <w:ilvl w:val="0"/>
          <w:numId w:val="2"/>
        </w:numPr>
      </w:pPr>
      <w:r>
        <w:t xml:space="preserve">使用自定义机器人把P1/P2风险卡片推送到质量、设备、工艺和班组群。</w:t>
      </w:r>
    </w:p>
    <w:p>
      <w:pPr>
        <w:pStyle w:val="ListParagraph"/>
        <w:numPr>
          <w:ilvl w:val="0"/>
          <w:numId w:val="2"/>
        </w:numPr>
      </w:pPr>
      <w:r>
        <w:t xml:space="preserve">在Aily中配置质量事件查询、任务更新和复盘提交入口。</w:t>
      </w:r>
    </w:p>
    <w:p>
      <w:pPr>
        <w:pStyle w:val="ListParagraph"/>
        <w:numPr>
          <w:ilvl w:val="0"/>
          <w:numId w:val="2"/>
        </w:numPr>
      </w:pPr>
      <w:r>
        <w:t xml:space="preserve">使用`scripts/feishu_client.py`封装新增记录、机器人卡片和事件回调。</w:t>
      </w:r>
    </w:p>
    <w:p>
      <w:r>
        <w:t xml:space="preserve"/>
      </w:r>
    </w:p>
    <w:p>
      <w:pPr>
        <w:pStyle w:val="BodyText"/>
      </w:pPr>
      <w:r>
        <w:t xml:space="preserve">系统首期只写协同记录和任务状态，不直接写入控制层参数。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0B2545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2E74B5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2E74B5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