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参考文献与数据依据</w:t>
      </w:r>
    </w:p>
    <w:p>
      <w:pPr>
        <w:pStyle w:val="Subtitle"/>
      </w:pPr>
      <w:r>
        <w:t xml:space="preserve">赛力斯企业命题参赛材料</w:t>
      </w:r>
    </w:p>
    <w:tbl>
      <w:tblPr>
        <w:tblStyle w:val="TableGrid"/>
        <w:tblW w:w="9360" w:type="dxa"/>
        <w:tblInd w:w="120" w:type="dxa"/>
        <w:tblLayout w:type="fixed"/>
        <w:tblBorders>
          <w:top w:val="single" w:sz="4" w:color="D9E0EA"/>
          <w:left w:val="single" w:sz="4" w:color="D9E0EA"/>
          <w:bottom w:val="single" w:sz="4" w:color="D9E0EA"/>
          <w:right w:val="single" w:sz="4" w:color="D9E0EA"/>
          <w:insideH w:val="single" w:sz="4" w:color="D9E0EA"/>
          <w:insideV w:val="single" w:sz="4" w:color="D9E0EA"/>
        </w:tblBorders>
      </w:tblPr>
      <w:tblGrid>
        <w:gridCol w:w="1900"/>
        <w:gridCol w:w="7460"/>
      </w:tblGrid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作品名称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知质·灵巡：面向新能源汽车智能工厂的质量风险主动管控数字员工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参赛队伍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智造知行队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数字员工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知质·灵巡</w:t>
            </w:r>
          </w:p>
        </w:tc>
      </w:tr>
      <w:tr>
        <w:tc>
          <w:tcPr>
            <w:tcW w:w="190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材料定位</w:t>
            </w:r>
          </w:p>
        </w:tc>
        <w:tc>
          <w:tcPr>
            <w:tcW w:w="7460" w:type="dxa"/>
            <w:tcMar>
              <w:top w:w="100" w:type="dxa"/>
              <w:bottom w:w="100" w:type="dxa"/>
              <w:start w:w="140" w:type="dxa"/>
              <w:end w:w="140" w:type="dxa"/>
            </w:tcMar>
          </w:tcPr>
          <w:p>
            <w:r>
              <w:t xml:space="preserve">设备质量风险主动识别、证据推理、飞书协同与复盘闭环</w:t>
            </w:r>
          </w:p>
        </w:tc>
      </w:tr>
    </w:tbl>
    <w:p>
      <w:pPr>
        <w:pStyle w:val="SmallSpace"/>
      </w:pPr>
      <w:r>
        <w:t xml:space="preserve"/>
      </w:r>
    </w:p>
    <w:p>
      <w:r>
        <w:t xml:space="preserve"/>
      </w:r>
    </w:p>
    <w:p>
      <w:pPr>
        <w:pStyle w:val="Heading1"/>
        <w:keepNext/>
      </w:pPr>
      <w:r>
        <w:t xml:space="preserve">一、企业与平台公开资料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新华网，《赛力斯超级工厂树立行业标杆 以智能制造加速发展新质生产力》，https://www.xinhuanet.com/auto/20241218/569552f0399148ffb6172ba69f530ff3/c.html。用于支撑赛力斯超级工厂全价值链质量数据、异常特征提取、控线、异常设备定位和一车一档等设计依据。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华为企业业务，《解码赛力斯超级工厂智慧园区，共启“智”造新时代》，https://e.huawei.com/cn/case-studies/solutions/campus/202509-seres。用于支撑AI、联接、计算、存储、云、数字能源、AIoT检测、数字班组和全过程质量数据采集背景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飞书开放平台，多维表格记录接口，https://open.feishu.cn/document/server-docs/docs/bitable-v1/app-table-record/create?lang=zh-CN。用于支撑质量事件、处置任务和复盘记录写入多维表格。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飞书开放平台，自定义机器人使用指南，https://open.feishu.cn/document/client-docs/bot-v3/add-custom-bot?lang=zh-CN。用于支撑P1/P2风险卡片、班组群通知和处置提醒。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飞书帮助中心，飞书Aily，https://www.feishu.cn/hc/zh-CN/articles/790732948604-%E5%BF%AB%E9%80%9F%E4%BA%86%E8%A7%A3%E9%A3%9E%E4%B9%A6-aily。用于支撑企业内部智能应用入口、自然语言查询和工作流连接。</w:t>
      </w:r>
    </w:p>
    <w:p>
      <w:r>
        <w:t xml:space="preserve"/>
      </w:r>
    </w:p>
    <w:p>
      <w:pPr>
        <w:pStyle w:val="Heading1"/>
        <w:keepNext/>
      </w:pPr>
      <w:r>
        <w:t xml:space="preserve">二、技术资料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Interactive and Intelligent Root Cause Analysis in Manufacturing Processes，https://arxiv.org/pdf/2402.00043。用于参考电动汽车制造根因分析、制造知识图谱、因果贝叶斯网络和专家交互反馈机制。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Document GraphRAG: Knowledge Graph Enhanced Retrieval Augmented Generation for Document Question Answering Within the Manufacturing Domain，https://www.mdpi.com/2079-9292/14/11/2102。用于支撑制造领域GraphRAG比普通文本检索更适合多跳关系推理。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Knowledge Graph Construction towards a Graph RAG-Enhanced Intelligent Maintenance Chatbot，https://ceur-ws.org/Vol-4064/SKGi-paper3.pdf。用于参考维护知识图谱、规则构建和GraphRAG增强的设备维护问答。</w:t>
      </w:r>
    </w:p>
    <w:p>
      <w:r>
        <w:t xml:space="preserve"/>
      </w:r>
    </w:p>
    <w:p>
      <w:pPr>
        <w:pStyle w:val="ListParagraph"/>
        <w:numPr>
          <w:ilvl w:val="0"/>
          <w:numId w:val="2"/>
        </w:numPr>
      </w:pPr>
      <w:r>
        <w:t xml:space="preserve">An Intelligent Quality Control Method for Manufacturing Processes Based on a Human-Cyber-Physical Knowledge Graph，https://www.engineering.org.cn/engi/EN/10.1016/j.eng.2024.03.022。用于参考人-信息-物理系统质量知识图谱、本体构建和质量辅助决策方法。</w:t>
      </w:r>
    </w:p>
    <w:p>
      <w:r>
        <w:t xml:space="preserve"/>
      </w:r>
    </w:p>
    <w:p>
      <w:pPr>
        <w:pStyle w:val="Heading1"/>
        <w:keepNext/>
      </w:pPr>
      <w:r>
        <w:t xml:space="preserve">三、样例数据说明</w:t>
      </w:r>
    </w:p>
    <w:p>
      <w:r>
        <w:t xml:space="preserve"/>
      </w:r>
    </w:p>
    <w:p>
      <w:pPr>
        <w:pStyle w:val="BodyText"/>
      </w:pPr>
      <w:r>
        <w:t xml:space="preserve">项目中的工况数据为面向命题构建的仿真样例，字段结构按真实智能制造系统常见对象设计，包括设备、工位、参数、阈值、报警、质量风险、VIN或零件范围、历史案例、处置任务和飞书记录。样例数据不声称来自企业内部系统，主要用于验证方案架构、交互流程和闭环逻辑。</w:t>
      </w:r>
    </w:p>
    <w:sectPr>
      <w:pgSz w:w="12240" w:h="15840"/>
      <w:pgMar w:top="1440" w:right="1440" w:bottom="1440" w:left="1440" w:header="708" w:footer="708" w:gutter="0"/>
    </w:sectPr>
  </w:body>
</w:document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num w:numId="1">
    <w:abstractNumId w:val="1"/>
  </w:num>
  <w:num w:numId="2">
    <w:abstractNumId w:val="2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pPr>
      <w:spacing w:after="120" w:line="264" w:lineRule="auto"/>
    </w:pPr>
    <w:rPr>
      <w:rFonts w:ascii="Calibri" w:eastAsia="Microsoft YaHei" w:hAnsi="Calibri"/>
      <w:sz w:val="22"/>
      <w:szCs w:val="22"/>
      <w:color w:val="172033"/>
    </w:rPr>
  </w:style>
  <w:style w:type="paragraph" w:styleId="Title">
    <w:name w:val="Title"/>
    <w:pPr>
      <w:spacing w:before="0" w:after="160"/>
    </w:pPr>
    <w:rPr>
      <w:rFonts w:ascii="Calibri" w:eastAsia="Microsoft YaHei" w:hAnsi="Calibri"/>
      <w:b/>
      <w:sz w:val="36"/>
      <w:szCs w:val="36"/>
      <w:color w:val="0B2545"/>
    </w:rPr>
  </w:style>
  <w:style w:type="paragraph" w:styleId="Subtitle">
    <w:name w:val="Subtitle"/>
    <w:pPr>
      <w:spacing w:after="240"/>
    </w:pPr>
    <w:rPr>
      <w:rFonts w:ascii="Calibri" w:eastAsia="Microsoft YaHei" w:hAnsi="Calibri"/>
      <w:sz w:val="22"/>
      <w:szCs w:val="22"/>
      <w:color w:val="657086"/>
    </w:rPr>
  </w:style>
  <w:style w:type="paragraph" w:styleId="Heading1">
    <w:name w:val="heading 1"/>
    <w:pPr>
      <w:keepNext/>
      <w:spacing w:before="320" w:after="160"/>
    </w:pPr>
    <w:rPr>
      <w:rFonts w:ascii="Calibri" w:eastAsia="Microsoft YaHei" w:hAnsi="Calibri"/>
      <w:b/>
      <w:sz w:val="32"/>
      <w:szCs w:val="32"/>
      <w:color w:val="2E74B5"/>
    </w:rPr>
  </w:style>
  <w:style w:type="paragraph" w:styleId="Heading2">
    <w:name w:val="heading 2"/>
    <w:pPr>
      <w:keepNext/>
      <w:spacing w:before="240" w:after="120"/>
    </w:pPr>
    <w:rPr>
      <w:rFonts w:ascii="Calibri" w:eastAsia="Microsoft YaHei" w:hAnsi="Calibri"/>
      <w:b/>
      <w:sz w:val="26"/>
      <w:szCs w:val="26"/>
      <w:color w:val="2E74B5"/>
    </w:rPr>
  </w:style>
  <w:style w:type="paragraph" w:styleId="BodyText">
    <w:name w:val="Body Text"/>
    <w:basedOn w:val="Normal"/>
    <w:pPr>
      <w:spacing w:after="120" w:line="264" w:lineRule="auto"/>
    </w:pPr>
  </w:style>
  <w:style w:type="paragraph" w:styleId="ListParagraph">
    <w:name w:val="List Paragraph"/>
    <w:basedOn w:val="Normal"/>
    <w:pPr>
      <w:ind w:left="720"/>
      <w:spacing w:after="120" w:line="280" w:lineRule="auto"/>
    </w:pPr>
  </w:style>
  <w:style w:type="paragraph" w:styleId="SmallSpace">
    <w:name w:val="Small Space"/>
    <w:pPr>
      <w:spacing w:after="8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</Relationships>
</file>