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仿真工况与交互案例</w:t>
      </w:r>
    </w:p>
    <w:p>
      <w:pPr>
        <w:pStyle w:val="Subtitle"/>
      </w:pPr>
      <w:r>
        <w:t xml:space="preserve">赛力斯企业命题参赛材料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1900"/>
        <w:gridCol w:w="7460"/>
      </w:tblGrid>
      <w:tr>
        <w:tc>
          <w:tcPr>
            <w:tcW w:w="19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作品名称</w:t>
            </w:r>
          </w:p>
        </w:tc>
        <w:tc>
          <w:tcPr>
            <w:tcW w:w="746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知质·灵巡：面向新能源汽车智能工厂的质量风险主动管控数字员工</w:t>
            </w:r>
          </w:p>
        </w:tc>
      </w:tr>
      <w:tr>
        <w:tc>
          <w:tcPr>
            <w:tcW w:w="19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参赛队伍</w:t>
            </w:r>
          </w:p>
        </w:tc>
        <w:tc>
          <w:tcPr>
            <w:tcW w:w="746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智造知行队</w:t>
            </w:r>
          </w:p>
        </w:tc>
      </w:tr>
      <w:tr>
        <w:tc>
          <w:tcPr>
            <w:tcW w:w="19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数字员工</w:t>
            </w:r>
          </w:p>
        </w:tc>
        <w:tc>
          <w:tcPr>
            <w:tcW w:w="746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知质·灵巡</w:t>
            </w:r>
          </w:p>
        </w:tc>
      </w:tr>
      <w:tr>
        <w:tc>
          <w:tcPr>
            <w:tcW w:w="19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材料定位</w:t>
            </w:r>
          </w:p>
        </w:tc>
        <w:tc>
          <w:tcPr>
            <w:tcW w:w="746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设备质量风险主动识别、证据推理、飞书协同与复盘闭环</w:t>
            </w:r>
          </w:p>
        </w:tc>
      </w:tr>
    </w:tbl>
    <w:p>
      <w:pPr>
        <w:pStyle w:val="SmallSpace"/>
      </w:pPr>
      <w:r>
        <w:t xml:space="preserve"/>
      </w:r>
    </w:p>
    <w:p>
      <w:r>
        <w:t xml:space="preserve"/>
      </w:r>
    </w:p>
    <w:p>
      <w:pPr>
        <w:pStyle w:val="Heading1"/>
        <w:keepNext/>
      </w:pPr>
      <w:r>
        <w:t xml:space="preserve">一、数字员工形象</w:t>
      </w:r>
    </w:p>
    <w:p>
      <w:r>
        <w:t xml:space="preserve"/>
      </w:r>
    </w:p>
    <w:p>
      <w:r>
        <w:rPr>
          <w:b/>
          <w:color w:val="1F4D78"/>
        </w:rPr>
        <w:t xml:space="preserve">名称：</w:t>
      </w:r>
      <w:r>
        <w:t xml:space="preserve">知质·灵巡</w:t>
      </w:r>
    </w:p>
    <w:p>
      <w:r>
        <w:t xml:space="preserve"/>
      </w:r>
    </w:p>
    <w:p>
      <w:r>
        <w:rPr>
          <w:b/>
          <w:color w:val="1F4D78"/>
        </w:rPr>
        <w:t xml:space="preserve">岗位：</w:t>
      </w:r>
      <w:r>
        <w:t xml:space="preserve">设备质量风险主动管控专员</w:t>
      </w:r>
    </w:p>
    <w:p>
      <w:r>
        <w:t xml:space="preserve"/>
      </w:r>
    </w:p>
    <w:p>
      <w:r>
        <w:rPr>
          <w:b/>
          <w:color w:val="1F4D78"/>
        </w:rPr>
        <w:t xml:space="preserve">职责：</w:t>
      </w:r>
      <w:r>
        <w:t xml:space="preserve">巡检设备参数与质量信号，识别隐性风险，调用知识底座完成根因推理，生成可解释证据链，组织飞书协同任务，跟踪关闭条件并回写经验知识。</w:t>
      </w:r>
    </w:p>
    <w:p>
      <w:r>
        <w:t xml:space="preserve"/>
      </w:r>
    </w:p>
    <w:p>
      <w:pPr>
        <w:pStyle w:val="BodyText"/>
      </w:pPr>
      <w:r>
        <w:t xml:space="preserve">边界：不直接替代质量负责人做最终放行；不绕过既有质量流程；不修改PLC、DCS或设备控制参数；所有P1事件必须保留责任人确认、复检记录和关闭依据。</w:t>
      </w:r>
    </w:p>
    <w:p>
      <w:r>
        <w:t xml:space="preserve"/>
      </w:r>
    </w:p>
    <w:p>
      <w:pPr>
        <w:pStyle w:val="Heading1"/>
        <w:keepNext/>
      </w:pPr>
      <w:r>
        <w:t xml:space="preserve">二、交互工作台</w:t>
      </w:r>
    </w:p>
    <w:p>
      <w:r>
        <w:t xml:space="preserve"/>
      </w:r>
    </w:p>
    <w:p>
      <w:pPr>
        <w:pStyle w:val="BodyText"/>
      </w:pPr>
      <w:r>
        <w:t xml:space="preserve">工作台包含四个仿真工况：总装底盘合装拧紧、焊装侧围点焊、涂装中涂烘干、一体化压铸冷却。使用者进入页面后，可点击“注入异常”切换事件，观察数字员工自动形成风险等级、根因假设、影响范围、证据链和处置任务。</w:t>
      </w:r>
    </w:p>
    <w:p>
      <w:r>
        <w:t xml:space="preserve"/>
      </w:r>
    </w:p>
    <w:p>
      <w:pPr>
        <w:pStyle w:val="BodyText"/>
      </w:pPr>
      <w:r>
        <w:t xml:space="preserve">数字员工窗口提供五个追问入口：为什么升级P1、影响哪些VIN、证据链是什么、如何派发飞书任务、关闭后如何复盘。每个回答均由当前工况数据驱动，并与右侧GraphRAG证据链、飞书任务看板和多维表格记录保持一致。</w:t>
      </w:r>
    </w:p>
    <w:p>
      <w:r>
        <w:t xml:space="preserve"/>
      </w:r>
    </w:p>
    <w:p>
      <w:pPr>
        <w:pStyle w:val="Heading1"/>
        <w:keepNext/>
      </w:pPr>
      <w:r>
        <w:t xml:space="preserve">三、四类工况题设</w:t>
      </w:r>
    </w:p>
    <w:p>
      <w:r>
        <w:t xml:space="preserve"/>
      </w:r>
    </w:p>
    <w:p>
      <w:pPr>
        <w:pStyle w:val="BodyText"/>
      </w:pPr>
      <w:r>
        <w:t xml:space="preserve">总装拧紧：TQ-17智能拧紧枪在GA-12工位出现M12关键螺栓扭矩偏低，连续3辆车同点位越界。系统判断为关键安全连接件P1风险，生成车辆隔离、扭矩复检、设备校准和套筒检查任务。</w:t>
      </w:r>
    </w:p>
    <w:p>
      <w:r>
        <w:t xml:space="preserve"/>
      </w:r>
    </w:p>
    <w:p>
      <w:pPr>
        <w:pStyle w:val="BodyText"/>
      </w:pPr>
      <w:r>
        <w:t xml:space="preserve">焊装点焊：RB-42焊接机器人出现焊点电流低位漂移，电极帽寿命接近阈值。系统判断存在热输入不足和焊点强度风险，生成焊核抽检、电极帽更换、二次回路检查和参数复核任务。</w:t>
      </w:r>
    </w:p>
    <w:p>
      <w:r>
        <w:t xml:space="preserve"/>
      </w:r>
    </w:p>
    <w:p>
      <w:pPr>
        <w:pStyle w:val="BodyText"/>
      </w:pPr>
      <w:r>
        <w:t xml:space="preserve">涂装烘干：OV-03烘房三区温度低于工艺下限，风门开度反馈滞后。系统判断为P2观察与复检事件，生成影响车辆隔离、膜厚与附着力复测、风门和温控回路检查任务。</w:t>
      </w:r>
    </w:p>
    <w:p>
      <w:r>
        <w:t xml:space="preserve"/>
      </w:r>
    </w:p>
    <w:p>
      <w:pPr>
        <w:pStyle w:val="BodyText"/>
      </w:pPr>
      <w:r>
        <w:t xml:space="preserve">压铸冷却：DC-9000T压铸单元模温差扩大并伴随冷却水流量波动。系统判断为结构件缩孔和尺寸稳定性P1风险，生成同模次零件冻结、X光检测、尺寸复核和水路检查任务。</w:t>
      </w:r>
    </w:p>
    <w:p>
      <w:r>
        <w:t xml:space="preserve"/>
      </w:r>
    </w:p>
    <w:p>
      <w:pPr>
        <w:pStyle w:val="Heading1"/>
        <w:keepNext/>
      </w:pPr>
      <w:r>
        <w:t xml:space="preserve">四、飞书闭环</w:t>
      </w:r>
    </w:p>
    <w:p>
      <w:r>
        <w:t xml:space="preserve"/>
      </w:r>
    </w:p>
    <w:p>
      <w:pPr>
        <w:pStyle w:val="BodyText"/>
      </w:pPr>
      <w:r>
        <w:t xml:space="preserve">每个工况都会生成多维表格记录，字段包括事件ID、风险等级、设备、工位、异常参数、影响范围、根因假设、处置决策、证据链、任务状态和Aily入口。P1事件通过机器人卡片推送到质量、设备、工艺和班组群，P2事件进入当班观察队列。责任人更新任务后，状态同步回多维表格；关闭后，复检和维修结论进入知识图谱。</w:t>
      </w:r>
    </w:p>
    <w:p>
      <w:r>
        <w:t xml:space="preserve"/>
      </w:r>
    </w:p>
    <w:p>
      <w:pPr>
        <w:pStyle w:val="Heading1"/>
        <w:keepNext/>
      </w:pPr>
      <w:r>
        <w:t xml:space="preserve">五、展示价值</w:t>
      </w:r>
    </w:p>
    <w:p>
      <w:r>
        <w:t xml:space="preserve"/>
      </w:r>
    </w:p>
    <w:p>
      <w:pPr>
        <w:pStyle w:val="BodyText"/>
      </w:pPr>
      <w:r>
        <w:t xml:space="preserve">该交互案例让作品从静态方案变成可操作系统。使用者可以直接看到：数字员工如何发现异常，如何解释风险，如何组织证据，如何派发任务，如何关闭并学习。这正是“从感知到行动”的落地形态。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64" w:lineRule="auto"/>
    </w:pPr>
    <w:rPr>
      <w:rFonts w:ascii="Calibri" w:eastAsia="Microsoft YaHei" w:hAnsi="Calibri"/>
      <w:sz w:val="22"/>
      <w:szCs w:val="22"/>
      <w:color w:val="172033"/>
    </w:rPr>
  </w:style>
  <w:style w:type="paragraph" w:styleId="Title">
    <w:name w:val="Title"/>
    <w:pPr>
      <w:spacing w:before="0" w:after="160"/>
    </w:pPr>
    <w:rPr>
      <w:rFonts w:ascii="Calibri" w:eastAsia="Microsoft YaHei" w:hAnsi="Calibri"/>
      <w:b/>
      <w:sz w:val="36"/>
      <w:szCs w:val="36"/>
      <w:color w:val="0B2545"/>
    </w:rPr>
  </w:style>
  <w:style w:type="paragraph" w:styleId="Subtitle">
    <w:name w:val="Subtitle"/>
    <w:pPr>
      <w:spacing w:after="240"/>
    </w:pPr>
    <w:rPr>
      <w:rFonts w:ascii="Calibri" w:eastAsia="Microsoft YaHei" w:hAnsi="Calibri"/>
      <w:sz w:val="22"/>
      <w:szCs w:val="22"/>
      <w:color w:val="657086"/>
    </w:rPr>
  </w:style>
  <w:style w:type="paragraph" w:styleId="Heading1">
    <w:name w:val="heading 1"/>
    <w:pPr>
      <w:keepNext/>
      <w:spacing w:before="320" w:after="160"/>
    </w:pPr>
    <w:rPr>
      <w:rFonts w:ascii="Calibri" w:eastAsia="Microsoft YaHei" w:hAnsi="Calibri"/>
      <w:b/>
      <w:sz w:val="32"/>
      <w:szCs w:val="32"/>
      <w:color w:val="2E74B5"/>
    </w:rPr>
  </w:style>
  <w:style w:type="paragraph" w:styleId="Heading2">
    <w:name w:val="heading 2"/>
    <w:pPr>
      <w:keepNext/>
      <w:spacing w:before="240" w:after="120"/>
    </w:pPr>
    <w:rPr>
      <w:rFonts w:ascii="Calibri" w:eastAsia="Microsoft YaHei" w:hAnsi="Calibri"/>
      <w:b/>
      <w:sz w:val="26"/>
      <w:szCs w:val="26"/>
      <w:color w:val="2E74B5"/>
    </w:rPr>
  </w:style>
  <w:style w:type="paragraph" w:styleId="BodyText">
    <w:name w:val="Body Text"/>
    <w:basedOn w:val="Normal"/>
    <w:pPr>
      <w:spacing w:after="120" w:line="264" w:lineRule="auto"/>
    </w:pPr>
  </w:style>
  <w:style w:type="paragraph" w:styleId="ListParagraph">
    <w:name w:val="List Paragraph"/>
    <w:basedOn w:val="Normal"/>
    <w:pPr>
      <w:ind w:left="720"/>
      <w:spacing w:after="120" w:line="280" w:lineRule="auto"/>
    </w:pPr>
  </w:style>
  <w:style w:type="paragraph" w:styleId="SmallSpace">
    <w:name w:val="Small Space"/>
    <w:pPr>
      <w:spacing w:after="8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