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  <w:jc w:val="center"/>
      </w:pPr>
      <w:r>
        <w:t xml:space="preserve">【40强赛】赛力斯🤝智造知行队｜知质·灵巡：面向超级工厂的质量风险主动管控AI数字员工</w:t>
      </w:r>
    </w:p>
    <w:p>
      <w:pPr>
        <w:pStyle w:val="Subtitle"/>
        <w:jc w:val="center"/>
      </w:pPr>
      <w:r>
        <w:t xml:space="preserve">赛力斯企业命题决赛参赛材料</w:t>
      </w:r>
    </w:p>
    <w:p>
      <w:pPr>
        <w:pStyle w:val="SmallSpace"/>
      </w:pPr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200"/>
        <w:gridCol w:w="7160"/>
      </w:tblGrid>
      <w:tr>
        <w:tc>
          <w:tcPr>
            <w:tcW w:w="22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7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内容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作品名称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参赛队伍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数字员工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材料定位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一、参赛方案信息卡</w:t>
      </w:r>
    </w:p>
    <w:p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200"/>
        <w:gridCol w:w="7160"/>
      </w:tblGrid>
      <w:tr>
        <w:tc>
          <w:tcPr>
            <w:tcW w:w="22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项目</w:t>
            </w:r>
          </w:p>
        </w:tc>
        <w:tc>
          <w:tcPr>
            <w:tcW w:w="7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填写内容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队名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命题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赛力斯超级工厂质量风险主动管控AI数字员工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一句话摘要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构建“知质·灵巡”质量数字员工，以设备-工艺-质量知识图谱为底座，结合GraphRAG、Autonomous Agent与飞书Aily/多维表格，实现从异常感知、证据推理、任务派发到复盘回写的闭环质量管控。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成员介绍&amp;分工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邓植斤：负责企业命题理解、公开资料调研、知识图谱与Agent方案设计、交互工作台搭建、飞书协同链路设计、文档与提交材料整理。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使用的飞书AI能力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飞书Aily、多维表格、自定义机器人/消息卡片、飞书文档/Wiki协作。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二、命题场景描述、问题描述及痛点说明</w:t>
      </w:r>
    </w:p>
    <w:p>
      <w:r>
        <w:t xml:space="preserve"/>
      </w:r>
    </w:p>
    <w:p>
      <w:pPr>
        <w:pStyle w:val="BodyText"/>
      </w:pPr>
      <w:r>
        <w:t xml:space="preserve">赛力斯超级工厂正迈向高度自动化与智能化。面向高精度新能源汽车制造，质量风险不只来自最终检验结果，而是更早隐藏在设备状态、工艺过程、参数波动、零件批次、维修记录和人员处置链路中。公开资料显示，赛力斯已围绕全过程质量数据采集、异常特征提取、控线、异常设备定位和一车一档形成较强基础。决赛方案的重点不是再次证明“数据可以采集”，而是进一步解决“数据如何转化为主动质量行动”。</w:t>
      </w:r>
    </w:p>
    <w:p>
      <w:r>
        <w:t xml:space="preserve"/>
      </w:r>
    </w:p>
    <w:p>
      <w:pPr>
        <w:pStyle w:val="BodyText"/>
      </w:pPr>
      <w:r>
        <w:t xml:space="preserve">传统工业知识图谱与智能体应用常见三类断点。第一是发现断点：系统等待人员查询，难以主动识别扭矩、电流、温度、模温差等参数的异常趋势。第二是解释断点：报警记录只能说明发生了什么，无法稳定回答为什么严重、影响哪些车辆、证据来自哪里。第三是执行断点：分析结论停留在报告或群聊中，责任人、时限、复检、维修、关闭和复盘没有形成结构化闭环。</w:t>
      </w:r>
    </w:p>
    <w:p>
      <w:r>
        <w:t xml:space="preserve"/>
      </w:r>
    </w:p>
    <w:p>
      <w:pPr>
        <w:pStyle w:val="BodyText"/>
      </w:pPr>
      <w:r>
        <w:t xml:space="preserve">新能源汽车制造质量风险天然具有多跳关系。总装拧紧风险可能关联拧紧枪校准、套筒磨损、角度补偿、VIN时间窗、FMEA条目和复检规范；焊装焊点风险可能关联电极帽寿命、二次回路接触电阻、焊核直径和车身结构强度；涂装烘干风险可能关联风门、温控回路、膜厚和附着力；压铸冷却风险可能关联冷却水路、模温差、X光缩孔和尺寸稳定性。因此，方案必须从单点报警升级为设备-过程-质量的证据推理闭环。</w:t>
      </w:r>
    </w:p>
    <w:p>
      <w:r>
        <w:t xml:space="preserve"/>
      </w:r>
    </w:p>
    <w:p>
      <w:r>
        <w:rPr>
          <w:b/>
          <w:color w:val="1F4D78"/>
        </w:rPr>
        <w:t xml:space="preserve">业务流程可概括为：</w:t>
      </w:r>
      <w:r>
        <w:t xml:space="preserve">现场信号进入事件流，知识图谱组织上下文，GraphRAG生成证据链，Agent编排处置任务，飞书承接协同执行，关闭结果回写知识底座。</w:t>
      </w:r>
    </w:p>
    <w:p>
      <w:r>
        <w:t xml:space="preserve"/>
      </w:r>
    </w:p>
    <w:p>
      <w:pPr>
        <w:pStyle w:val="Heading1"/>
        <w:keepNext/>
      </w:pPr>
      <w:r>
        <w:t xml:space="preserve">三、方案整体概述</w:t>
      </w:r>
    </w:p>
    <w:p>
      <w:r>
        <w:t xml:space="preserve"/>
      </w:r>
    </w:p>
    <w:p>
      <w:pPr>
        <w:pStyle w:val="BodyText"/>
      </w:pPr>
      <w:r>
        <w:t xml:space="preserve">方案命名为“知质·灵巡”。它不是被动问答助手，而是一名设备质量风险主动管控数字员工。整体方案由“一套知识底座、一名数字员工、一条协同闭环”构成。</w:t>
      </w:r>
    </w:p>
    <w:p>
      <w:r>
        <w:t xml:space="preserve"/>
      </w:r>
    </w:p>
    <w:p>
      <w:pPr>
        <w:pStyle w:val="BodyText"/>
      </w:pPr>
      <w:r>
        <w:t xml:space="preserve">一套知识底座：用本体论统一描述产品、工艺、设备、传感器、参数、报警、缺陷模式、根因、FMEA、控制计划、VIN、零件批次、责任角色和处置任务，形成设备-过程-质量互联的知识图谱。</w:t>
      </w:r>
    </w:p>
    <w:p>
      <w:r>
        <w:t xml:space="preserve"/>
      </w:r>
    </w:p>
    <w:p>
      <w:pPr>
        <w:pStyle w:val="BodyText"/>
      </w:pPr>
      <w:r>
        <w:t xml:space="preserve">一名数字员工：由Autonomous Agent执行“观察-研判-检索-推理-行动-复盘”循环。当设备报警或参数波动出现时，它主动识别风险等级、圈定影响范围、生成根因假设、组织证据链并编排处置任务。</w:t>
      </w:r>
    </w:p>
    <w:p>
      <w:r>
        <w:t xml:space="preserve"/>
      </w:r>
    </w:p>
    <w:p>
      <w:r>
        <w:rPr>
          <w:b/>
          <w:color w:val="1F4D78"/>
        </w:rPr>
        <w:t xml:space="preserve">一条协同闭环：</w:t>
      </w:r>
      <w:r>
        <w:t xml:space="preserve">飞书Aily作为自然语言入口，多维表格承载事件与任务，自定义机器人推送风险卡片，班组在飞书内更新进度，关闭后将根因、措施、复检结果和规则调整回写知识图谱。</w:t>
      </w:r>
    </w:p>
    <w:p>
      <w:r>
        <w:t xml:space="preserve"/>
      </w:r>
    </w:p>
    <w:p>
      <w:pPr>
        <w:pStyle w:val="Heading1"/>
        <w:keepNext/>
      </w:pPr>
      <w:r>
        <w:t xml:space="preserve">四、整体架构与核心功能模块</w:t>
      </w:r>
    </w:p>
    <w:p>
      <w:r>
        <w:t xml:space="preserve"/>
      </w:r>
    </w:p>
    <w:p>
      <w:pPr>
        <w:pStyle w:val="BodyText"/>
      </w:pPr>
      <w:r>
        <w:t xml:space="preserve">系统架构分为六层。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数据接入层：接入MES过站、QMS缺陷、SCADA/PLC设备告警、视觉检测、X光检测、设备点检、维修工单、FMEA、控制计划和飞书任务状态。</w:t>
      </w:r>
    </w:p>
    <w:p>
      <w:pPr>
        <w:pStyle w:val="ListParagraph"/>
        <w:numPr>
          <w:ilvl w:val="0"/>
          <w:numId w:val="2"/>
        </w:numPr>
      </w:pPr>
      <w:r>
        <w:t xml:space="preserve">质量知识底座层：建设设备、工位、工序、参数、质量特性、缺陷模式、根因、VIN、零件批次、控制计划和任务的本体与知识图谱。</w:t>
      </w:r>
    </w:p>
    <w:p>
      <w:pPr>
        <w:pStyle w:val="ListParagraph"/>
        <w:numPr>
          <w:ilvl w:val="0"/>
          <w:numId w:val="2"/>
        </w:numPr>
      </w:pPr>
      <w:r>
        <w:t xml:space="preserve">风险识别层：结合工艺窗口、SPC趋势、同工位连续性、同设备重复性、设备寿命、批次范围和历史案例进行P1/P2/P3分级。</w:t>
      </w:r>
    </w:p>
    <w:p>
      <w:pPr>
        <w:pStyle w:val="ListParagraph"/>
        <w:numPr>
          <w:ilvl w:val="0"/>
          <w:numId w:val="2"/>
        </w:numPr>
      </w:pPr>
      <w:r>
        <w:t xml:space="preserve">GraphRAG推理层：沿图谱路径检索FMEA、SOP、维修记录、质检规范和历史8D，形成“参数异常-质量风险-根因假设-处置依据”的证据链。</w:t>
      </w:r>
    </w:p>
    <w:p>
      <w:pPr>
        <w:pStyle w:val="ListParagraph"/>
        <w:numPr>
          <w:ilvl w:val="0"/>
          <w:numId w:val="2"/>
        </w:numPr>
      </w:pPr>
      <w:r>
        <w:t xml:space="preserve">Agent执行层：生成风险等级、影响范围、根因Top-K、复检项目、维修动作、放行条件和飞书任务，并校验关闭条件。</w:t>
      </w:r>
    </w:p>
    <w:p>
      <w:pPr>
        <w:pStyle w:val="ListParagraph"/>
        <w:numPr>
          <w:ilvl w:val="0"/>
          <w:numId w:val="2"/>
        </w:numPr>
      </w:pPr>
      <w:r>
        <w:t xml:space="preserve">飞书协同层：通过Aily、多维表格和机器人卡片承接跨角色任务流转，形成质量、设备、工艺、班组共同参与的事件线程。</w:t>
      </w:r>
    </w:p>
    <w:p>
      <w:r>
        <w:t xml:space="preserve"/>
      </w:r>
    </w:p>
    <w:p>
      <w:pPr>
        <w:pStyle w:val="BodyText"/>
      </w:pPr>
      <w:r>
        <w:t xml:space="preserve">核心功能模块包括：异常主动捕捉、影响范围圈定、一车一因果链、根因Top-K推理、可解释证据链、飞书任务派发、关闭条件校验、知识图谱回写和指标看板。首期覆盖总装拧紧、焊装点焊、涂装烘干和压铸冷却四类工况。</w:t>
      </w:r>
    </w:p>
    <w:p>
      <w:r>
        <w:t xml:space="preserve"/>
      </w:r>
    </w:p>
    <w:p>
      <w:pPr>
        <w:pStyle w:val="Heading1"/>
        <w:keepNext/>
      </w:pPr>
      <w:r>
        <w:t xml:space="preserve">五、方案优势与核心创新点</w:t>
      </w:r>
    </w:p>
    <w:p>
      <w:r>
        <w:t xml:space="preserve"/>
      </w:r>
    </w:p>
    <w:p>
      <w:pPr>
        <w:pStyle w:val="Heading2"/>
        <w:keepNext/>
      </w:pPr>
      <w:r>
        <w:t xml:space="preserve">1. 技术创新：主动式GraphRAG</w:t>
      </w:r>
    </w:p>
    <w:p>
      <w:r>
        <w:t xml:space="preserve"/>
      </w:r>
    </w:p>
    <w:p>
      <w:pPr>
        <w:pStyle w:val="BodyText"/>
      </w:pPr>
      <w:r>
        <w:t xml:space="preserve">常规RAG通常等待人员提问后检索文档。知质·灵巡由现场事件触发，先沿知识图谱确定设备、工序、质量特性和历史案例关系，再从FMEA、SOP、维修记录和质检规范中补充证据，并通过因果护栏排除伪相关。它解决的是“现场风险为什么成立”，而不只是“文档里有没有相关内容”。</w:t>
      </w:r>
    </w:p>
    <w:p>
      <w:r>
        <w:t xml:space="preserve"/>
      </w:r>
    </w:p>
    <w:p>
      <w:pPr>
        <w:pStyle w:val="Heading2"/>
        <w:keepNext/>
      </w:pPr>
      <w:r>
        <w:t xml:space="preserve">2. 模式创新：岗位化数字员工</w:t>
      </w:r>
    </w:p>
    <w:p>
      <w:r>
        <w:t xml:space="preserve"/>
      </w:r>
    </w:p>
    <w:p>
      <w:pPr>
        <w:pStyle w:val="BodyText"/>
      </w:pPr>
      <w:r>
        <w:t xml:space="preserve">知质·灵巡具备质量风险专员的职责边界。它可以自动生成隔离建议、复检任务、维修动作和证据链，但不替代质量负责人放行，不直接修改PLC/DCS或设备控制参数。这样的权限边界更符合智能制造现场渐进落地要求。</w:t>
      </w:r>
    </w:p>
    <w:p>
      <w:r>
        <w:t xml:space="preserve"/>
      </w:r>
    </w:p>
    <w:p>
      <w:pPr>
        <w:pStyle w:val="Heading2"/>
        <w:keepNext/>
      </w:pPr>
      <w:r>
        <w:t xml:space="preserve">3. 流程创新：设备质量风险线程</w:t>
      </w:r>
    </w:p>
    <w:p>
      <w:r>
        <w:t xml:space="preserve"/>
      </w:r>
    </w:p>
    <w:p>
      <w:pPr>
        <w:pStyle w:val="BodyText"/>
      </w:pPr>
      <w:r>
        <w:t xml:space="preserve">每一次异常不再是孤立报警，而是一条贯穿设备、参数、VIN或零件批次、历史案例、根因假设、责任人、SLA、复检结果和复盘结论的风险线程。它把分散在报警系统、表格、群聊和个人经验中的质量知识结构化沉淀。</w:t>
      </w:r>
    </w:p>
    <w:p>
      <w:r>
        <w:t xml:space="preserve"/>
      </w:r>
    </w:p>
    <w:p>
      <w:pPr>
        <w:pStyle w:val="Heading2"/>
        <w:keepNext/>
      </w:pPr>
      <w:r>
        <w:t xml:space="preserve">4. 业务创新：一车一因果链</w:t>
      </w:r>
    </w:p>
    <w:p>
      <w:r>
        <w:t xml:space="preserve"/>
      </w:r>
    </w:p>
    <w:p>
      <w:pPr>
        <w:pStyle w:val="BodyText"/>
      </w:pPr>
      <w:r>
        <w:t xml:space="preserve">赛力斯已有一车一档基础，方案进一步将其升级为质量推理载体。每辆受影响车辆都能说明经过哪个工位、受到哪个设备或参数影响、依据哪些证据处置、关闭条件是什么。这使质量追溯从档案查询升级为主动管控。</w:t>
      </w:r>
    </w:p>
    <w:p>
      <w:r>
        <w:t xml:space="preserve"/>
      </w:r>
    </w:p>
    <w:p>
      <w:pPr>
        <w:pStyle w:val="Heading1"/>
        <w:keepNext/>
      </w:pPr>
      <w:r>
        <w:t xml:space="preserve">六、AI应用深度与飞书能力使用</w:t>
      </w:r>
    </w:p>
    <w:p>
      <w:r>
        <w:t xml:space="preserve"/>
      </w:r>
    </w:p>
    <w:p>
      <w:pPr>
        <w:pStyle w:val="BodyText"/>
      </w:pPr>
      <w:r>
        <w:t xml:space="preserve">方案中的AI不是附着在边角流程上的文本总结，而是进入质量管控核心链路。</w:t>
      </w:r>
    </w:p>
    <w:p>
      <w:r>
        <w:t xml:space="preserve"/>
      </w:r>
    </w:p>
    <w:p>
      <w:pPr>
        <w:pStyle w:val="BodyText"/>
      </w:pPr>
      <w:r>
        <w:t xml:space="preserve">GraphRAG负责多跳证据组织，解决设备、工艺、质量、FMEA和历史案例之间的复杂关系检索。Autonomous Agent负责任务编排，按照观察、研判、检索、推理、行动、复盘的循环推进事件闭环。飞书Aily承接自然语言入口，支持质量工程师查询事件、更新任务、提交复盘。多维表格承载结构化事件表、任务表、复检表、维修表和知识回写表。机器人卡片负责将P1/P2风险推送到质量、设备、工艺和班组群。</w:t>
      </w:r>
    </w:p>
    <w:p>
      <w:r>
        <w:t xml:space="preserve"/>
      </w:r>
    </w:p>
    <w:p>
      <w:pPr>
        <w:pStyle w:val="BodyText"/>
      </w:pPr>
      <w:r>
        <w:t xml:space="preserve">飞书链路示例：TQ-17拧紧枪触发P1风险后，系统写入质量事件表，机器人向总装质量群推送风险卡片，Aily支持责任人查询证据链，多维表格跟踪车辆隔离、扭矩复检、设备校准和FMEA回写状态。关闭后，复检结果和维修结论进入知识图谱，成为下一次推理资产。</w:t>
      </w:r>
    </w:p>
    <w:p>
      <w:r>
        <w:t xml:space="preserve"/>
      </w:r>
    </w:p>
    <w:p>
      <w:pPr>
        <w:pStyle w:val="Heading1"/>
        <w:keepNext/>
      </w:pPr>
      <w:r>
        <w:t xml:space="preserve">七、完整案例：总装拧紧风险闭环</w:t>
      </w:r>
    </w:p>
    <w:p>
      <w:r>
        <w:t xml:space="preserve"/>
      </w:r>
    </w:p>
    <w:p>
      <w:pPr>
        <w:pStyle w:val="BodyText"/>
      </w:pPr>
      <w:r>
        <w:t xml:space="preserve">场景：总装GA-12底盘合装工位中，TQ-17智能拧紧枪在14:18至14:26连续出现M12关键螺栓扭矩偏低。实测值为86.4N·m，工艺窗口为92-108N·m，影响VIN尾号8123-8125。同期角度补偿波动扩大。</w:t>
      </w:r>
    </w:p>
    <w:p>
      <w:r>
        <w:t xml:space="preserve"/>
      </w:r>
    </w:p>
    <w:p>
      <w:r>
        <w:rPr>
          <w:b/>
          <w:color w:val="1F4D78"/>
        </w:rPr>
        <w:t xml:space="preserve">数字员工处理过程：</w:t>
      </w:r>
      <w:r>
        <w:t xml:space="preserve"/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主动捕捉：识别扭矩越界和同设备同点位连续复现。</w:t>
      </w:r>
    </w:p>
    <w:p>
      <w:pPr>
        <w:pStyle w:val="ListParagraph"/>
        <w:numPr>
          <w:ilvl w:val="0"/>
          <w:numId w:val="2"/>
        </w:numPr>
      </w:pPr>
      <w:r>
        <w:t xml:space="preserve">影响圈定：读取MES过站记录，锁定VIN尾号8123-8125，并向上一次合格校验时间窗扩展核查。</w:t>
      </w:r>
    </w:p>
    <w:p>
      <w:pPr>
        <w:pStyle w:val="ListParagraph"/>
        <w:numPr>
          <w:ilvl w:val="0"/>
          <w:numId w:val="2"/>
        </w:numPr>
      </w:pPr>
      <w:r>
        <w:t xml:space="preserve">图谱检索：沿“总装一线-底盘合装-TQ-17-拧紧参数-预紧力风险-FMEA条目-历史案例C-009”路径检索证据。</w:t>
      </w:r>
    </w:p>
    <w:p>
      <w:pPr>
        <w:pStyle w:val="ListParagraph"/>
        <w:numPr>
          <w:ilvl w:val="0"/>
          <w:numId w:val="2"/>
        </w:numPr>
      </w:pPr>
      <w:r>
        <w:t xml:space="preserve">根因推理：结合角度补偿波动、套筒寿命、校准记录和历史案例，形成“套筒磨损叠加设备校准漂移”的根因假设。</w:t>
      </w:r>
    </w:p>
    <w:p>
      <w:pPr>
        <w:pStyle w:val="ListParagraph"/>
        <w:numPr>
          <w:ilvl w:val="0"/>
          <w:numId w:val="2"/>
        </w:numPr>
      </w:pPr>
      <w:r>
        <w:t xml:space="preserve">协同执行：生成车辆隔离、扭矩复检、设备校准、套筒检查、备用设备首件确认和FMEA回写任务。</w:t>
      </w:r>
    </w:p>
    <w:p>
      <w:pPr>
        <w:pStyle w:val="ListParagraph"/>
        <w:numPr>
          <w:ilvl w:val="0"/>
          <w:numId w:val="2"/>
        </w:numPr>
      </w:pPr>
      <w:r>
        <w:t xml:space="preserve">关闭回写：复检合格、设备恢复、责任人确认和放行依据齐全后关闭事件，沉淀为设备-症状-根因-措施关系。</w:t>
      </w:r>
    </w:p>
    <w:p>
      <w:r>
        <w:t xml:space="preserve"/>
      </w:r>
    </w:p>
    <w:p>
      <w:r>
        <w:rPr>
          <w:b/>
          <w:color w:val="1F4D78"/>
        </w:rPr>
        <w:t xml:space="preserve">该案例展示了方案与普通报警系统的差异：</w:t>
      </w:r>
      <w:r>
        <w:t xml:space="preserve">普通系统只能说明扭矩异常，知质·灵巡能够回答为什么严重、影响哪些车辆、证据来自哪里、谁需要处理、何时关闭、关闭后如何学习。</w:t>
      </w:r>
    </w:p>
    <w:p>
      <w:r>
        <w:t xml:space="preserve"/>
      </w:r>
    </w:p>
    <w:p>
      <w:pPr>
        <w:pStyle w:val="Heading1"/>
        <w:keepNext/>
      </w:pPr>
      <w:r>
        <w:t xml:space="preserve">八、业务价值与量化收益</w:t>
      </w:r>
    </w:p>
    <w:p>
      <w:r>
        <w:t xml:space="preserve"/>
      </w:r>
    </w:p>
    <w:p>
      <w:pPr>
        <w:pStyle w:val="BodyText"/>
      </w:pPr>
      <w:r>
        <w:t xml:space="preserve">首期价值采用可核算口径，只统计被现场采纳并完成闭环的事件。</w:t>
      </w:r>
    </w:p>
    <w:p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600"/>
        <w:gridCol w:w="2600"/>
        <w:gridCol w:w="4160"/>
      </w:tblGrid>
      <w:tr>
        <w:tc>
          <w:tcPr>
            <w:tcW w:w="26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指标</w:t>
            </w:r>
          </w:p>
        </w:tc>
        <w:tc>
          <w:tcPr>
            <w:tcW w:w="26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首期目标</w:t>
            </w:r>
          </w:p>
        </w:tc>
        <w:tc>
          <w:tcPr>
            <w:tcW w:w="4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验证方式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异常定位时间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下降40%-60%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对比人工查询设备、MES、维修和FMEA记录耗时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P1任务派发时长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小于1分钟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从事件触发到飞书任务生成的系统时间戳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关键工序追溯覆盖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达到100%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VIN或零件批次与工位、设备、参数记录完整绑定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根因Top-3命中率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达到80%以上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与质量工程师最终复盘根因比对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重复质量问题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下降15%-25%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同类设备、同类工况重复事件趋势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复盘知识沉淀率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达到90%以上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关闭事件中根因、措施、复检、责任确认字段完整率</w:t>
            </w:r>
          </w:p>
        </w:tc>
      </w:tr>
      <w:tr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班组协同留痕</w:t>
            </w:r>
          </w:p>
        </w:tc>
        <w:tc>
          <w:tcPr>
            <w:tcW w:w="26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结构化率达到90%以上</w:t>
            </w:r>
          </w:p>
        </w:tc>
        <w:tc>
          <w:tcPr>
            <w:tcW w:w="4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多维表格任务状态、责任人、SLA和关闭依据完整性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九、落地可行性与推广路径</w:t>
      </w:r>
    </w:p>
    <w:p>
      <w:r>
        <w:t xml:space="preserve"/>
      </w:r>
    </w:p>
    <w:p>
      <w:pPr>
        <w:pStyle w:val="BodyText"/>
      </w:pPr>
      <w:r>
        <w:t xml:space="preserve">可行性来自三点。第一，赛力斯公开资料显示其已具备全过程质量数据采集、异常定位、控线和一车一档基础，说明数据源和场景具备建设条件。第二，飞书Aily、多维表格和机器人卡片可以轻量嵌入现有组织流程，不需要一开始重构MES或QMS。第三，方案采用离线回放、影子运行、协同闭环、产线复制的渐进路线，先辅助决策，不直接触碰控制层和最终放行权限。</w:t>
      </w:r>
    </w:p>
    <w:p>
      <w:r>
        <w:t xml:space="preserve"/>
      </w:r>
    </w:p>
    <w:p>
      <w:pPr>
        <w:pStyle w:val="BodyText"/>
      </w:pPr>
      <w:r>
        <w:t xml:space="preserve">推广路径分四步。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30天：完成总装拧紧和焊装点焊两类工况的数据字段梳理、本体建模、历史案例导入和飞书多维表格配置。</w:t>
      </w:r>
    </w:p>
    <w:p>
      <w:pPr>
        <w:pStyle w:val="ListParagraph"/>
        <w:numPr>
          <w:ilvl w:val="0"/>
          <w:numId w:val="2"/>
        </w:numPr>
      </w:pPr>
      <w:r>
        <w:t xml:space="preserve">60天：上线GraphRAG证据检索、风险分级规则、Aily查询入口和机器人卡片通知，以影子模式验证P1/P2事件识别质量。</w:t>
      </w:r>
    </w:p>
    <w:p>
      <w:pPr>
        <w:pStyle w:val="ListParagraph"/>
        <w:numPr>
          <w:ilvl w:val="0"/>
          <w:numId w:val="2"/>
        </w:numPr>
      </w:pPr>
      <w:r>
        <w:t xml:space="preserve">90天：扩展涂装烘干和压铸冷却工况，建立复盘回写机制，形成事件准确率、定位时长、任务关闭率和重复问题下降看板。</w:t>
      </w:r>
    </w:p>
    <w:p>
      <w:pPr>
        <w:pStyle w:val="ListParagraph"/>
        <w:numPr>
          <w:ilvl w:val="0"/>
          <w:numId w:val="2"/>
        </w:numPr>
      </w:pPr>
      <w:r>
        <w:t xml:space="preserve">复制推广：将“设备-参数-质量特性-影响范围-处置任务-复盘知识”模板扩展到电驱装配、电池包气密、整车标定、供应链来料质量和路试问题闭环。</w:t>
      </w:r>
    </w:p>
    <w:p>
      <w:r>
        <w:t xml:space="preserve"/>
      </w:r>
    </w:p>
    <w:p>
      <w:pPr>
        <w:pStyle w:val="Heading1"/>
        <w:keepNext/>
      </w:pPr>
      <w:r>
        <w:t xml:space="preserve">十、成果物与材料链接</w:t>
      </w:r>
    </w:p>
    <w:p>
      <w:r>
        <w:t xml:space="preserve"/>
      </w:r>
    </w:p>
    <w:p>
      <w:pPr>
        <w:pStyle w:val="BodyText"/>
      </w:pPr>
      <w:r>
        <w:t xml:space="preserve">本项目已形成可运行工作台、结构化数据样例、知识图谱样例、飞书字段设计、完整案例文档和GitHub公开仓库。</w:t>
      </w:r>
    </w:p>
    <w:p>
      <w:r>
        <w:t xml:space="preserve"/>
      </w:r>
    </w:p>
    <w:tbl>
      <w:tblPr>
        <w:tblStyle w:val="TableGrid"/>
        <w:tblW w:w="9360" w:type="dxa"/>
        <w:tblLayout w:type="fixed"/>
        <w:tblBorders>
          <w:top w:val="single" w:sz="4" w:color="CCD6E0"/>
          <w:left w:val="single" w:sz="4" w:color="CCD6E0"/>
          <w:bottom w:val="single" w:sz="4" w:color="CCD6E0"/>
          <w:right w:val="single" w:sz="4" w:color="CCD6E0"/>
          <w:insideH w:val="single" w:sz="4" w:color="CCD6E0"/>
          <w:insideV w:val="single" w:sz="4" w:color="CCD6E0"/>
        </w:tblBorders>
      </w:tblPr>
      <w:tblGrid>
        <w:gridCol w:w="2200"/>
        <w:gridCol w:w="7160"/>
      </w:tblGrid>
      <w:tr>
        <w:tc>
          <w:tcPr>
            <w:tcW w:w="220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成果物</w:t>
            </w:r>
          </w:p>
        </w:tc>
        <w:tc>
          <w:tcPr>
            <w:tcW w:w="7160" w:type="dxa"/>
            <w:shd w:fill="EAF2F8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rPr>
                <w:b/>
              </w:rPr>
              <w:t xml:space="preserve">说明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交互工作台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`app/index.html`，支持异常注入、数字员工对话、证据链、任务看板和多维表格记录展示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知识底座样例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`data/quality_ontology.jsonld`、`data/quality_cases.json`、`data/interactive_scenarios.json`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推理脚本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`scripts/run_quality_agent.py`，输出风险等级、根因假设、证据链和飞书字段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飞书设计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`data/feishu_bitable_schema.csv`、`docs/feishu-aily-bitable.md`、`docs/feishu-integration-guide.md`</w:t>
            </w:r>
          </w:p>
        </w:tc>
      </w:tr>
      <w:tr>
        <w:tc>
          <w:tcPr>
            <w:tcW w:w="220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完整材料</w:t>
            </w:r>
          </w:p>
        </w:tc>
        <w:tc>
          <w:tcPr>
            <w:tcW w:w="7160" w:type="dxa"/>
            <w:tcMar>
              <w:top w:w="120" w:type="dxa"/>
              <w:bottom w:w="120" w:type="dxa"/>
              <w:start w:w="160" w:type="dxa"/>
              <w:end w:w="160" w:type="dxa"/>
            </w:tcMar>
          </w:tcPr>
          <w:p>
            <w:r>
              <w:t xml:space="preserve">`提交材料/00-08` 文档，覆盖报名文本、开题报告、方案书、案例、创新点和决赛完整方案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r>
        <w:rPr>
          <w:b/>
          <w:color w:val="1F4D78"/>
        </w:rPr>
        <w:t xml:space="preserve">GitHub公开仓库：</w:t>
      </w:r>
      <w:r>
        <w:t xml:space="preserve">https://github.com/zhijinDeng/Seris</w:t>
      </w:r>
    </w:p>
    <w:p>
      <w:r>
        <w:t xml:space="preserve"/>
      </w:r>
    </w:p>
    <w:p>
      <w:pPr>
        <w:pStyle w:val="Heading1"/>
        <w:keepNext/>
      </w:pPr>
      <w:r>
        <w:t xml:space="preserve">十一、参考资料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新华网：《赛力斯超级工厂树立行业标杆 以智能制造加速发展新质生产力》。</w:t>
      </w:r>
    </w:p>
    <w:p>
      <w:pPr>
        <w:pStyle w:val="ListParagraph"/>
        <w:numPr>
          <w:ilvl w:val="0"/>
          <w:numId w:val="2"/>
        </w:numPr>
      </w:pPr>
      <w:r>
        <w:t xml:space="preserve">华为企业业务：《解码赛力斯超级工厂智慧园区，共启“智”造新时代》。</w:t>
      </w:r>
    </w:p>
    <w:p>
      <w:pPr>
        <w:pStyle w:val="ListParagraph"/>
        <w:numPr>
          <w:ilvl w:val="0"/>
          <w:numId w:val="2"/>
        </w:numPr>
      </w:pPr>
      <w:r>
        <w:t xml:space="preserve">华为数字能源：《赛力斯超级工厂的“超级大脑”》。</w:t>
      </w:r>
    </w:p>
    <w:p>
      <w:pPr>
        <w:pStyle w:val="ListParagraph"/>
        <w:numPr>
          <w:ilvl w:val="0"/>
          <w:numId w:val="2"/>
        </w:numPr>
      </w:pPr>
      <w:r>
        <w:t xml:space="preserve">飞书开放平台：多维表格记录接口、自定义机器人、Aily相关资料。</w:t>
      </w:r>
    </w:p>
    <w:p>
      <w:pPr>
        <w:pStyle w:val="ListParagraph"/>
        <w:numPr>
          <w:ilvl w:val="0"/>
          <w:numId w:val="2"/>
        </w:numPr>
      </w:pPr>
      <w:r>
        <w:t xml:space="preserve">Interactive and Intelligent Root Cause Analysis in Manufacturing Processes。</w:t>
      </w:r>
    </w:p>
    <w:p>
      <w:pPr>
        <w:pStyle w:val="ListParagraph"/>
        <w:numPr>
          <w:ilvl w:val="0"/>
          <w:numId w:val="2"/>
        </w:numPr>
      </w:pPr>
      <w:r>
        <w:t xml:space="preserve">Document GraphRAG: Knowledge Graph Enhanced Retrieval Augmented Generation for Document Question Answering Within the Manufacturing Domain。</w:t>
      </w:r>
    </w:p>
    <w:p>
      <w:pPr>
        <w:pStyle w:val="ListParagraph"/>
        <w:numPr>
          <w:ilvl w:val="0"/>
          <w:numId w:val="2"/>
        </w:numPr>
      </w:pPr>
      <w:r>
        <w:t xml:space="preserve">An Intelligent Quality Control Method for Manufacturing Processes Based on a Human-Cyber-Physical Knowledge Graph。</w:t>
      </w:r>
    </w:p>
    <w:p>
      <w:pPr>
        <w:pStyle w:val="ListParagraph"/>
        <w:numPr>
          <w:ilvl w:val="0"/>
          <w:numId w:val="2"/>
        </w:numPr>
      </w:pPr>
      <w:r>
        <w:t xml:space="preserve">ProQ-KG: Integrated Cyber-Physical Production System Knowledge Graph for Quality Issue Analysis。</w:t>
      </w:r>
    </w:p>
    <w:p>
      <w:pPr>
        <w:pStyle w:val="ListParagraph"/>
        <w:numPr>
          <w:ilvl w:val="0"/>
          <w:numId w:val="2"/>
        </w:numPr>
      </w:pPr>
      <w:r>
        <w:t xml:space="preserve">Data-driven and Knowledge-based Predictive Maintenance Method for Industrial Robots。</w:t>
      </w:r>
    </w:p>
    <w:sectPr>
      <w:pgSz w:w="12240" w:h="15840"/>
      <w:pgMar w:top="1260" w:right="1260" w:bottom="1260" w:left="126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76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220"/>
    </w:pPr>
    <w:rPr>
      <w:rFonts w:ascii="Calibri" w:eastAsia="Microsoft YaHei" w:hAnsi="Calibri"/>
      <w:b/>
      <w:sz w:val="34"/>
      <w:szCs w:val="34"/>
      <w:color w:val="0B2545"/>
    </w:rPr>
  </w:style>
  <w:style w:type="paragraph" w:styleId="Subtitle">
    <w:name w:val="Subtitle"/>
    <w:pPr>
      <w:spacing w:after="260"/>
    </w:pPr>
    <w:rPr>
      <w:rFonts w:ascii="Calibri" w:eastAsia="Microsoft YaHei" w:hAnsi="Calibri"/>
      <w:sz w:val="23"/>
      <w:szCs w:val="23"/>
      <w:color w:val="4F637A"/>
    </w:rPr>
  </w:style>
  <w:style w:type="paragraph" w:styleId="Heading1">
    <w:name w:val="heading 1"/>
    <w:pPr>
      <w:keepNext/>
      <w:spacing w:before="340" w:after="160"/>
    </w:pPr>
    <w:rPr>
      <w:rFonts w:ascii="Calibri" w:eastAsia="Microsoft YaHei" w:hAnsi="Calibri"/>
      <w:b/>
      <w:sz w:val="30"/>
      <w:szCs w:val="30"/>
      <w:color w:val="1F4D78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5"/>
      <w:szCs w:val="25"/>
      <w:color w:val="2E5E87"/>
    </w:rPr>
  </w:style>
  <w:style w:type="paragraph" w:styleId="BodyText">
    <w:name w:val="Body Text"/>
    <w:basedOn w:val="Normal"/>
    <w:pPr>
      <w:spacing w:after="130" w:line="288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