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赛力斯2025年年度报告披露工业AI大模型、行业首创智能连接工艺系统和36,000+质量点位全自动实时监控，并强调“信息—决策—行动”闭环。公司最新业务参考材料进一步确认，现有设备数字化管理已覆盖设备类型、实例台账、运行采集、维修工单、故障模式、点检与保养。赛题不是从零开始做数据化，而是让这些已有对象在异常发生前后形成跨系统、跨角色、可验证的主动风险闭环。</w:t>
      </w:r>
    </w:p>
    <w:p>
      <w:r>
        <w:t xml:space="preserve"/>
      </w:r>
    </w:p>
    <w:p>
      <w:pPr>
        <w:pStyle w:val="BodyText"/>
      </w:pPr>
      <w:r>
        <w:t xml:space="preserve">赛事脱敏数据包含625类设备、9673台实例、336项功能、1287条故障模式和406张工单。数据审计发现：设备实例到类型覆盖率100%，工单到设备关联率94.33%，但工单到故障模式关联率仅17.49%，类型一致完整结构链仅15.27%；316张工单已关闭，286张仍未形成确认原因。某安全防护设备121张工单中119张已关闭、120张未形成确认原因、0张关联故障模式。作品据此把“闭而未解”作为企业主案例：流程关闭不代表风险知识可复用，数字员工必须主动识别并补齐检查、复机和标准更新证据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首先复用企业数据中的“设备类型—设备实例—设备功能—维修工单—故障模式”主链，再连接工位、工序、工艺参数、质量特性、PFMEA、控制计划、VIN/零件批次、人员角色、复机确认和标准变更，形成设备运维知识与产品质量影响相互校验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生产形态先沿图谱路径收敛上下文，再从SOP、FMEA、历史8D、维修记录和检测规范中提取证据；当前作品以36个实例节点、32条关系边和带来源片段的有界路径验证两类检索：实时事件沿设备—参数—质量—车辆路径圈定影响，知识债事件沿实例—类型—功能—同类设备—工单—故障模式路径迁移证据。候选只生成检查任务，不能自动成为根因或主数据关系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六类能力：主动巡检参数流和告警流；审计已关闭工单的知识完整性；用风险规则进行P1/P2/P3分级；生成候选根因、影响范围和证据链；通过飞书Aily、多维表格、任务和卡片组织检查与复机；在复检、责任确认和审批齐全后生成知识与标准回写草案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七层：现场与边缘层只读接入MES、QMS、SCADA/PLC、视觉检测和设备点检；事件与数据质量层执行Schema、序列、时钟、量纲、校准和对象绑定准入；质量知识底座层建立设备、工位、参数、质量特性、缺陷模式和任务关系；风险检测层组合工艺窗口、EWMA、CUSUM、残差和设备寿命；GraphRAG与因果保障层执行受约束检索、Top-3和反事实更新；Agent与策略层控制状态机、模式权限和关闭条件；飞书与治理层承接Base、任务、审批、文档、事件订阅与审计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“闭而未解”审计、一机一知识链、一车一因果链、影响范围圈定、根因Top-K与反证、飞书任务派发、复机/关闭校验、审批后知识回写和指标看板。企业脱敏数据主案例验证工单知识债发现，四个工程仿真工况验证总装拧紧、焊装点焊、涂装烘干和压铸冷却的实时风险机制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区分“流程关闭”和“知识关闭”。传统系统的工单状态关闭后，原因、故障模式、检查方法和复机依据仍可能缺失；本方案主动审计这类知识债，把事件推进到“补证—确认—标准变更—受控回写”。对实时异常，则继续执行“圈定影响—解释依据—派发任务—关闭校验—知识回写”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p>
      <w:r>
        <w:t xml:space="preserve"/>
      </w:r>
    </w:p>
    <w:p>
      <w:pPr>
        <w:pStyle w:val="Heading1"/>
        <w:keepNext/>
      </w:pPr>
      <w:r>
        <w:t xml:space="preserve">十二、决赛版系统实装</w:t>
      </w:r>
    </w:p>
    <w:p>
      <w:r>
        <w:t xml:space="preserve"/>
      </w:r>
    </w:p>
    <w:p>
      <w:pPr>
        <w:pStyle w:val="BodyText"/>
      </w:pPr>
      <w:r>
        <w:t xml:space="preserve">作品已从概念架构推进到可运行链路。互动工作台新增企业数据页，可复现625/9673/336/1287/406对象规模、关系漏斗和121工单“闭而未解”主案例，并可逐步运行GraphRAG审计；实时风险工作台保留动态产线、弱信号前置量、Top-3反事实验证、一车一因果链、五门关闭、故障降级、飞书执行轨迹和试点就绪门。企业材料结论、脱敏数据分析、工程仿真和试点目标在页面及文档中分别标识。</w:t>
      </w:r>
    </w:p>
    <w:p>
      <w:r>
        <w:t xml:space="preserve"/>
      </w:r>
    </w:p>
    <w:p>
      <w:pPr>
        <w:pStyle w:val="BodyText"/>
      </w:pPr>
      <w:r>
        <w:t xml:space="preserve">飞书能力采用分层核验：Base解析、13字段事件表、记录写入和读取回验已经在线完成；事件`CASE-TQ-20260719-01`保留任务与复盘文档对象样例；机器人卡片、Aily、原生审批、企业角色映射和事件消费者列为生产部署项。该口径既证明协同对象可形成，也不把对象样例等同于六表自动闭环现网运行。</w:t>
      </w:r>
    </w:p>
    <w:p>
      <w:r>
        <w:t xml:space="preserve"/>
      </w:r>
    </w:p>
    <w:p>
      <w:pPr>
        <w:pStyle w:val="Heading1"/>
        <w:keepNext/>
      </w:pPr>
      <w:r>
        <w:t xml:space="preserve">十三、数据、模型与治理设计</w:t>
      </w:r>
    </w:p>
    <w:p>
      <w:r>
        <w:t xml:space="preserve"/>
      </w:r>
    </w:p>
    <w:p>
      <w:pPr>
        <w:pStyle w:val="BodyText"/>
      </w:pPr>
      <w:r>
        <w:t xml:space="preserve">主动发现采用四级检测栈：数据质量门先检查事件时间、采集时间、序列号、采样率、缺失、量纲、校准状态和VIN/批次绑定；硬规则保证安全底线；EWMA、CUSUM和指令—反馈残差识别尚未触发停机的缓慢漂移；知识关系校验异常是否关联关键质量特性、PFMEA和历史案例。前置量按“下游检验理论发现时点-统计信号与知识关系首次形成最小证据共识时点”计算。四场景18至46分钟为脱敏仿真计算，试点以中位数不少于10分钟为目标，并同时考核召回率、误报率和人工驳回率。</w:t>
      </w:r>
    </w:p>
    <w:p>
      <w:r>
        <w:t xml:space="preserve"/>
      </w:r>
    </w:p>
    <w:p>
      <w:pPr>
        <w:pStyle w:val="BodyText"/>
      </w:pPr>
      <w:r>
        <w:t xml:space="preserve">因果推理不输出未经验证的唯一答案。每个Top-3候选同时保存支持证据、冲突证据、反证动作和置信度，并经过数据完整、时序先行、机理一致、同位复现和干预可证伪五项决策前护栏。现场处置关闭检查源数据、影响范围、物理复检、授权确认、任务完成与知识草案入审；知识债事件再跟踪标准审批、主平台回写和有效性观察。模型只负责解释和生成草案。</w:t>
      </w:r>
    </w:p>
    <w:p>
      <w:r>
        <w:t xml:space="preserve"/>
      </w:r>
    </w:p>
    <w:p>
      <w:pPr>
        <w:pStyle w:val="BodyText"/>
      </w:pPr>
      <w:r>
        <w:t xml:space="preserve">数据侧建立三类契约。事实数据包括设备参数、告警、MES过站、质量检测和维修记录；知识数据包括FMEA、控制计划、SOP、8D和专家规则；协同数据包括责任人、任务状态、SLA、附件和关闭结论。所有数据记录事件时间、来源系统、版本和权限等级。VIN、人员和供应商信息按企业数据分类分级要求处理，公共演示只使用脱敏仿真数据。</w:t>
      </w:r>
    </w:p>
    <w:p>
      <w:r>
        <w:t xml:space="preserve"/>
      </w:r>
    </w:p>
    <w:p>
      <w:pPr>
        <w:pStyle w:val="BodyText"/>
      </w:pPr>
      <w:r>
        <w:t xml:space="preserve">模型侧采用“规则兜底、图谱收敛、模型排序、专家确认”。硬工艺窗口和安全规则优先；图谱限制检索路径与因果方向；时序模型识别漂移、连续性和共振特征；大模型只在有证据上下文时生成解释和任务草案。每条结论输出证据ID、置信度、数据时间和可证伪条件。评测集按产线、风险等级和新旧设备分层，防止同一案例跨训练与测试泄漏。</w:t>
      </w:r>
    </w:p>
    <w:p>
      <w:r>
        <w:t xml:space="preserve"/>
      </w:r>
    </w:p>
    <w:p>
      <w:pPr>
        <w:pStyle w:val="BodyText"/>
      </w:pPr>
      <w:r>
        <w:t xml:space="preserve">治理侧设置P1人工确认、低置信降级、数据缺失停派、人工结论冲突升级和全链路审计。停用触发包括关键数据延迟超过业务窗口、核心点位缺失、同类事件误报连续超阈值、模型版本未经审批或现场出现重大人机分歧。系统可在不影响MES/QMS和控制层的情况下退回只读监测模式。</w:t>
      </w:r>
    </w:p>
    <w:p>
      <w:r>
        <w:t xml:space="preserve"/>
      </w:r>
    </w:p>
    <w:p>
      <w:pPr>
        <w:pStyle w:val="Heading1"/>
        <w:keepNext/>
      </w:pPr>
      <w:r>
        <w:t xml:space="preserve">十四、试点验收合同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口径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退出条件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历史回放与影子运行重大风险事件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出现重大漏判立即停用并复盘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与质量工程师最终确认根因比对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连续两周低于70%暂停推广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与最终隔离VIN/批次比对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过度圈定或漏圈定超阈值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飞书派发时长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事件触发到任务创建时间戳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API异常时退回人工流程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范围、复检、授权、任务与回写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任一缺失均不得关闭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低于阈值退回数据治理阶段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控制参数修改、未经授权放行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任一次即停用相关能力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十五、生产运行保障与责任链</w:t>
      </w:r>
    </w:p>
    <w:p>
      <w:r>
        <w:t xml:space="preserve"/>
      </w:r>
    </w:p>
    <w:p>
      <w:pPr>
        <w:pStyle w:val="BodyText"/>
      </w:pPr>
      <w:r>
        <w:t xml:space="preserve">系统设置影子验证、协同执行和生产受控三种模式，并用L0/L2/L3权限区分只读回放、飞书派单和经审批的受控写入。数据延迟时冻结新增推理；图谱不可用时切换规则与控制计划只读包；飞书中断时写入本地Outbox并按事件ID幂等补偿。质量工程师确认风险受理，检测人员签署复检实测和量具状态，设备/工艺岗位签署纠正措施与首件，质量负责人审核最终关闭依据。系统不直接修改PLC/SCADA参数，不替代质量放行。</w:t>
      </w:r>
    </w:p>
    <w:p>
      <w:r>
        <w:t xml:space="preserve"/>
      </w:r>
    </w:p>
    <w:p>
      <w:pPr>
        <w:pStyle w:val="Heading1"/>
        <w:keepNext/>
      </w:pPr>
      <w:r>
        <w:t xml:space="preserve">十六、依据来源</w:t>
      </w:r>
    </w:p>
    <w:p>
      <w:r>
        <w:t xml:space="preserve"/>
      </w:r>
    </w:p>
    <w:p>
      <w:pPr>
        <w:pStyle w:val="BodyText"/>
      </w:pPr>
      <w:r>
        <w:t xml:space="preserve">方案依据赛力斯集团2025年年度报告、2024年年度报告、2025年半年度报告和2024年ESG报告；技术依据包括电动车制造交互式根因分析、Root-KGD、Document GraphRAG和反事实根因分析；制造架构与治理依据包括ISO 23247、OPC UA for ISA-95、AIAG Control Plan、NIST AI RMF和NIST SP 800-82 Rev.3；飞书能力依据来自多维表格、任务、消息卡片、文档、工作流和事件订阅官方资料。完整目录和链接见`04_参考文献与数据依据`。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