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一、工作台入口</w:t>
      </w:r>
    </w:p>
    <w:p>
      <w:r>
        <w:t xml:space="preserve"/>
      </w:r>
    </w:p>
    <w:p>
      <w:pPr>
        <w:pStyle w:val="BodyText"/>
      </w:pPr>
      <w:r>
        <w:t xml:space="preserve">下载仓库后打开`app/index.html`进入知质·灵巡质量指挥台。系统无需安装前端依赖，包含实时管控、企业数据、知识推理、飞书协同和价值验证五个工作域。</w:t>
      </w:r>
    </w:p>
    <w:p>
      <w:r>
        <w:t xml:space="preserve"/>
      </w:r>
    </w:p>
    <w:p>
      <w:pPr>
        <w:pStyle w:val="BodyText"/>
      </w:pPr>
      <w:r>
        <w:t xml:space="preserve">企业数据区展示赛事脱敏数据的625类设备、9673台实例、336项功能、1287条故障模式、406张工单及关系漏斗，可运行121工单“闭而未解”审计。实时管控区按当前事件动态点亮产线并使用回放时钟，展示风险队列、数字员工身份、弱信号、前置量、趋势、影响对象和处置安全门。知识推理区展示关系图查询路径、稳定H编号与Rank、支持/冲突证据、反事实实验台、一车一因果链和五项关闭门。飞书协同区展示知识债/质量事件、诊断任务、现场检查、复机确认、标准变更审批与平台回写回执六对象轨迹。</w:t>
      </w:r>
    </w:p>
    <w:p>
      <w:r>
        <w:t xml:space="preserve"/>
      </w:r>
    </w:p>
    <w:p>
      <w:pPr>
        <w:pStyle w:val="Heading1"/>
        <w:keepNext/>
      </w:pPr>
      <w:r>
        <w:t xml:space="preserve">二、完整演示流程</w:t>
      </w:r>
    </w:p>
    <w:p>
      <w:r>
        <w:t xml:space="preserve"/>
      </w:r>
    </w:p>
    <w:p>
      <w:pPr>
        <w:pStyle w:val="ListParagraph"/>
      </w:pPr>
      <w:r>
        <w:t xml:space="preserve">1. 先进入“企业数据”，点击“运行关系审计”，查看数字员工如何从406张工单主动定位121张重复工单中的知识债，并打开完整证据链。</w:t>
      </w:r>
    </w:p>
    <w:p>
      <w:pPr>
        <w:pStyle w:val="ListParagraph"/>
      </w:pPr>
      <w:r>
        <w:t xml:space="preserve">2. 点击“注入下一工况”，观察事件从主动感知、图谱收敛、证据推理推进到飞书执行。</w:t>
      </w:r>
    </w:p>
    <w:p>
      <w:pPr>
        <w:pStyle w:val="ListParagraph"/>
      </w:pPr>
      <w:r>
        <w:t xml:space="preserve">3. 查看弱信号、多引擎共识、缺陷显性化前置量、工艺参数趋势和P1/P2分级依据。</w:t>
      </w:r>
    </w:p>
    <w:p>
      <w:pPr>
        <w:pStyle w:val="ListParagraph"/>
      </w:pPr>
      <w:r>
        <w:t xml:space="preserve">4. 在数字员工窗口追问如何提前发现、因果结论是否可信、影响VIN、飞书任务或关闭条件；每个回答下方可打开E1/E2、规则包和知识版本依据，也可输入自定义问题。</w:t>
      </w:r>
    </w:p>
    <w:p>
      <w:pPr>
        <w:pStyle w:val="ListParagraph"/>
      </w:pPr>
      <w:r>
        <w:t xml:space="preserve">5. 点击不同VIN/零件查看对象级过程档案；核查Top-3支持/冲突证据、反证动作和五项因果护栏；点击“查看完整证据”或导出JSON证据包。</w:t>
      </w:r>
    </w:p>
    <w:p>
      <w:pPr>
        <w:pStyle w:val="ListParagraph"/>
      </w:pPr>
      <w:r>
        <w:t xml:space="preserve">6. 在反事实验证台选择对照动作。首次选择仅装载实测项目和验收准则；点击“提交脱敏实测并签署”后，系统才更新Top-3后验并通过物理证据门。</w:t>
      </w:r>
    </w:p>
    <w:p>
      <w:pPr>
        <w:pStyle w:val="ListParagraph"/>
      </w:pPr>
      <w:r>
        <w:t xml:space="preserve">7. 点击“派发飞书闭环”和“人工确认处置”，再点击“验收任务与知识草案”。该动作独立保存任务完成、复检附件和变更草案入审状态。</w:t>
      </w:r>
    </w:p>
    <w:p>
      <w:pPr>
        <w:pStyle w:val="ListParagraph"/>
      </w:pPr>
      <w:r>
        <w:t xml:space="preserve">8. 点击“验证并关闭”。未完成物理复检、授权确认或任务/知识草案验收时按钮保持禁用；现场处置关闭后，标准审批、主平台回写和有效性观察仍由独立知识债事件跟踪。</w:t>
      </w:r>
    </w:p>
    <w:p>
      <w:pPr>
        <w:pStyle w:val="ListParagraph"/>
      </w:pPr>
      <w:r>
        <w:t xml:space="preserve">9. 切换“影子验证”确认派单与关闭被L0策略阻断；点击“生产受控”确认浏览器不能授予L3；再注入数据延迟、图谱不可用和飞书中断验证安全降级。</w:t>
      </w:r>
    </w:p>
    <w:p>
      <w:pPr>
        <w:pStyle w:val="ListParagraph"/>
      </w:pPr>
      <w:r>
        <w:t xml:space="preserve">10. 打开Base写入回读证据、任务和复盘文档对象样例，核对页面的能力分层说明。</w:t>
      </w:r>
    </w:p>
    <w:p>
      <w:r>
        <w:t xml:space="preserve"/>
      </w:r>
    </w:p>
    <w:p>
      <w:pPr>
        <w:pStyle w:val="Heading1"/>
        <w:keepNext/>
      </w:pPr>
      <w:r>
        <w:t xml:space="preserve">三、飞书在线对象</w:t>
      </w:r>
    </w:p>
    <w:p>
      <w:r>
        <w:t xml:space="preserve"/>
      </w:r>
    </w:p>
    <w:p>
      <w:pPr>
        <w:pStyle w:val="BodyText"/>
      </w:pPr>
      <w:r>
        <w:t xml:space="preserve">质量事件Base：`https://larkcommunity.feishu.cn/base/DYAabhZeiagT0ZsjGaTcWFPrn7b?table=tblFo5Btaj0IBXiD`</w:t>
      </w:r>
    </w:p>
    <w:p>
      <w:r>
        <w:t xml:space="preserve"/>
      </w:r>
    </w:p>
    <w:p>
      <w:pPr>
        <w:pStyle w:val="BodyText"/>
      </w:pPr>
      <w:r>
        <w:t xml:space="preserve">飞书任务：`https://applink.feishu.cn/client/todo/detail?guid=f10d51e5-cc8e-4c71-9441-cd29a77feacf`</w:t>
      </w:r>
    </w:p>
    <w:p>
      <w:r>
        <w:t xml:space="preserve"/>
      </w:r>
    </w:p>
    <w:p>
      <w:pPr>
        <w:pStyle w:val="BodyText"/>
      </w:pPr>
      <w:r>
        <w:t xml:space="preserve">复盘文档：`https://larkcommunity.feishu.cn/docx/PjludNq8foBhkrxV8VQccsldneb`</w:t>
      </w:r>
    </w:p>
    <w:p>
      <w:r>
        <w:t xml:space="preserve"/>
      </w:r>
    </w:p>
    <w:p>
      <w:pPr>
        <w:pStyle w:val="BodyText"/>
      </w:pPr>
      <w:r>
        <w:t xml:space="preserve">Base表ID为`tblFo5Btaj0IBXiD`，包含13个质量事件字段并已完成写入回读。任务和复盘文档作为同一事件`CASE-TQ-20260719-01`的对象样例；企业角色映射、原生审批、卡片回调和事件消费者仍需生产部署。</w:t>
      </w:r>
    </w:p>
    <w:p>
      <w:r>
        <w:t xml:space="preserve"/>
      </w:r>
    </w:p>
    <w:p>
      <w:pPr>
        <w:pStyle w:val="Heading1"/>
        <w:keepNext/>
      </w:pPr>
      <w:r>
        <w:t xml:space="preserve">四、命令行验证</w:t>
      </w:r>
    </w:p>
    <w:p>
      <w:r>
        <w:t xml:space="preserve"/>
      </w:r>
    </w:p>
    <w:p>
      <w:pPr>
        <w:pStyle w:val="BodyText"/>
      </w:pPr>
      <w:r>
        <w:t xml:space="preserve">```powershell</w:t>
      </w:r>
    </w:p>
    <w:p>
      <w:pPr>
        <w:pStyle w:val="BodyText"/>
      </w:pPr>
      <w:r>
        <w:t xml:space="preserve">py scripts\test_event_contract.py</w:t>
      </w:r>
    </w:p>
    <w:p>
      <w:pPr>
        <w:pStyle w:val="BodyText"/>
      </w:pPr>
      <w:r>
        <w:t xml:space="preserve">py scripts\test_company_audit.py</w:t>
      </w:r>
    </w:p>
    <w:p>
      <w:pPr>
        <w:pStyle w:val="BodyText"/>
      </w:pPr>
      <w:r>
        <w:t xml:space="preserve">py scripts\run_quality_agent.py</w:t>
      </w:r>
    </w:p>
    <w:p>
      <w:pPr>
        <w:pStyle w:val="BodyText"/>
      </w:pPr>
      <w:r>
        <w:t xml:space="preserve">py scripts\run_quality_agent.py --company-audit</w:t>
      </w:r>
    </w:p>
    <w:p>
      <w:pPr>
        <w:pStyle w:val="BodyText"/>
      </w:pPr>
      <w:r>
        <w:t xml:space="preserve">py scripts\run_quality_agent.py --event CASE-TQ-20260719-01 --intervention socket-replace --mode collaborative --json</w:t>
      </w:r>
    </w:p>
    <w:p>
      <w:pPr>
        <w:pStyle w:val="BodyText"/>
      </w:pPr>
      <w:r>
        <w:t xml:space="preserve">powershell -ExecutionPolicy Bypass -File scripts\orchestrate_feishu_quality_event.ps1 -WriteBase -CreateTask -CreateReviewDoc -DryRun</w:t>
      </w:r>
    </w:p>
    <w:p>
      <w:pPr>
        <w:pStyle w:val="BodyText"/>
      </w:pPr>
      <w:r>
        <w:t xml:space="preserve">node --check app\app.js</w:t>
      </w:r>
    </w:p>
    <w:p>
      <w:pPr>
        <w:pStyle w:val="BodyText"/>
      </w:pPr>
      <w:r>
        <w:t xml:space="preserve">node --check app\dashboard.js</w:t>
      </w:r>
    </w:p>
    <w:p>
      <w:pPr>
        <w:pStyle w:val="BodyText"/>
      </w:pPr>
      <w:r>
        <w:t xml:space="preserve">py scripts\audit_materials.py</w:t>
      </w:r>
    </w:p>
    <w:p>
      <w:pPr>
        <w:pStyle w:val="BodyText"/>
      </w:pPr>
      <w:r>
        <w:t xml:space="preserve">```</w:t>
      </w:r>
    </w:p>
    <w:p>
      <w:r>
        <w:t xml:space="preserve"/>
      </w:r>
    </w:p>
    <w:p>
      <w:pPr>
        <w:pStyle w:val="BodyText"/>
      </w:pPr>
      <w:r>
        <w:t xml:space="preserve">不带`-DryRun`时，编排脚本可以创建飞书任务和复盘文档。消息发送默认关闭，只有明确指定收件人、内容和发送身份并传入确认开关后才执行。</w:t>
      </w:r>
    </w:p>
    <w:p>
      <w:r>
        <w:t xml:space="preserve"/>
      </w:r>
    </w:p>
    <w:p>
      <w:pPr>
        <w:pStyle w:val="Heading1"/>
        <w:keepNext/>
      </w:pPr>
      <w:r>
        <w:t xml:space="preserve">五、演示与生产边界</w:t>
      </w:r>
    </w:p>
    <w:p>
      <w:r>
        <w:t xml:space="preserve"/>
      </w:r>
    </w:p>
    <w:p>
      <w:pPr>
        <w:pStyle w:val="BodyText"/>
      </w:pPr>
      <w:r>
        <w:t xml:space="preserve">页面中的工艺参数、实测签署身份和VIN均为脱敏仿真数据，用于验证机制，不代表赛力斯真实工艺窗口或现网收益。Base写入回读已核验，任务和文档为对象样例；页面不声称完成生产实名签署或六表自动编排。生产接入需由企业确认数据字典、责任角色、职责分离、审批实例和放行权限。系统不直接修改PLC/SCADA参数，不替代质量负责人放行，不自动关闭P1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