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赛力斯企业决赛方案｜知质·灵巡：面向超级工厂的质量风险主动管控AI数字员工</w:t>
      </w:r>
    </w:p>
    <w:p>
      <w:pPr>
        <w:pStyle w:val="Subtitle"/>
      </w:pPr>
      <w:r>
        <w:t xml:space="preserve">赛力斯企业命题参赛材料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1900"/>
        <w:gridCol w:w="7460"/>
      </w:tblGrid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作品名称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知质·灵巡：面向新能源汽车智能工厂的质量风险主动管控数字员工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参赛队伍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智造知行队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数字员工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知质·灵巡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材料定位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设备质量风险主动识别、证据推理、飞书协同与复盘闭环</w:t>
            </w:r>
          </w:p>
        </w:tc>
      </w:tr>
    </w:tbl>
    <w:p>
      <w:pPr>
        <w:pStyle w:val="SmallSpace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6583680" cy="3703320"/>
            <wp:docPr id="1" name="质量风险主动管控总体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-ai-architectur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ReferenceList"/>
      </w:pPr>
      <w:r>
        <w:t xml:space="preserve">图1  质量风险主动管控AI数字员工总体架构</w:t>
      </w:r>
    </w:p>
    <w:p>
      <w:r>
        <w:br w:type="page"/>
      </w:r>
    </w:p>
    <w:p>
      <w:r>
        <w:t xml:space="preserve"/>
      </w:r>
    </w:p>
    <w:p>
      <w:pPr>
        <w:pStyle w:val="Heading1"/>
        <w:keepNext/>
      </w:pPr>
      <w:r>
        <w:t xml:space="preserve">一、参赛方案信息</w:t>
      </w:r>
    </w:p>
    <w:p>
      <w:r>
        <w:t xml:space="preserve"/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680"/>
        <w:gridCol w:w="4680"/>
      </w:tblGrid>
      <w:tr>
        <w:tc>
          <w:tcPr>
            <w:tcW w:w="4680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项目</w:t>
            </w:r>
          </w:p>
        </w:tc>
        <w:tc>
          <w:tcPr>
            <w:tcW w:w="4680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内容</w:t>
            </w:r>
          </w:p>
        </w:tc>
      </w:tr>
      <w:tr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参赛队伍</w:t>
            </w:r>
          </w:p>
        </w:tc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智造知行队</w:t>
            </w:r>
          </w:p>
        </w:tc>
      </w:tr>
      <w:tr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数字员工</w:t>
            </w:r>
          </w:p>
        </w:tc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知质·灵巡</w:t>
            </w:r>
          </w:p>
        </w:tc>
      </w:tr>
      <w:tr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岗位定位</w:t>
            </w:r>
          </w:p>
        </w:tc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面向设备与过程质量风险的主动管控数字员工</w:t>
            </w:r>
          </w:p>
        </w:tc>
      </w:tr>
      <w:tr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核心主张</w:t>
            </w:r>
          </w:p>
        </w:tc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早于缺陷发现风险，以可证伪证据收敛根因，由授权岗位完成处置与放行，并把闭环资产复制到更多工序</w:t>
            </w:r>
          </w:p>
        </w:tc>
      </w:tr>
      <w:tr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技术组合</w:t>
            </w:r>
          </w:p>
        </w:tc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质量本体、知识图谱、时序检测、GraphRAG、Autonomous Agent、飞书Aily、多维表格、任务与事件订阅</w:t>
            </w:r>
          </w:p>
        </w:tc>
      </w:tr>
      <w:tr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公开仓库</w:t>
            </w:r>
          </w:p>
        </w:tc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https://github.com/zhijinDeng/Seris</w:t>
            </w:r>
          </w:p>
        </w:tc>
      </w:tr>
    </w:tbl>
    <w:p>
      <w:pPr>
        <w:pStyle w:val="SmallSpace"/>
      </w:pPr>
      <w:r>
        <w:t xml:space="preserve"/>
      </w:r>
    </w:p>
    <w:p>
      <w:r>
        <w:t xml:space="preserve"/>
      </w:r>
    </w:p>
    <w:p>
      <w:pPr>
        <w:pStyle w:val="Heading1"/>
        <w:keepNext/>
      </w:pPr>
      <w:r>
        <w:t xml:space="preserve">二、整体概述：在既有数智质量基础上补齐主动行动层</w:t>
      </w:r>
    </w:p>
    <w:p>
      <w:r>
        <w:t xml:space="preserve"/>
      </w:r>
    </w:p>
    <w:p>
      <w:pPr>
        <w:pStyle w:val="BodyText"/>
      </w:pPr>
      <w:r>
        <w:t xml:space="preserve">赛力斯正在推进“产业大脑+超级工厂”引领的智能制造2.0和数智质量2.0。公司2025年年度报告进一步披露工业AI大模型、行业首创智能连接工艺系统和36,000+质量点位全自动实时监控，并以“信息—决策—行动”闭环连接生产、质量与供应链；2024年ESG报告披露超过30,000个过程质量自动化控制点、1,200余个AI质量监测点，并建立“一车一档”和“一件一档”；2025年半年度报告披露关键生产工序、焊点质量和整车静态质量的高度自动化检测基础。企业真正需要补齐的已不是“有没有数据”，而是弱信号如何形成可行动风险、跨系统证据如何收敛、处置责任如何流转、关闭结果如何成为下一次判断依据。</w:t>
      </w:r>
    </w:p>
    <w:p>
      <w:r>
        <w:t xml:space="preserve"/>
      </w:r>
    </w:p>
    <w:p>
      <w:pPr>
        <w:pStyle w:val="BodyText"/>
      </w:pPr>
      <w:r>
        <w:t xml:space="preserve">知质·灵巡不重复建设采集系统和质量看板，而是在MES、QMS、SCADA/PLC、检测系统、维修系统和一车一档之上建设质量风险决策保障层。数字员工按照“主动发现—证据推理—受控执行—确定关闭—知识回写”循环值守：先从连续时序和设备状态中发现尚未显性化的质量风险；再以知识图谱约束GraphRAG检索范围，形成Top-3候选根因、支持证据、冲突证据和反事实动作；随后通过飞书把隔离、复检、维修和首件确认分配到具体岗位；最后只有在客观复检、实名确认和审计回写完整时才允许关闭。</w:t>
      </w:r>
    </w:p>
    <w:p>
      <w:r>
        <w:t xml:space="preserve"/>
      </w:r>
    </w:p>
    <w:p>
      <w:pPr>
        <w:pStyle w:val="BodyText"/>
      </w:pPr>
      <w:r>
        <w:t xml:space="preserve">方案的企业价值不是“多发告警”，而是把每一次异常组织为一条可核验的设备质量风险线程：同一事件ID贯穿原始信号、设备与工位、VIN或零件批次、规则和知识版本、根因假设、干预结果、责任任务、复检实测、授权签署、PFMEA/控制计划变更及有效性观察。</w:t>
      </w:r>
    </w:p>
    <w:p>
      <w:r>
        <w:t xml:space="preserve"/>
      </w:r>
    </w:p>
    <w:p>
      <w:pPr>
        <w:pStyle w:val="BodyText"/>
      </w:pPr>
      <w:r>
        <w:t xml:space="preserve">公司最新业务材料显示，设备数字化管理已经覆盖标准建模、实例台账、运行监控、维修工单、故障模式、质量影响判断、复机确认和点巡检标准更新。赛事脱敏数据进一步给出625类设备、9673台实例、336项功能、1287条故障模式和406张工单。首期企业场景选择“闭而未解”审计：工单—故障模式关联率17.49%，类型一致完整结构链15.27%；某安全防护设备121张工单中119张已关闭、120张未形成确认原因、0张关联故障模式。数字员工主动识别这类知识债候选，并以现场验证和审批补齐闭环。</w:t>
      </w:r>
    </w:p>
    <w:p>
      <w:r>
        <w:t xml:space="preserve"/>
      </w:r>
    </w:p>
    <w:p>
      <w:pPr>
        <w:pStyle w:val="Heading1"/>
        <w:keepNext/>
      </w:pPr>
      <w:r>
        <w:t xml:space="preserve">三、命题要求对应</w:t>
      </w:r>
    </w:p>
    <w:p>
      <w:r>
        <w:t xml:space="preserve"/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命题要求</w:t>
            </w:r>
          </w:p>
        </w:tc>
        <w:tc>
          <w:tcPr>
            <w:tcW w:w="3120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方案响应</w:t>
            </w:r>
          </w:p>
        </w:tc>
        <w:tc>
          <w:tcPr>
            <w:tcW w:w="3120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可核验成果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智能制造知识底座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统一设备、工艺、产品、质量、PFMEA、控制计划、证据、任务和审批语义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`data/quality_ontology.jsonld`、案例库与知识路径视图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从感知到行动的自主范式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存量工单主动审计、时序弱信号、图谱收敛、反事实验证、任务编排和关闭状态机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企业数据审计、四工况互动工作台、运行脚本、事件证据包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AI数字员工落地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明确岗位职责、权限等级、人机责任链和飞书执行入口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多维表格、任务、复盘文档及飞书编排脚本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可解释与确定性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决策前因果护栏、关闭前确定性门、事件护照与版本快照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Top-3重排、五项护栏、五项关闭门、事件护照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可推广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共用事件模型和状态机，仅替换工艺适配资产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设备知识债与总装、焊装、涂装、压铸五类模板</w:t>
            </w:r>
          </w:p>
        </w:tc>
      </w:tr>
    </w:tbl>
    <w:p>
      <w:pPr>
        <w:pStyle w:val="SmallSpace"/>
      </w:pPr>
      <w:r>
        <w:t xml:space="preserve"/>
      </w:r>
    </w:p>
    <w:p>
      <w:r>
        <w:t xml:space="preserve"/>
      </w:r>
    </w:p>
    <w:p>
      <w:pPr>
        <w:pStyle w:val="Heading1"/>
        <w:keepNext/>
      </w:pPr>
      <w:r>
        <w:t xml:space="preserve">四、四步可信闭环</w:t>
      </w:r>
    </w:p>
    <w:p>
      <w:r>
        <w:t xml:space="preserve"/>
      </w:r>
    </w:p>
    <w:p>
      <w:pPr>
        <w:pStyle w:val="Heading2"/>
        <w:keepNext/>
      </w:pPr>
      <w:r>
        <w:t xml:space="preserve">1. 早发现：从越界报警升级为缺陷显性化前风险</w:t>
      </w:r>
    </w:p>
    <w:p>
      <w:r>
        <w:t xml:space="preserve"/>
      </w:r>
    </w:p>
    <w:p>
      <w:pPr>
        <w:pStyle w:val="BodyText"/>
      </w:pPr>
      <w:r>
        <w:t xml:space="preserve">边缘侧先执行时间戳、采样率、缺失率、量纲、量程、校准状态和VIN/批次绑定检查。通过数据质量门后，工艺硬规则守住安全底线，EWMA识别均值小幅漂移，CUSUM积累持续偏差，指令—反馈残差识别执行机构退化，设备寿命和知识关系提供业务约束。只有统计检测器至少一项触发、知识关系命中且能够圈定影响对象时，系统才把弱信号升级为可行动风险线程。</w:t>
      </w:r>
    </w:p>
    <w:p>
      <w:r>
        <w:t xml:space="preserve"/>
      </w:r>
    </w:p>
    <w:p>
      <w:pPr>
        <w:pStyle w:val="BodyText"/>
      </w:pPr>
      <w:r>
        <w:t xml:space="preserve">前置量按`T_downstream - T_actionable`计算。`T_actionable`为时序检测与知识关系首次形成最小证据共识的事件时刻；`T_downstream`为现行下游质量门理论可检出的时刻。前置量由时间序列实际计算，不从文案读取。脱敏总装案例中，EWMA于14:08发现偏移，14:16形成可行动共识，14:38为下游理论显性点，计算前置22分钟。</w:t>
      </w:r>
    </w:p>
    <w:p>
      <w:r>
        <w:t xml:space="preserve"/>
      </w:r>
    </w:p>
    <w:p>
      <w:pPr>
        <w:pStyle w:val="Heading2"/>
        <w:keepNext/>
      </w:pPr>
      <w:r>
        <w:t xml:space="preserve">2. 能证伪：从相关性线索升级为可干预假设</w:t>
      </w:r>
    </w:p>
    <w:p>
      <w:r>
        <w:t xml:space="preserve"/>
      </w:r>
    </w:p>
    <w:p>
      <w:pPr>
        <w:pStyle w:val="BodyText"/>
      </w:pPr>
      <w:r>
        <w:t xml:space="preserve">生产版GraphRAG先在图谱中锁定设备、工位、参数、质量特性、失效模式、PFMEA和历史案例，再检索SOP、维修记录、控制计划和历史8D。当前仓库完成了可运行的机制原型：36个实例节点、32条关系边，按事件ID执行有界关系路径检索。企业数据审计沿实例—类型—功能—同类设备—工单—故障模式形成证据链；工艺事件沿设备—参数—质量特性—VIN/批次形成影响链。输出保留来源片段、查询轨迹和原始样本哈希；候选H1/H2/H3身份与Rank分离。</w:t>
      </w:r>
    </w:p>
    <w:p>
      <w:r>
        <w:t xml:space="preserve"/>
      </w:r>
    </w:p>
    <w:p>
      <w:pPr>
        <w:pStyle w:val="BodyText"/>
      </w:pPr>
      <w:r>
        <w:t xml:space="preserve">决策前五项因果护栏分别为：数据来源和版本完整；原因信号在时间上早于质量偏离；关系符合设备与工艺机理；同设备、同工位或同批次可复现；干预结果能够增强、削弱或重排假设。互动工作台可执行两类反事实动作，干预结果会实际更新Top-3后验排序。缺少干预或物理复检证据时，关闭按钮保持禁用。</w:t>
      </w:r>
    </w:p>
    <w:p>
      <w:r>
        <w:t xml:space="preserve"/>
      </w:r>
    </w:p>
    <w:p>
      <w:pPr>
        <w:pStyle w:val="Heading2"/>
        <w:keepNext/>
      </w:pPr>
      <w:r>
        <w:t xml:space="preserve">3. 有人负责：从一个确认按钮升级为岗位责任链</w:t>
      </w:r>
    </w:p>
    <w:p>
      <w:r>
        <w:t xml:space="preserve"/>
      </w:r>
    </w:p>
    <w:p>
      <w:pPr>
        <w:pStyle w:val="BodyText"/>
      </w:pPr>
      <w:r>
        <w:t xml:space="preserve">数字员工只负责发现、收敛、解释和编排，不掌握最终放行权。质量工程师确认风险受理与隔离范围；检测人员提交复检项目、实测值、量具和校准状态并签署检测结论；设备或工艺工程师提交纠正措施与恢复后首件记录；质量负责人审核证据并决定放行、扩大范围或升级。每次操作记录人员身份、岗位角色、时间、审批范围、意见和附件。</w:t>
      </w:r>
    </w:p>
    <w:p>
      <w:r>
        <w:t xml:space="preserve"/>
      </w:r>
    </w:p>
    <w:p>
      <w:pPr>
        <w:pStyle w:val="BodyText"/>
      </w:pPr>
      <w:r>
        <w:t xml:space="preserve">飞书承担协同执行而非控制设备。多维表格保存统一事件和证据记录，任务中心承载责任人、SLA、子任务、评论与附件，消息卡片用于接单和补充证据，Aily提供事件查询与复盘入口，事件订阅回收任务状态。系统不直接修改PLC/SCADA参数，不替代质量放行，不自动关闭P1。</w:t>
      </w:r>
    </w:p>
    <w:p>
      <w:r>
        <w:t xml:space="preserve"/>
      </w:r>
    </w:p>
    <w:p>
      <w:pPr>
        <w:pStyle w:val="Heading2"/>
        <w:keepNext/>
      </w:pPr>
      <w:r>
        <w:t xml:space="preserve">4. 可复制：从单场景应用升级为质量能力资产</w:t>
      </w:r>
    </w:p>
    <w:p>
      <w:r>
        <w:t xml:space="preserve"/>
      </w:r>
    </w:p>
    <w:p>
      <w:pPr>
        <w:pStyle w:val="BodyText"/>
      </w:pPr>
      <w:r>
        <w:t xml:space="preserve">推广复用六类共用资产：事件数据契约、Agent状态机、人机权限矩阵、飞书字段、指标口径和审计规范。每条新工序只配置五类场景资产：感知适配器、工艺本体模块、规则包、案例集和物理验证方法。复制对象不是页面，而是一套能够通过相同验收合同的质量风险闭环。</w:t>
      </w:r>
    </w:p>
    <w:p>
      <w:r>
        <w:t xml:space="preserve"/>
      </w:r>
    </w:p>
    <w:p>
      <w:pPr>
        <w:pStyle w:val="Heading1"/>
        <w:keepNext/>
      </w:pPr>
      <w:r>
        <w:t xml:space="preserve">五、整体架构与核心功能模块</w:t>
      </w:r>
    </w:p>
    <w:p>
      <w:r>
        <w:t xml:space="preserve"/>
      </w:r>
    </w:p>
    <w:p>
      <w:pPr>
        <w:pStyle w:val="BodyText"/>
      </w:pPr>
      <w:r>
        <w:t xml:space="preserve">系统采用七层架构。</w:t>
      </w:r>
    </w:p>
    <w:p>
      <w:r>
        <w:t xml:space="preserve"/>
      </w:r>
    </w:p>
    <w:p>
      <w:pPr>
        <w:pStyle w:val="ListParagraph"/>
      </w:pPr>
      <w:r>
        <w:t xml:space="preserve">1. 现场与边缘层：以只读方式接入PLC/SCADA、传感器、视觉/X光、设备点检和MES过站数据；完成窗口特征、时间同步、质量码、断点续传和本地缓冲。</w:t>
      </w:r>
    </w:p>
    <w:p>
      <w:pPr>
        <w:pStyle w:val="ListParagraph"/>
      </w:pPr>
      <w:r>
        <w:t xml:space="preserve">2. 事件与数据质量层：统一事件时间、采集时间、序列号、源系统、Schema版本、单位、校准ID、缺失率、时钟偏差和VIN/批次绑定；不合格数据进入隔离区，不参与自动派单。</w:t>
      </w:r>
    </w:p>
    <w:p>
      <w:pPr>
        <w:pStyle w:val="ListParagraph"/>
      </w:pPr>
      <w:r>
        <w:t xml:space="preserve">3. 质量知识底座层：以产品—过程—资源为主骨架，关联过程功能、质量特性、失效后果、失效模式、失效原因、预防控制、探测控制、S/O/D、行动优先级、特殊特性、控制计划、历史案例和责任角色。</w:t>
      </w:r>
    </w:p>
    <w:p>
      <w:pPr>
        <w:pStyle w:val="ListParagraph"/>
      </w:pPr>
      <w:r>
        <w:t xml:space="preserve">4. 风险检测层：组合硬规则、EWMA、CUSUM、响应残差、设备寿命和图谱关系，输出弱信号时刻、可行动时刻、检测共识、风险等级和影响对象。</w:t>
      </w:r>
    </w:p>
    <w:p>
      <w:pPr>
        <w:pStyle w:val="ListParagraph"/>
      </w:pPr>
      <w:r>
        <w:t xml:space="preserve">5. GraphRAG与因果保障层：沿图谱生成受约束检索子图，整合结构化事实和文档证据，形成Top-3、冲突证据、反事实动作及后验更新。</w:t>
      </w:r>
    </w:p>
    <w:p>
      <w:pPr>
        <w:pStyle w:val="ListParagraph"/>
      </w:pPr>
      <w:r>
        <w:t xml:space="preserve">6. Agent与策略层：执行观察、研判、检索、推理、行动、复盘状态机；策略服务判断运行模式、岗位权限、数据质量和关闭条件，模型不能绕过硬规则。</w:t>
      </w:r>
    </w:p>
    <w:p>
      <w:pPr>
        <w:pStyle w:val="ListParagraph"/>
      </w:pPr>
      <w:r>
        <w:t xml:space="preserve">7. 飞书与治理层：通过Base、任务、卡片、Aily、文档和事件订阅完成协同；统一保存规则集、特征Schema、知识快照、证据哈希、审批记录、Outbox补偿和审计日志。</w:t>
      </w:r>
    </w:p>
    <w:p>
      <w:r>
        <w:t xml:space="preserve"/>
      </w:r>
    </w:p>
    <w:p>
      <w:pPr>
        <w:pStyle w:val="BodyText"/>
      </w:pPr>
      <w:r>
        <w:t xml:space="preserve">生产网络采用OT控制区、边缘区、工业DMZ和IT应用区分区。现场数据通过受控通道向上发布，数字员工到PLC的控制写入路径固定阻断；受控执行仅表示可写入MES协同状态和飞书任务，不表示具备设备控制或质量放行权限。</w:t>
      </w:r>
    </w:p>
    <w:p>
      <w:r>
        <w:t xml:space="preserve"/>
      </w:r>
    </w:p>
    <w:p>
      <w:pPr>
        <w:pStyle w:val="Heading1"/>
        <w:keepNext/>
      </w:pPr>
      <w:r>
        <w:t xml:space="preserve">六、知识底座与GraphRAG</w:t>
      </w:r>
    </w:p>
    <w:p>
      <w:r>
        <w:t xml:space="preserve"/>
      </w:r>
    </w:p>
    <w:p>
      <w:pPr>
        <w:pStyle w:val="Heading2"/>
        <w:keepNext/>
      </w:pPr>
      <w:r>
        <w:t xml:space="preserve">1. 本体范围</w:t>
      </w:r>
    </w:p>
    <w:p>
      <w:r>
        <w:t xml:space="preserve"/>
      </w:r>
    </w:p>
    <w:p>
      <w:pPr>
        <w:pStyle w:val="BodyText"/>
      </w:pPr>
      <w:r>
        <w:t xml:space="preserve">知识底座至少包含设备、工位、工序、工艺参数、质量特性、车辆、零件批次、缺陷模式、PFMEA、控制计划、检测方法、量具、维修记录、证据、干预、任务、审批和复盘。PFMEA不保存为单一“根因文本”，而是拆解为过程功能与要求、失效后果、失效模式、失效原因、预防控制、探测控制、特殊特性、严重度、频度、探测度和行动优先级。</w:t>
      </w:r>
    </w:p>
    <w:p>
      <w:r>
        <w:t xml:space="preserve"/>
      </w:r>
    </w:p>
    <w:p>
      <w:pPr>
        <w:pStyle w:val="Heading2"/>
        <w:keepNext/>
      </w:pPr>
      <w:r>
        <w:t xml:space="preserve">2. 图谱检索过程</w:t>
      </w:r>
    </w:p>
    <w:p>
      <w:r>
        <w:t xml:space="preserve"/>
      </w:r>
    </w:p>
    <w:p>
      <w:pPr>
        <w:pStyle w:val="BodyText"/>
      </w:pPr>
      <w:r>
        <w:t xml:space="preserve">事件首先按设备ID、工位ID、工艺参数和时间窗生成事实子图；再向质量特性、失效模式、PFMEA、控制计划和历史案例扩展；文档检索只在该子图约束的实体、版本和时间范围内进行。最终证据包同时保留原始点位、派生特征、关系路径、文档段落、版本、时间戳和证据哈希，避免模型脱离现场关系自由生成。</w:t>
      </w:r>
    </w:p>
    <w:p>
      <w:r>
        <w:t xml:space="preserve"/>
      </w:r>
    </w:p>
    <w:p>
      <w:pPr>
        <w:pStyle w:val="Heading2"/>
        <w:keepNext/>
      </w:pPr>
      <w:r>
        <w:t xml:space="preserve">3. 双重确定性机制</w:t>
      </w:r>
    </w:p>
    <w:p>
      <w:r>
        <w:t xml:space="preserve"/>
      </w:r>
    </w:p>
    <w:p>
      <w:pPr>
        <w:pStyle w:val="BodyText"/>
      </w:pPr>
      <w:r>
        <w:t xml:space="preserve">决策前校验解决“这个候选是否值得行动”：检查数据完整、时序先行、机理一致、同位复现和干预可证伪。现场处置关闭检查影响范围、物理复检、授权确认、责任任务和知识草案入审；知识债关闭再检查标准审批、主平台回写和有效性观察。任何一项失败都不能由模型置信度替代。</w:t>
      </w:r>
    </w:p>
    <w:p>
      <w:r>
        <w:t xml:space="preserve"/>
      </w:r>
    </w:p>
    <w:p>
      <w:pPr>
        <w:pStyle w:val="Heading1"/>
        <w:keepNext/>
      </w:pPr>
      <w:r>
        <w:t xml:space="preserve">七、核心创新：自主数字员工、反事实干预与策略运行模式</w:t>
      </w:r>
    </w:p>
    <w:p>
      <w:r>
        <w:t xml:space="preserve"/>
      </w:r>
    </w:p>
    <w:p>
      <w:pPr>
        <w:pStyle w:val="BodyText"/>
      </w:pPr>
      <w:r>
        <w:t xml:space="preserve">数字员工设有三种模式。</w:t>
      </w:r>
    </w:p>
    <w:p>
      <w:r>
        <w:t xml:space="preserve"/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模式</w:t>
            </w:r>
          </w:p>
        </w:tc>
        <w:tc>
          <w:tcPr>
            <w:tcW w:w="2340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权限</w:t>
            </w:r>
          </w:p>
        </w:tc>
        <w:tc>
          <w:tcPr>
            <w:tcW w:w="2340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外部写入</w:t>
            </w:r>
          </w:p>
        </w:tc>
        <w:tc>
          <w:tcPr>
            <w:tcW w:w="2340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使用阶段</w:t>
            </w:r>
          </w:p>
        </w:tc>
      </w:tr>
      <w:tr>
        <w:tc>
          <w:tcPr>
            <w:tcW w:w="234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影子验证</w:t>
            </w:r>
          </w:p>
        </w:tc>
        <w:tc>
          <w:tcPr>
            <w:tcW w:w="234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L0只读</w:t>
            </w:r>
          </w:p>
        </w:tc>
        <w:tc>
          <w:tcPr>
            <w:tcW w:w="234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不写入</w:t>
            </w:r>
          </w:p>
        </w:tc>
        <w:tc>
          <w:tcPr>
            <w:tcW w:w="234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历史回放、误报标定、规则与模型对比</w:t>
            </w:r>
          </w:p>
        </w:tc>
      </w:tr>
      <w:tr>
        <w:tc>
          <w:tcPr>
            <w:tcW w:w="234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协同执行</w:t>
            </w:r>
          </w:p>
        </w:tc>
        <w:tc>
          <w:tcPr>
            <w:tcW w:w="234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L2建议+派单</w:t>
            </w:r>
          </w:p>
        </w:tc>
        <w:tc>
          <w:tcPr>
            <w:tcW w:w="234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写Base、任务和文档</w:t>
            </w:r>
          </w:p>
        </w:tc>
        <w:tc>
          <w:tcPr>
            <w:tcW w:w="234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试点运行，不触碰设备控制和质量放行</w:t>
            </w:r>
          </w:p>
        </w:tc>
      </w:tr>
      <w:tr>
        <w:tc>
          <w:tcPr>
            <w:tcW w:w="234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生产受控</w:t>
            </w:r>
          </w:p>
        </w:tc>
        <w:tc>
          <w:tcPr>
            <w:tcW w:w="234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L3受控执行</w:t>
            </w:r>
          </w:p>
        </w:tc>
        <w:tc>
          <w:tcPr>
            <w:tcW w:w="234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写经审批的MES协同状态和飞书对象</w:t>
            </w:r>
          </w:p>
        </w:tc>
        <w:tc>
          <w:tcPr>
            <w:tcW w:w="234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完成安全评审、角色映射和服务端策略部署后启用</w:t>
            </w:r>
          </w:p>
        </w:tc>
      </w:tr>
    </w:tbl>
    <w:p>
      <w:pPr>
        <w:pStyle w:val="SmallSpace"/>
      </w:pPr>
      <w:r>
        <w:t xml:space="preserve"/>
      </w:r>
    </w:p>
    <w:p>
      <w:r>
        <w:t xml:space="preserve"/>
      </w:r>
    </w:p>
    <w:p>
      <w:pPr>
        <w:pStyle w:val="BodyText"/>
      </w:pPr>
      <w:r>
        <w:t xml:space="preserve">Agent状态机为`OBSERVED → QUALIFIED → REASONED → DISPATCHED → CONTAINED → VERIFIED → APPROVED → CLOSED`。状态不可跳跃。数据质量失败进入`QUARANTINED`，低置信或证据冲突进入`HUMAN_REVIEW`，复检不合格进入`EXPANDED_SCOPE`，接口失败进入`OUTBOX_PENDING`。P1事件必须经过风险受理、检测证据签署和最终授权三类责任节点。</w:t>
      </w:r>
    </w:p>
    <w:p>
      <w:r>
        <w:t xml:space="preserve"/>
      </w:r>
    </w:p>
    <w:p>
      <w:pPr>
        <w:pStyle w:val="Heading1"/>
        <w:keepNext/>
      </w:pPr>
      <w:r>
        <w:t xml:space="preserve">八、飞书在线闭环</w:t>
      </w:r>
    </w:p>
    <w:p>
      <w:r>
        <w:t xml:space="preserve"/>
      </w:r>
    </w:p>
    <w:p>
      <w:pPr>
        <w:pStyle w:val="BodyText"/>
      </w:pPr>
      <w:r>
        <w:t xml:space="preserve">飞书能力按证据分为三层：质量事件Base写入与回读已经在线核验；责任任务和复盘文档提供可打开的对象样例；机器人卡片、Aily、企业角色映射、原生审批和事件消费者待企业开发者应用部署。企业现有设备平台继续作为设备、工单、故障模式和标准的主系统；飞书生产模型为知识债/质量事件、诊断任务、现场检查、复机确认、标准变更审批和平台回写回执六张关联表，不把协同表格变成第二套设备台账。</w:t>
      </w:r>
    </w:p>
    <w:p>
      <w:r>
        <w:t xml:space="preserve"/>
      </w:r>
    </w:p>
    <w:p>
      <w:pPr>
        <w:pStyle w:val="ListParagraph"/>
      </w:pPr>
      <w:r>
        <w:t xml:space="preserve">1. 多维表格：统一事件ID、设备工位、VIN/批次、Top-3、证据链、干预结果、运行模式、事件护照、状态和关闭依据。</w:t>
      </w:r>
    </w:p>
    <w:p>
      <w:pPr>
        <w:pStyle w:val="ListParagraph"/>
      </w:pPr>
      <w:r>
        <w:t xml:space="preserve">2. 任务中心：按质量、检测、设备、工艺和班组角色分派任务，记录SLA、附件、评论、驳回与完成状态。</w:t>
      </w:r>
    </w:p>
    <w:p>
      <w:pPr>
        <w:pStyle w:val="ListParagraph"/>
      </w:pPr>
      <w:r>
        <w:t xml:space="preserve">3. 消息卡片：在责任群中呈现P1/P2风险、隔离范围和待办动作，支持接单、补充证据和升级，不在卡片内直接完成最终放行。</w:t>
      </w:r>
    </w:p>
    <w:p>
      <w:pPr>
        <w:pStyle w:val="ListParagraph"/>
      </w:pPr>
      <w:r>
        <w:t xml:space="preserve">4. Aily：支持按事件ID、VIN、设备和时间窗查询证据链、当前责任人、未满足关闭项和历史同类问题。</w:t>
      </w:r>
    </w:p>
    <w:p>
      <w:pPr>
        <w:pStyle w:val="ListParagraph"/>
      </w:pPr>
      <w:r>
        <w:t xml:space="preserve">5. 云文档与知识库：生成结构化复盘、PFMEA/控制计划变更草案和有效性观察记录，变更仍由授权岗位审核发布。</w:t>
      </w:r>
    </w:p>
    <w:p>
      <w:pPr>
        <w:pStyle w:val="ListParagraph"/>
      </w:pPr>
      <w:r>
        <w:t xml:space="preserve">6. 事件订阅：监听任务和多维表格记录变化，用事件ID和平台事件ID去重，回写Agent状态机。</w:t>
      </w:r>
    </w:p>
    <w:p>
      <w:r>
        <w:t xml:space="preserve"/>
      </w:r>
    </w:p>
    <w:p>
      <w:pPr>
        <w:pStyle w:val="BodyText"/>
      </w:pPr>
      <w:r>
        <w:t xml:space="preserve">接口采用Outbox/Inbox和事件ID幂等。飞书不可用时事件包写入本地Outbox，记录重试次数、下次重试时刻和失败原因；恢复后补偿同步，不重复建单。消息发送保留显式确认门，避免演示数据触达真实组织。</w:t>
      </w:r>
    </w:p>
    <w:p>
      <w:r>
        <w:t xml:space="preserve"/>
      </w:r>
    </w:p>
    <w:p>
      <w:pPr>
        <w:pStyle w:val="Heading1"/>
        <w:keepNext/>
      </w:pPr>
      <w:r>
        <w:t xml:space="preserve">九、双案例：存量知识债审计与实时风险闭环</w:t>
      </w:r>
    </w:p>
    <w:p>
      <w:r>
        <w:t xml:space="preserve"/>
      </w:r>
    </w:p>
    <w:p>
      <w:pPr>
        <w:pStyle w:val="Heading2"/>
        <w:keepNext/>
      </w:pPr>
      <w:r>
        <w:t xml:space="preserve">案例A：121张工单中的“闭而未解”风险</w:t>
      </w:r>
    </w:p>
    <w:p>
      <w:r>
        <w:t xml:space="preserve"/>
      </w:r>
    </w:p>
    <w:p>
      <w:pPr>
        <w:pStyle w:val="BodyText"/>
      </w:pPr>
      <w:r>
        <w:t xml:space="preserve">数字员工按工单集中度、状态、原因、处置和故障模式关系主动审计406张工单，定位到脱敏设备`EQ-XBB841ED4011`：121张工单中119张已关闭、120张未形成确认原因、0张关联故障模式。GraphRAG沿其安全防护设备类型和功能检索同类型设备，找到已关联维护因素故障模式及清洁疏通、润滑等具体维修证据，提出“工装夹持部件异常”和“执行部件异常”两个待验证候选。</w:t>
      </w:r>
    </w:p>
    <w:p>
      <w:r>
        <w:t xml:space="preserve"/>
      </w:r>
    </w:p>
    <w:p>
      <w:pPr>
        <w:pStyle w:val="BodyText"/>
      </w:pPr>
      <w:r>
        <w:t xml:space="preserve">系统不自动确认根因，而是生成现场清洁/堵塞、润滑、执行部件、工装夹具检查任务，并要求设备专家确认故障模式、质量/工艺岗位完成复机判断、知识管理员审批点检或保养标准变更。审批后才按源工单、目标版本和幂等键写回现有设备平台。该案例展示从存量数据感知到行动的闭环。</w:t>
      </w:r>
    </w:p>
    <w:p>
      <w:r>
        <w:t xml:space="preserve"/>
      </w:r>
    </w:p>
    <w:p>
      <w:pPr>
        <w:pStyle w:val="Heading2"/>
        <w:keepNext/>
      </w:pPr>
      <w:r>
        <w:t xml:space="preserve">案例B：22分钟如何转化为受控质量行动</w:t>
      </w:r>
    </w:p>
    <w:p>
      <w:r>
        <w:t xml:space="preserve"/>
      </w:r>
    </w:p>
    <w:p>
      <w:pPr>
        <w:pStyle w:val="Heading2"/>
        <w:keepNext/>
      </w:pPr>
      <w:r>
        <w:t xml:space="preserve">1. 场景</w:t>
      </w:r>
    </w:p>
    <w:p>
      <w:r>
        <w:t xml:space="preserve"/>
      </w:r>
    </w:p>
    <w:p>
      <w:pPr>
        <w:pStyle w:val="BodyText"/>
      </w:pPr>
      <w:r>
        <w:t xml:space="preserve">总装GA-12底盘合装工位的TQ-17智能拧紧枪用于M12关键螺栓。工艺窗口为92-108N·m，脱敏序列最终值为86.4N·m，影响VIN尾号8123-8125。</w:t>
      </w:r>
    </w:p>
    <w:p>
      <w:r>
        <w:t xml:space="preserve"/>
      </w:r>
    </w:p>
    <w:p>
      <w:pPr>
        <w:pStyle w:val="Heading2"/>
        <w:keepNext/>
      </w:pPr>
      <w:r>
        <w:t xml:space="preserve">2. 主动发现</w:t>
      </w:r>
    </w:p>
    <w:p>
      <w:r>
        <w:t xml:space="preserve"/>
      </w:r>
    </w:p>
    <w:p>
      <w:pPr>
        <w:pStyle w:val="BodyText"/>
      </w:pPr>
      <w:r>
        <w:t xml:space="preserve">14:02建立稳定基线；14:08 EWMA首先识别均值偏移，但未立即派单；14:16 CUSUM、连续VIN、设备关系和PFMEA关系形成4/4共识，风险线程进入可行动状态；14:18出现硬阈值越界；14:38为下游质量门理论显性点。由时间戳计算前置量22分钟。</w:t>
      </w:r>
    </w:p>
    <w:p>
      <w:r>
        <w:t xml:space="preserve"/>
      </w:r>
    </w:p>
    <w:p>
      <w:pPr>
        <w:pStyle w:val="Heading2"/>
        <w:keepNext/>
      </w:pPr>
      <w:r>
        <w:t xml:space="preserve">3. 影响圈定</w:t>
      </w:r>
    </w:p>
    <w:p>
      <w:r>
        <w:t xml:space="preserve"/>
      </w:r>
    </w:p>
    <w:p>
      <w:pPr>
        <w:pStyle w:val="BodyText"/>
      </w:pPr>
      <w:r>
        <w:t xml:space="preserve">系统从MES读取过站记录，以最后合格校验点、异常时间窗和设备恢复点为边界，锁定8123-8125三辆车。每辆车分别保存过站时间、设备与程序版本、实测参数、隔离状态和复检任务；复检不合格时按相邻时间窗向前扩展，全部合格时收敛范围。</w:t>
      </w:r>
    </w:p>
    <w:p>
      <w:r>
        <w:t xml:space="preserve"/>
      </w:r>
    </w:p>
    <w:p>
      <w:pPr>
        <w:pStyle w:val="Heading2"/>
        <w:keepNext/>
      </w:pPr>
      <w:r>
        <w:t xml:space="preserve">4. 根因与反事实</w:t>
      </w:r>
    </w:p>
    <w:p>
      <w:r>
        <w:t xml:space="preserve"/>
      </w:r>
    </w:p>
    <w:p>
      <w:pPr>
        <w:pStyle w:val="BodyText"/>
      </w:pPr>
      <w:r>
        <w:t xml:space="preserve">初始Top-3为：套筒磨损叠加校准漂移86%，螺纹摩擦系数批次异常57%，程序或配方错配34%。Top-1有同点位复现、角度残差和历史案例支持，但存在“套筒账面寿命尚未到阈值”的冲突证据。</w:t>
      </w:r>
    </w:p>
    <w:p>
      <w:r>
        <w:t xml:space="preserve"/>
      </w:r>
    </w:p>
    <w:p>
      <w:pPr>
        <w:pStyle w:val="BodyText"/>
      </w:pPr>
      <w:r>
        <w:t xml:space="preserve">执行“更换套筒+标准件复校”后，标准件扭矩回到99.1N·m，角度残差收敛至基线，后验排序更新为93%、31%、14%。该结果增强设备侧原因，但不能代替三辆车复检。另一条“交叉换枪复拧”路径可用于区分设备侧原因与零件批次效应。</w:t>
      </w:r>
    </w:p>
    <w:p>
      <w:r>
        <w:t xml:space="preserve"/>
      </w:r>
    </w:p>
    <w:p>
      <w:pPr>
        <w:pStyle w:val="Heading2"/>
        <w:keepNext/>
      </w:pPr>
      <w:r>
        <w:t xml:space="preserve">5. 协同与关闭</w:t>
      </w:r>
    </w:p>
    <w:p>
      <w:r>
        <w:t xml:space="preserve"/>
      </w:r>
    </w:p>
    <w:p>
      <w:pPr>
        <w:pStyle w:val="BodyText"/>
      </w:pPr>
      <w:r>
        <w:t xml:space="preserve">质量工程师确认风险受理和三辆车隔离；设备工程师校准TQ-17并检查套筒；检测人员按控制计划提交复检实测、量具ID和校准状态；班组长完成备用设备首件；质量负责人审核全部证据。关闭后系统生成PFMEA/控制计划变更草案和有效性观察任务，不自动发布控制文件变更。</w:t>
      </w:r>
    </w:p>
    <w:p>
      <w:r>
        <w:t xml:space="preserve"/>
      </w:r>
    </w:p>
    <w:p>
      <w:pPr>
        <w:pStyle w:val="Heading1"/>
        <w:keepNext/>
      </w:pPr>
      <w:r>
        <w:t xml:space="preserve">十、四类工况模板</w:t>
      </w:r>
    </w:p>
    <w:p>
      <w:r>
        <w:t xml:space="preserve"/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工序</w:t>
            </w:r>
          </w:p>
        </w:tc>
        <w:tc>
          <w:tcPr>
            <w:tcW w:w="1872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主动信号</w:t>
            </w:r>
          </w:p>
        </w:tc>
        <w:tc>
          <w:tcPr>
            <w:tcW w:w="1872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图谱主链</w:t>
            </w:r>
          </w:p>
        </w:tc>
        <w:tc>
          <w:tcPr>
            <w:tcW w:w="1872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反事实动作</w:t>
            </w:r>
          </w:p>
        </w:tc>
        <w:tc>
          <w:tcPr>
            <w:tcW w:w="1872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确定性验证</w:t>
            </w:r>
          </w:p>
        </w:tc>
      </w:tr>
      <w:tr>
        <w:tc>
          <w:tcPr>
            <w:tcW w:w="1872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总装拧紧</w:t>
            </w:r>
          </w:p>
        </w:tc>
        <w:tc>
          <w:tcPr>
            <w:tcW w:w="1872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扭矩/角度EWMA、CUSUM、校准状态</w:t>
            </w:r>
          </w:p>
        </w:tc>
        <w:tc>
          <w:tcPr>
            <w:tcW w:w="1872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拧紧枪—程序—连接件—预紧力—PFMEA</w:t>
            </w:r>
          </w:p>
        </w:tc>
        <w:tc>
          <w:tcPr>
            <w:tcW w:w="1872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换套筒复校、交叉换枪</w:t>
            </w:r>
          </w:p>
        </w:tc>
        <w:tc>
          <w:tcPr>
            <w:tcW w:w="1872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复拧、标准件、影响VIN复检</w:t>
            </w:r>
          </w:p>
        </w:tc>
      </w:tr>
      <w:tr>
        <w:tc>
          <w:tcPr>
            <w:tcW w:w="1872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焊装点焊</w:t>
            </w:r>
          </w:p>
        </w:tc>
        <w:tc>
          <w:tcPr>
            <w:tcW w:w="1872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电流CUSUM、电极寿命、回路阻抗</w:t>
            </w:r>
          </w:p>
        </w:tc>
        <w:tc>
          <w:tcPr>
            <w:tcW w:w="1872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机器人—焊点—热输入—焊核—强度</w:t>
            </w:r>
          </w:p>
        </w:tc>
        <w:tc>
          <w:tcPr>
            <w:tcW w:w="1872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换帽焊核对照、阻抗阶跃</w:t>
            </w:r>
          </w:p>
        </w:tc>
        <w:tc>
          <w:tcPr>
            <w:tcW w:w="1872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破坏性焊核、首件和批次抽检</w:t>
            </w:r>
          </w:p>
        </w:tc>
      </w:tr>
      <w:tr>
        <w:tc>
          <w:tcPr>
            <w:tcW w:w="1872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涂装烘干</w:t>
            </w:r>
          </w:p>
        </w:tc>
        <w:tc>
          <w:tcPr>
            <w:tcW w:w="1872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温度EWMA、风门指令反馈残差</w:t>
            </w:r>
          </w:p>
        </w:tc>
        <w:tc>
          <w:tcPr>
            <w:tcW w:w="1872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烘房—温区—固化—附着力</w:t>
            </w:r>
          </w:p>
        </w:tc>
        <w:tc>
          <w:tcPr>
            <w:tcW w:w="1872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风门阶跃、PID基线对照</w:t>
            </w:r>
          </w:p>
        </w:tc>
        <w:tc>
          <w:tcPr>
            <w:tcW w:w="1872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膜厚、附着力和温升曲线</w:t>
            </w:r>
          </w:p>
        </w:tc>
      </w:tr>
      <w:tr>
        <w:tc>
          <w:tcPr>
            <w:tcW w:w="1872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一体压铸</w:t>
            </w:r>
          </w:p>
        </w:tc>
        <w:tc>
          <w:tcPr>
            <w:tcW w:w="1872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模温差、流量残差、热像关系</w:t>
            </w:r>
          </w:p>
        </w:tc>
        <w:tc>
          <w:tcPr>
            <w:tcW w:w="1872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水路—模温—凝固—缩孔/尺寸</w:t>
            </w:r>
          </w:p>
        </w:tc>
        <w:tc>
          <w:tcPr>
            <w:tcW w:w="1872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支路旁路冲洗、阀位阶跃</w:t>
            </w:r>
          </w:p>
        </w:tc>
        <w:tc>
          <w:tcPr>
            <w:tcW w:w="1872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X光、尺寸和恢复后三模次</w:t>
            </w:r>
          </w:p>
        </w:tc>
      </w:tr>
    </w:tbl>
    <w:p>
      <w:pPr>
        <w:pStyle w:val="SmallSpace"/>
      </w:pPr>
      <w:r>
        <w:t xml:space="preserve"/>
      </w:r>
    </w:p>
    <w:p>
      <w:r>
        <w:t xml:space="preserve"/>
      </w:r>
    </w:p>
    <w:p>
      <w:pPr>
        <w:pStyle w:val="BodyText"/>
      </w:pPr>
      <w:r>
        <w:t xml:space="preserve">四场景均由同一脚本计算弱信号、可行动时刻和前置量，脱敏结果为18至46分钟。数值只用于证明机制能够运行，不能替代现场试点收益。</w:t>
      </w:r>
    </w:p>
    <w:p>
      <w:r>
        <w:t xml:space="preserve"/>
      </w:r>
    </w:p>
    <w:p>
      <w:pPr>
        <w:pStyle w:val="Heading1"/>
        <w:keepNext/>
      </w:pPr>
      <w:r>
        <w:t xml:space="preserve">十一、落地预期价值：量化指标与证据分层</w:t>
      </w:r>
    </w:p>
    <w:p>
      <w:r>
        <w:t xml:space="preserve"/>
      </w:r>
    </w:p>
    <w:p>
      <w:pPr>
        <w:pStyle w:val="Heading2"/>
        <w:keepNext/>
      </w:pPr>
      <w:r>
        <w:t xml:space="preserve">1. 已核验工程成果</w:t>
      </w:r>
    </w:p>
    <w:p>
      <w:r>
        <w:t xml:space="preserve"/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680"/>
        <w:gridCol w:w="4680"/>
      </w:tblGrid>
      <w:tr>
        <w:tc>
          <w:tcPr>
            <w:tcW w:w="4680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成果</w:t>
            </w:r>
          </w:p>
        </w:tc>
        <w:tc>
          <w:tcPr>
            <w:tcW w:w="4680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核验口径</w:t>
            </w:r>
          </w:p>
        </w:tc>
      </w:tr>
      <w:tr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互动工作台</w:t>
            </w:r>
          </w:p>
        </w:tc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企业数据关系漏斗与“闭而未解”审计、四工况动态产线、证据引用、稳定H编号与Rank重排、五项关闭门、六对象飞书轨迹可交互</w:t>
            </w:r>
          </w:p>
        </w:tc>
      </w:tr>
      <w:tr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推理脚本</w:t>
            </w:r>
          </w:p>
        </w:tc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从时间序列计算EWMA/CUSUM触发点和前置量，执行事件Schema准入、关系图遍历、来源追溯与干预后验更新</w:t>
            </w:r>
          </w:p>
        </w:tc>
      </w:tr>
      <w:tr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数据契约</w:t>
            </w:r>
          </w:p>
        </w:tc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4条有效事件通过；缺字段、重复、延迟、错误单位、校准失效和可疑质量码6类异常被拒绝</w:t>
            </w:r>
          </w:p>
        </w:tc>
      </w:tr>
      <w:tr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飞书能力</w:t>
            </w:r>
          </w:p>
        </w:tc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Base写入回读已在线核验；任务与复盘文档为对象样例；卡片、Aily、审批和事件订阅待企业部署</w:t>
            </w:r>
          </w:p>
        </w:tc>
      </w:tr>
      <w:tr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静态检查</w:t>
            </w:r>
          </w:p>
        </w:tc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网页、JSON、脚本和文档通过结构与静态一致性检查；DOCX无页眉页脚和过程性表述</w:t>
            </w:r>
          </w:p>
        </w:tc>
      </w:tr>
    </w:tbl>
    <w:p>
      <w:pPr>
        <w:pStyle w:val="SmallSpace"/>
      </w:pPr>
      <w:r>
        <w:t xml:space="preserve"/>
      </w:r>
    </w:p>
    <w:p>
      <w:r>
        <w:t xml:space="preserve"/>
      </w:r>
    </w:p>
    <w:p>
      <w:pPr>
        <w:pStyle w:val="Heading2"/>
        <w:keepNext/>
      </w:pPr>
      <w:r>
        <w:t xml:space="preserve">2. 脱敏仿真结果</w:t>
      </w:r>
    </w:p>
    <w:p>
      <w:r>
        <w:t xml:space="preserve"/>
      </w:r>
    </w:p>
    <w:p>
      <w:pPr>
        <w:pStyle w:val="BodyText"/>
      </w:pPr>
      <w:r>
        <w:t xml:space="preserve">总装、焊装、涂装和压铸四场景的缺陷显性化前置量分别为22、31、18和46分钟。每个数值均能追溯到`T_actionable`和`T_downstream`两个时间戳及完整检测轨迹。仿真不代表赛力斯现网收益，也不用于宣称真实召回率或缺陷下降。</w:t>
      </w:r>
    </w:p>
    <w:p>
      <w:r>
        <w:t xml:space="preserve"/>
      </w:r>
    </w:p>
    <w:p>
      <w:pPr>
        <w:pStyle w:val="Heading2"/>
        <w:keepNext/>
      </w:pPr>
      <w:r>
        <w:t xml:space="preserve">3. 90天现场实测目标</w:t>
      </w:r>
    </w:p>
    <w:p>
      <w:r>
        <w:t xml:space="preserve"/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指标</w:t>
            </w:r>
          </w:p>
        </w:tc>
        <w:tc>
          <w:tcPr>
            <w:tcW w:w="3120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目标</w:t>
            </w:r>
          </w:p>
        </w:tc>
        <w:tc>
          <w:tcPr>
            <w:tcW w:w="3120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计算与验收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前置量中位数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不少于10分钟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已采纳事件的`T_downstream-T_actionable`中位数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P1召回率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不低于95%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被系统识别且经现场确认的P1/全部现场确认P1，按周盲测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误报率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影子期不高于15%，协同期不高于10%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被驳回且无须处置事件/全部可行动风险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根因Top-3命中率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不低于80%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最终复盘根因是否进入首次Top-3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影响范围准确率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不低于90%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正确圈定对象/最终确认影响对象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异常定位时间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下降40%-60%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与人工跨系统查询基线对比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P1派发时长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小于1分钟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可行动时刻至任务成功回执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知识债派发查准率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不低于95%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被设备专家确认需补证的审计事件/系统派发审计事件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主平台错误自动写入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0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未经设备管理与质量双角色审批的故障模式、标准或复机结论写入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回写可追溯率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100%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源对象、审批号、目标版本、幂等键和回读结果齐全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已关闭P1五项门完整率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100%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任一缺失即不计入关闭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过程记录字段完整率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不低于95%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全部事件必填字段完整率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重复问题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下降15%-25%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同设备/同失效模式复发率前后对比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越权操作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0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审计日志中的未授权成功操作数</w:t>
            </w:r>
          </w:p>
        </w:tc>
      </w:tr>
    </w:tbl>
    <w:p>
      <w:pPr>
        <w:pStyle w:val="SmallSpace"/>
      </w:pPr>
      <w:r>
        <w:t xml:space="preserve"/>
      </w:r>
    </w:p>
    <w:p>
      <w:r>
        <w:t xml:space="preserve"/>
      </w:r>
    </w:p>
    <w:p>
      <w:pPr>
        <w:pStyle w:val="BodyText"/>
      </w:pPr>
      <w:r>
        <w:t xml:space="preserve">所有业务收益只统计被现场采纳并完成确定性关闭的事件。每项指标报告样本量、点估计和95%置信区间，并按工序、班次、设备新旧与风险等级分层；金标准由双专家独立标注、第三人仲裁。P1重大漏判、越权成功或五门缺失仍关闭时立即No-Go。详细签收规则见`docs/pilot-acceptance-protocol.md`。</w:t>
      </w:r>
    </w:p>
    <w:p>
      <w:r>
        <w:t xml:space="preserve"/>
      </w:r>
    </w:p>
    <w:p>
      <w:pPr>
        <w:pStyle w:val="Heading1"/>
        <w:keepNext/>
      </w:pPr>
      <w:r>
        <w:t xml:space="preserve">十二、落地可行性：90天实施路径与验收门</w:t>
      </w:r>
    </w:p>
    <w:p>
      <w:r>
        <w:t xml:space="preserve"/>
      </w:r>
    </w:p>
    <w:p>
      <w:pPr>
        <w:pStyle w:val="Heading2"/>
        <w:keepNext/>
      </w:pPr>
      <w:r>
        <w:t xml:space="preserve">1. 第1-30天：数据与知识准入</w:t>
      </w:r>
    </w:p>
    <w:p>
      <w:r>
        <w:t xml:space="preserve"/>
      </w:r>
    </w:p>
    <w:p>
      <w:pPr>
        <w:pStyle w:val="BodyText"/>
      </w:pPr>
      <w:r>
        <w:t xml:space="preserve">完成总装拧紧和焊装点焊点位清单、事件Schema、时钟同步、数据质量规则、PFMEA/控制计划映射和岗位权限矩阵。退出条件为关键字段完整率不低于95%、VIN/批次绑定可追溯、规则与知识版本可回滚、OT只读通道通过安全评审。</w:t>
      </w:r>
    </w:p>
    <w:p>
      <w:r>
        <w:t xml:space="preserve"/>
      </w:r>
    </w:p>
    <w:p>
      <w:pPr>
        <w:pStyle w:val="Heading2"/>
        <w:keepNext/>
      </w:pPr>
      <w:r>
        <w:t xml:space="preserve">2. 第31-60天：影子运行与标定</w:t>
      </w:r>
    </w:p>
    <w:p>
      <w:r>
        <w:t xml:space="preserve"/>
      </w:r>
    </w:p>
    <w:p>
      <w:pPr>
        <w:pStyle w:val="BodyText"/>
      </w:pPr>
      <w:r>
        <w:t xml:space="preserve">历史回放和在线影子模式不写外部任务。以现场最终结论为金标准，评估前置量、P1召回率、误报率、Top-3命中率和影响范围准确率。连续两周超过停用阈值时回退规则和模型，不进入协同执行。</w:t>
      </w:r>
    </w:p>
    <w:p>
      <w:r>
        <w:t xml:space="preserve"/>
      </w:r>
    </w:p>
    <w:p>
      <w:pPr>
        <w:pStyle w:val="Heading2"/>
        <w:keepNext/>
      </w:pPr>
      <w:r>
        <w:t xml:space="preserve">3. 第61-90天：协同闭环</w:t>
      </w:r>
    </w:p>
    <w:p>
      <w:r>
        <w:t xml:space="preserve"/>
      </w:r>
    </w:p>
    <w:p>
      <w:pPr>
        <w:pStyle w:val="BodyText"/>
      </w:pPr>
      <w:r>
        <w:t xml:space="preserve">启用飞书Base、任务、卡片、Aily和事件订阅，仍不触碰PLC控制和最终放行。验证风险受理、检测证据、设备恢复、最终授权、Outbox补偿和有效性观察。达到全部关闭门和安全指标后，形成跨工序复制资产包。</w:t>
      </w:r>
    </w:p>
    <w:p>
      <w:r>
        <w:t xml:space="preserve"/>
      </w:r>
    </w:p>
    <w:p>
      <w:pPr>
        <w:pStyle w:val="Heading2"/>
        <w:keepNext/>
      </w:pPr>
      <w:r>
        <w:t xml:space="preserve">4. 停用与回退条件</w:t>
      </w:r>
    </w:p>
    <w:p>
      <w:r>
        <w:t xml:space="preserve"/>
      </w:r>
    </w:p>
    <w:p>
      <w:pPr>
        <w:pStyle w:val="BodyText"/>
      </w:pPr>
      <w:r>
        <w:t xml:space="preserve">核心点位延迟超过30秒、VIN绑定失败、时钟偏差越界、规则/知识版本不一致、P1连续漏报、飞书写入与任务状态不一致时，停止新增自动派单并进入人工模式。规则、知识和特征Schema保留现行版与上一稳定版，回退过程记录审批人、原因和版本哈希。</w:t>
      </w:r>
    </w:p>
    <w:p>
      <w:r>
        <w:t xml:space="preserve"/>
      </w:r>
    </w:p>
    <w:p>
      <w:pPr>
        <w:pStyle w:val="Heading1"/>
        <w:keepNext/>
      </w:pPr>
      <w:r>
        <w:t xml:space="preserve">十三、可靠性、安全与灾备</w:t>
      </w:r>
    </w:p>
    <w:p>
      <w:r>
        <w:t xml:space="preserve"/>
      </w:r>
    </w:p>
    <w:p>
      <w:pPr>
        <w:pStyle w:val="ListParagraph"/>
      </w:pPr>
      <w:r>
        <w:t xml:space="preserve">1. 数据延迟：标记证据过期，冻结新增推理，保留已验证硬规则和P1隔离。</w:t>
      </w:r>
    </w:p>
    <w:p>
      <w:pPr>
        <w:pStyle w:val="ListParagraph"/>
      </w:pPr>
      <w:r>
        <w:t xml:space="preserve">2. 图谱不可用：切换控制计划与规则只读包，不输出唯一根因，生成现场排查清单。</w:t>
      </w:r>
    </w:p>
    <w:p>
      <w:pPr>
        <w:pStyle w:val="ListParagraph"/>
      </w:pPr>
      <w:r>
        <w:t xml:space="preserve">3. 模型不可用：保留规则判定、影响圈定和人工协同，停止生成自由文本结论。</w:t>
      </w:r>
    </w:p>
    <w:p>
      <w:pPr>
        <w:pStyle w:val="ListParagraph"/>
      </w:pPr>
      <w:r>
        <w:t xml:space="preserve">4. 飞书不可用：写本地Outbox并按事件ID幂等补偿，台账、任务和文档分别记录提交与回执状态。</w:t>
      </w:r>
    </w:p>
    <w:p>
      <w:pPr>
        <w:pStyle w:val="ListParagraph"/>
      </w:pPr>
      <w:r>
        <w:t xml:space="preserve">5. 网络中断：边缘侧store-and-forward，恢复后按序列号重放，乱序事件进入隔离队列。</w:t>
      </w:r>
    </w:p>
    <w:p>
      <w:pPr>
        <w:pStyle w:val="ListParagraph"/>
      </w:pPr>
      <w:r>
        <w:t xml:space="preserve">6. 越权操作：服务端策略校验身份、角色、工位、审批范围和双人复核，拒绝结果写入追加式审计。</w:t>
      </w:r>
    </w:p>
    <w:p>
      <w:pPr>
        <w:pStyle w:val="ListParagraph"/>
      </w:pPr>
      <w:r>
        <w:t xml:space="preserve">7. 灾备：备份事件契约、规则、知识快照、索引、审批和审计数据，明确RPO/RTO并定期执行恢复演练。</w:t>
      </w:r>
    </w:p>
    <w:p>
      <w:r>
        <w:t xml:space="preserve"/>
      </w:r>
    </w:p>
    <w:p>
      <w:pPr>
        <w:pStyle w:val="BodyText"/>
      </w:pPr>
      <w:r>
        <w:t xml:space="preserve">治理框架参考NIST AI RMF的Govern、Map、Measure、Manage持续循环；OT网络与恢复参考NIST SP 800-82 Rev.3；制造实体和功能分层参考ISO 23247；设备、物料、人员与企业/控制系统语义交换参考OPC UA for ISA-95。</w:t>
      </w:r>
    </w:p>
    <w:p>
      <w:r>
        <w:t xml:space="preserve"/>
      </w:r>
    </w:p>
    <w:p>
      <w:pPr>
        <w:pStyle w:val="Heading1"/>
        <w:keepNext/>
      </w:pPr>
      <w:r>
        <w:t xml:space="preserve">十四、落地可推广性：跨产线复制合同</w:t>
      </w:r>
    </w:p>
    <w:p>
      <w:r>
        <w:t xml:space="preserve"/>
      </w:r>
    </w:p>
    <w:p>
      <w:pPr>
        <w:pStyle w:val="BodyText"/>
      </w:pPr>
      <w:r>
        <w:t xml:space="preserve">新工序进入平台必须满足五项准入：存在稳定的对象ID和事件时间；能够映射质量特性与失效模式；有明确的物理复检方法；责任岗位和放行边界清楚；能够形成至少一组历史回放基准。接入后复用事件模型、状态机、权限、飞书字段、审计和指标，只新增点位映射、本体子图、规则参数、案例与验证动作。</w:t>
      </w:r>
    </w:p>
    <w:p>
      <w:r>
        <w:t xml:space="preserve"/>
      </w:r>
    </w:p>
    <w:p>
      <w:pPr>
        <w:pStyle w:val="BodyText"/>
      </w:pPr>
      <w:r>
        <w:t xml:space="preserve">首批四工序成熟后，可复制到电驱装配、电池包气密、整车标定、供应链来料和路试问题闭环。例如电池包气密只需替换压力衰减适配器、密封失效本体、泄漏规则和氦检/保压验证方法；任务、审批、证据护照和关闭门保持不变。</w:t>
      </w:r>
    </w:p>
    <w:p>
      <w:r>
        <w:t xml:space="preserve"/>
      </w:r>
    </w:p>
    <w:p>
      <w:pPr>
        <w:pStyle w:val="Heading1"/>
        <w:keepNext/>
      </w:pPr>
      <w:r>
        <w:t xml:space="preserve">十五、成果物与运行入口</w:t>
      </w:r>
    </w:p>
    <w:p>
      <w:r>
        <w:t xml:space="preserve"/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680"/>
        <w:gridCol w:w="4680"/>
      </w:tblGrid>
      <w:tr>
        <w:tc>
          <w:tcPr>
            <w:tcW w:w="4680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成果物</w:t>
            </w:r>
          </w:p>
        </w:tc>
        <w:tc>
          <w:tcPr>
            <w:tcW w:w="4680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路径或链接</w:t>
            </w:r>
          </w:p>
        </w:tc>
      </w:tr>
      <w:tr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互动工作台</w:t>
            </w:r>
          </w:p>
        </w:tc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`app/index.html`</w:t>
            </w:r>
          </w:p>
        </w:tc>
      </w:tr>
      <w:tr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主动管控脚本</w:t>
            </w:r>
          </w:p>
        </w:tc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`scripts/run_quality_agent.py`</w:t>
            </w:r>
          </w:p>
        </w:tc>
      </w:tr>
      <w:tr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数据准入契约</w:t>
            </w:r>
          </w:p>
        </w:tc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`data/factory_event.schema.json`</w:t>
            </w:r>
          </w:p>
        </w:tc>
      </w:tr>
      <w:tr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关系图实例</w:t>
            </w:r>
          </w:p>
        </w:tc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`data/quality_graph.json`</w:t>
            </w:r>
          </w:p>
        </w:tc>
      </w:tr>
      <w:tr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决策保障契约</w:t>
            </w:r>
          </w:p>
        </w:tc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`data/decision_assurance.json`</w:t>
            </w:r>
          </w:p>
        </w:tc>
      </w:tr>
      <w:tr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质量本体</w:t>
            </w:r>
          </w:p>
        </w:tc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`data/quality_ontology.jsonld`</w:t>
            </w:r>
          </w:p>
        </w:tc>
      </w:tr>
      <w:tr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飞书数据模型</w:t>
            </w:r>
          </w:p>
        </w:tc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`data/feishu_bitable_schema.csv`</w:t>
            </w:r>
          </w:p>
        </w:tc>
      </w:tr>
      <w:tr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飞书编排</w:t>
            </w:r>
          </w:p>
        </w:tc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`scripts/orchestrate_feishu_quality_event.ps1`</w:t>
            </w:r>
          </w:p>
        </w:tc>
      </w:tr>
      <w:tr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试点验收协议</w:t>
            </w:r>
          </w:p>
        </w:tc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`docs/pilot-acceptance-protocol.md`</w:t>
            </w:r>
          </w:p>
        </w:tc>
      </w:tr>
      <w:tr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质量事件Base</w:t>
            </w:r>
          </w:p>
        </w:tc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https://larkcommunity.feishu.cn/base/DYAabhZeiagT0ZsjGaTcWFPrn7b?table=tblFo5Btaj0IBXiD</w:t>
            </w:r>
          </w:p>
        </w:tc>
      </w:tr>
      <w:tr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飞书任务</w:t>
            </w:r>
          </w:p>
        </w:tc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https://applink.feishu.cn/client/todo/detail?guid=f10d51e5-cc8e-4c71-9441-cd29a77feacf</w:t>
            </w:r>
          </w:p>
        </w:tc>
      </w:tr>
      <w:tr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复盘文档</w:t>
            </w:r>
          </w:p>
        </w:tc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https://larkcommunity.feishu.cn/docx/PjludNq8foBhkrxV8VQccsldneb</w:t>
            </w:r>
          </w:p>
        </w:tc>
      </w:tr>
      <w:tr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GitHub</w:t>
            </w:r>
          </w:p>
        </w:tc>
        <w:tc>
          <w:tcPr>
            <w:tcW w:w="468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https://github.com/zhijinDeng/Seris</w:t>
            </w:r>
          </w:p>
        </w:tc>
      </w:tr>
    </w:tbl>
    <w:p>
      <w:pPr>
        <w:pStyle w:val="SmallSpace"/>
      </w:pPr>
      <w:r>
        <w:t xml:space="preserve"/>
      </w:r>
    </w:p>
    <w:p>
      <w:r>
        <w:t xml:space="preserve"/>
      </w:r>
    </w:p>
    <w:p>
      <w:pPr>
        <w:pStyle w:val="Heading1"/>
        <w:keepNext/>
      </w:pPr>
      <w:r>
        <w:t xml:space="preserve">十六、参考资料</w:t>
      </w:r>
    </w:p>
    <w:p>
      <w:r>
        <w:t xml:space="preserve"/>
      </w:r>
    </w:p>
    <w:p>
      <w:pPr>
        <w:pStyle w:val="ReferenceList"/>
      </w:pPr>
      <w:r>
        <w:t xml:space="preserve">1. 赛力斯集团股份有限公司. 2025年年度报告[EB/OL]. 2026.</w:t>
      </w:r>
    </w:p>
    <w:p>
      <w:pPr>
        <w:pStyle w:val="ReferenceList"/>
      </w:pPr>
      <w:r>
        <w:t xml:space="preserve">2. 赛力斯集团股份有限公司. 2024年年度报告[EB/OL]. 2025.</w:t>
      </w:r>
    </w:p>
    <w:p>
      <w:pPr>
        <w:pStyle w:val="ReferenceList"/>
      </w:pPr>
      <w:r>
        <w:t xml:space="preserve">3. 赛力斯集团股份有限公司. 2024年环境、社会及管治报告[EB/OL]. 2025.</w:t>
      </w:r>
    </w:p>
    <w:p>
      <w:pPr>
        <w:pStyle w:val="ReferenceList"/>
      </w:pPr>
      <w:r>
        <w:t xml:space="preserve">4. 赛力斯集团股份有限公司. 2025年半年度报告[EB/OL]. 2025.</w:t>
      </w:r>
    </w:p>
    <w:p>
      <w:pPr>
        <w:pStyle w:val="ReferenceList"/>
      </w:pPr>
      <w:r>
        <w:t xml:space="preserve">5. NIST. Artificial Intelligence Risk Management Framework 1.0[R]. NIST AI 100-1, 2023.</w:t>
      </w:r>
    </w:p>
    <w:p>
      <w:pPr>
        <w:pStyle w:val="ReferenceList"/>
      </w:pPr>
      <w:r>
        <w:t xml:space="preserve">6. NIST. Guide to Operational Technology Security[R]. SP 800-82 Rev.3, 2023.</w:t>
      </w:r>
    </w:p>
    <w:p>
      <w:pPr>
        <w:pStyle w:val="ReferenceList"/>
      </w:pPr>
      <w:r>
        <w:t xml:space="preserve">7. ISO. ISO 23247-2:2021 Digital twin framework for manufacturing: Reference architecture[S].</w:t>
      </w:r>
    </w:p>
    <w:p>
      <w:pPr>
        <w:pStyle w:val="ReferenceList"/>
      </w:pPr>
      <w:r>
        <w:t xml:space="preserve">8. OPC Foundation. OPC UA Common Object Model: ISA-95[S]. OPC 10030, 2023.</w:t>
      </w:r>
    </w:p>
    <w:p>
      <w:pPr>
        <w:pStyle w:val="ReferenceList"/>
      </w:pPr>
      <w:r>
        <w:t xml:space="preserve">9. Automotive Industry Action Group. Control Plan 1st Edition[M].</w:t>
      </w:r>
    </w:p>
    <w:p>
      <w:pPr>
        <w:pStyle w:val="ReferenceList"/>
      </w:pPr>
      <w:r>
        <w:t xml:space="preserve">10. Automotive Industry Action Group. AIAG &amp; VDA FMEA Handbook[M].</w:t>
      </w:r>
    </w:p>
    <w:p>
      <w:pPr>
        <w:pStyle w:val="ReferenceList"/>
      </w:pPr>
      <w:r>
        <w:t xml:space="preserve">11. Wehner C, et al. Interactive and Intelligent Root Cause Analysis in Manufacturing with Causal Bayesian Networks and Knowledge Graphs[EB/OL]. arXiv:2402.00043, 2024.</w:t>
      </w:r>
    </w:p>
    <w:p>
      <w:pPr>
        <w:pStyle w:val="ReferenceList"/>
      </w:pPr>
      <w:r>
        <w:t xml:space="preserve">12. Chen J, et al. Root-KGD: A Novel Framework for Root Cause Diagnosis Based on Knowledge Graph and Industrial Data[EB/OL]. arXiv:2406.13664, 2024.</w:t>
      </w:r>
    </w:p>
    <w:p>
      <w:pPr>
        <w:pStyle w:val="ReferenceList"/>
      </w:pPr>
      <w:r>
        <w:t xml:space="preserve">13. Knollmeyer S, et al. Document GraphRAG for Document Question Answering Within the Manufacturing Domain[J]. Electronics, 2025, 14(11):2102.</w:t>
      </w:r>
    </w:p>
    <w:p>
      <w:pPr>
        <w:pStyle w:val="ReferenceList"/>
      </w:pPr>
      <w:r>
        <w:t xml:space="preserve">14. Xu Z, Dang Y. Data-driven causal knowledge graph construction for root cause analysis in quality problem solving[J]. International Journal of Production Research, 2023, 61(14):4693-4711.</w:t>
      </w:r>
    </w:p>
    <w:p>
      <w:pPr>
        <w:pStyle w:val="ReferenceList"/>
      </w:pPr>
      <w:r>
        <w:t xml:space="preserve">15. Rehak J, et al. Counterfactual Root Cause Analysis via Anomaly Detection and Causal Graphs[C]. IEEE INDIN, 2023.</w:t>
      </w:r>
    </w:p>
    <w:p>
      <w:pPr>
        <w:pStyle w:val="ReferenceList"/>
      </w:pPr>
      <w:r>
        <w:t xml:space="preserve">16. 赛力斯集团. 设备质量风险AI数字员工业务场景参考材料；设备场景闭环脱敏数据包[Z/DB]. 赛事提供材料, 2026.</w:t>
      </w:r>
    </w:p>
    <w:p>
      <w:r>
        <w:t xml:space="preserve"/>
      </w:r>
    </w:p>
    <w:p>
      <w:pPr>
        <w:pStyle w:val="BodyText"/>
      </w:pPr>
      <w:r>
        <w:t xml:space="preserve">完整链接、来源用途和数据边界见《04_参考文献与数据依据》及`data/reference_catalog.json`。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64" w:lineRule="auto"/>
    </w:pPr>
    <w:rPr>
      <w:rFonts w:ascii="Calibri" w:eastAsia="Microsoft YaHei" w:hAnsi="Calibri"/>
      <w:sz w:val="22"/>
      <w:szCs w:val="22"/>
      <w:color w:val="172033"/>
    </w:rPr>
  </w:style>
  <w:style w:type="paragraph" w:styleId="Title">
    <w:name w:val="Title"/>
    <w:pPr>
      <w:spacing w:before="0" w:after="160"/>
    </w:pPr>
    <w:rPr>
      <w:rFonts w:ascii="Calibri" w:eastAsia="Microsoft YaHei" w:hAnsi="Calibri"/>
      <w:b/>
      <w:sz w:val="36"/>
      <w:szCs w:val="36"/>
      <w:color w:val="171C22"/>
    </w:rPr>
  </w:style>
  <w:style w:type="paragraph" w:styleId="Subtitle">
    <w:name w:val="Subtitle"/>
    <w:pPr>
      <w:spacing w:after="240"/>
    </w:pPr>
    <w:rPr>
      <w:rFonts w:ascii="Calibri" w:eastAsia="Microsoft YaHei" w:hAnsi="Calibri"/>
      <w:sz w:val="22"/>
      <w:szCs w:val="22"/>
      <w:color w:val="657086"/>
    </w:rPr>
  </w:style>
  <w:style w:type="paragraph" w:styleId="Heading1">
    <w:name w:val="heading 1"/>
    <w:pPr>
      <w:keepNext/>
      <w:spacing w:before="320" w:after="160"/>
    </w:pPr>
    <w:rPr>
      <w:rFonts w:ascii="Calibri" w:eastAsia="Microsoft YaHei" w:hAnsi="Calibri"/>
      <w:b/>
      <w:sz w:val="32"/>
      <w:szCs w:val="32"/>
      <w:color w:val="9E1B32"/>
    </w:rPr>
  </w:style>
  <w:style w:type="paragraph" w:styleId="Heading2">
    <w:name w:val="heading 2"/>
    <w:pPr>
      <w:keepNext/>
      <w:spacing w:before="240" w:after="120"/>
    </w:pPr>
    <w:rPr>
      <w:rFonts w:ascii="Calibri" w:eastAsia="Microsoft YaHei" w:hAnsi="Calibri"/>
      <w:b/>
      <w:sz w:val="26"/>
      <w:szCs w:val="26"/>
      <w:color w:val="34424F"/>
    </w:rPr>
  </w:style>
  <w:style w:type="paragraph" w:styleId="BodyText">
    <w:name w:val="Body Text"/>
    <w:basedOn w:val="Normal"/>
    <w:pPr>
      <w:spacing w:after="120" w:line="264" w:lineRule="auto"/>
    </w:pPr>
  </w:style>
  <w:style w:type="paragraph" w:styleId="ListParagraph">
    <w:name w:val="List Paragraph"/>
    <w:basedOn w:val="Normal"/>
    <w:pPr>
      <w:ind w:left="720"/>
      <w:spacing w:after="120" w:line="280" w:lineRule="auto"/>
    </w:pPr>
  </w:style>
  <w:style w:type="paragraph" w:styleId="ReferenceList">
    <w:name w:val="Reference List"/>
    <w:basedOn w:val="Normal"/>
    <w:pPr>
      <w:ind w:left="360" w:hanging="240"/>
      <w:spacing w:after="50" w:line="220" w:lineRule="auto"/>
    </w:pPr>
    <w:rPr>
      <w:rFonts w:ascii="Calibri" w:eastAsia="Microsoft YaHei" w:hAnsi="Calibri"/>
      <w:sz w:val="18"/>
      <w:szCs w:val="18"/>
      <w:color w:val="172033"/>
    </w:rPr>
  </w:style>
  <w:style w:type="paragraph" w:styleId="SmallSpace">
    <w:name w:val="Small Space"/>
    <w:pPr>
      <w:spacing w:after="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image" Target="media/quality-ai-architecture.png"/>

</Relationships>
</file>