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平台原型说明</w:t>
      </w:r>
    </w:p>
    <w:p>
      <w:pPr>
        <w:pStyle w:val="Heading1"/>
      </w:pPr>
      <w:r>
        <w:t>静态网页</w:t>
      </w:r>
    </w:p>
    <w:p>
      <w:r>
        <w:t>打开 app/index.html 查看异常事件流、证据链、处置建议和飞书任务看板。</w:t>
      </w:r>
    </w:p>
    <w:p>
      <w:pPr>
        <w:pStyle w:val="Heading1"/>
      </w:pPr>
      <w:r>
        <w:t>命令行demo</w:t>
      </w:r>
    </w:p>
    <w:p>
      <w:r>
        <w:t>运行 python scripts/run_quality_agent.py 可模拟异常评分、案例召回、证据链和任务生成。</w:t>
      </w:r>
    </w:p>
    <w:p>
      <w:pPr>
        <w:pStyle w:val="Heading1"/>
      </w:pPr>
      <w:r>
        <w:t>扩展接口</w:t>
      </w:r>
    </w:p>
    <w:p>
      <w:r>
        <w:t>后续可接入MES、SCADA、PLC、QMS、EAM、视觉检测、图数据库、向量库和飞书开放平台。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Microsoft YaHei"/>
      <w:sz w:val="21"/>
    </w:rPr>
  </w:style>
  <w:style w:type="paragraph" w:styleId="Title">
    <w:name w:val="Title"/>
    <w:rPr>
      <w:b/>
      <w:rFonts w:ascii="Calibri" w:eastAsia="Microsoft YaHei"/>
      <w:sz w:val="36"/>
    </w:rPr>
  </w:style>
  <w:style w:type="paragraph" w:styleId="Heading1">
    <w:name w:val="heading 1"/>
    <w:rPr>
      <w:b/>
      <w:color w:val="1F4E79"/>
      <w:rFonts w:ascii="Calibri" w:eastAsia="Microsoft YaHei"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